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32384A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32384A">
        <w:rPr>
          <w:rFonts w:asciiTheme="minorHAnsi" w:hAnsiTheme="minorHAnsi" w:cstheme="minorHAnsi"/>
          <w:b/>
          <w:color w:val="auto"/>
        </w:rPr>
        <w:t xml:space="preserve">Parecer Jurídico </w:t>
      </w:r>
      <w:bookmarkStart w:id="0" w:name="_GoBack"/>
      <w:r w:rsidRPr="00575F7F">
        <w:rPr>
          <w:rFonts w:asciiTheme="minorHAnsi" w:hAnsiTheme="minorHAnsi" w:cstheme="minorHAnsi"/>
          <w:b/>
          <w:color w:val="auto"/>
        </w:rPr>
        <w:t xml:space="preserve">nº </w:t>
      </w:r>
      <w:r w:rsidRPr="00575F7F" w:rsidR="00575F7F">
        <w:rPr>
          <w:rFonts w:asciiTheme="minorHAnsi" w:hAnsiTheme="minorHAnsi" w:cstheme="minorHAnsi"/>
          <w:b/>
          <w:color w:val="auto"/>
        </w:rPr>
        <w:t>156</w:t>
      </w:r>
      <w:r w:rsidRPr="00575F7F" w:rsidR="00EB17A8">
        <w:rPr>
          <w:rFonts w:asciiTheme="minorHAnsi" w:hAnsiTheme="minorHAnsi" w:cstheme="minorHAnsi"/>
          <w:b/>
          <w:color w:val="auto"/>
        </w:rPr>
        <w:t>/202</w:t>
      </w:r>
      <w:r w:rsidRPr="00575F7F" w:rsidR="00512746">
        <w:rPr>
          <w:rFonts w:asciiTheme="minorHAnsi" w:hAnsiTheme="minorHAnsi" w:cstheme="minorHAnsi"/>
          <w:b/>
          <w:color w:val="auto"/>
        </w:rPr>
        <w:t>5</w:t>
      </w:r>
      <w:r w:rsidRPr="00575F7F" w:rsidR="00EB17A8">
        <w:rPr>
          <w:rFonts w:asciiTheme="minorHAnsi" w:hAnsiTheme="minorHAnsi" w:cstheme="minorHAnsi"/>
          <w:b/>
          <w:color w:val="auto"/>
        </w:rPr>
        <w:t>.</w:t>
      </w:r>
      <w:bookmarkEnd w:id="0"/>
    </w:p>
    <w:p w:rsidR="0005710A" w:rsidP="00434D2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Referência: </w:t>
      </w:r>
      <w:r w:rsidR="00AB3E85">
        <w:rPr>
          <w:rFonts w:asciiTheme="minorHAnsi" w:hAnsiTheme="minorHAnsi" w:cstheme="minorHAnsi"/>
          <w:b/>
          <w:bCs/>
          <w:color w:val="auto"/>
        </w:rPr>
        <w:t>Processo Legislativo nº 2</w:t>
      </w:r>
      <w:r w:rsidR="002F34C0">
        <w:rPr>
          <w:rFonts w:asciiTheme="minorHAnsi" w:hAnsiTheme="minorHAnsi" w:cstheme="minorHAnsi"/>
          <w:b/>
          <w:bCs/>
          <w:color w:val="auto"/>
        </w:rPr>
        <w:t>605</w:t>
      </w:r>
      <w:r w:rsidR="001C2F00">
        <w:rPr>
          <w:rFonts w:asciiTheme="minorHAnsi" w:hAnsiTheme="minorHAnsi" w:cstheme="minorHAnsi"/>
          <w:b/>
          <w:bCs/>
          <w:color w:val="auto"/>
        </w:rPr>
        <w:t>/2025</w:t>
      </w:r>
      <w:r w:rsidR="00D83470">
        <w:rPr>
          <w:rFonts w:asciiTheme="minorHAnsi" w:hAnsiTheme="minorHAnsi" w:cstheme="minorHAnsi"/>
          <w:b/>
          <w:bCs/>
          <w:color w:val="auto"/>
        </w:rPr>
        <w:t>.</w:t>
      </w:r>
    </w:p>
    <w:p w:rsidR="007E42C9" w:rsidRPr="002F34C0" w:rsidP="007E42C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22F1D">
        <w:rPr>
          <w:rFonts w:asciiTheme="minorHAnsi" w:hAnsiTheme="minorHAnsi" w:cstheme="minorHAnsi"/>
          <w:b/>
          <w:bCs/>
          <w:color w:val="auto"/>
        </w:rPr>
        <w:t xml:space="preserve">Assunto: </w:t>
      </w:r>
      <w:r w:rsidRPr="00322F1D" w:rsidR="00EB17A8">
        <w:rPr>
          <w:rFonts w:asciiTheme="minorHAnsi" w:hAnsiTheme="minorHAnsi" w:cstheme="minorHAnsi"/>
          <w:b/>
          <w:bCs/>
          <w:color w:val="auto"/>
        </w:rPr>
        <w:t xml:space="preserve">Emenda </w:t>
      </w:r>
      <w:r w:rsidRPr="00322F1D" w:rsidR="00E85E0D">
        <w:rPr>
          <w:rFonts w:asciiTheme="minorHAnsi" w:hAnsiTheme="minorHAnsi" w:cstheme="minorHAnsi"/>
          <w:b/>
          <w:bCs/>
          <w:color w:val="auto"/>
        </w:rPr>
        <w:t xml:space="preserve">nº </w:t>
      </w:r>
      <w:r w:rsidRPr="00322F1D" w:rsidR="00EB17A8">
        <w:rPr>
          <w:rFonts w:asciiTheme="minorHAnsi" w:hAnsiTheme="minorHAnsi" w:cstheme="minorHAnsi"/>
          <w:b/>
          <w:bCs/>
          <w:color w:val="auto"/>
        </w:rPr>
        <w:t>0</w:t>
      </w:r>
      <w:r w:rsidRPr="00322F1D" w:rsidR="007904AB">
        <w:rPr>
          <w:rFonts w:asciiTheme="minorHAnsi" w:hAnsiTheme="minorHAnsi" w:cstheme="minorHAnsi"/>
          <w:b/>
          <w:bCs/>
          <w:color w:val="auto"/>
        </w:rPr>
        <w:t>1</w:t>
      </w:r>
      <w:r w:rsidRPr="00322F1D">
        <w:rPr>
          <w:rFonts w:asciiTheme="minorHAnsi" w:hAnsiTheme="minorHAnsi" w:cstheme="minorHAnsi"/>
          <w:b/>
          <w:bCs/>
          <w:color w:val="auto"/>
        </w:rPr>
        <w:t xml:space="preserve"> ao Projeto de Lei nº </w:t>
      </w:r>
      <w:r w:rsidR="00AB3E85">
        <w:rPr>
          <w:rFonts w:asciiTheme="minorHAnsi" w:hAnsiTheme="minorHAnsi" w:cstheme="minorHAnsi"/>
          <w:b/>
          <w:bCs/>
          <w:color w:val="auto"/>
        </w:rPr>
        <w:t>8</w:t>
      </w:r>
      <w:r w:rsidR="002F34C0">
        <w:rPr>
          <w:rFonts w:asciiTheme="minorHAnsi" w:hAnsiTheme="minorHAnsi" w:cstheme="minorHAnsi"/>
          <w:b/>
          <w:bCs/>
          <w:color w:val="auto"/>
        </w:rPr>
        <w:t>1</w:t>
      </w:r>
      <w:r w:rsidRPr="00322F1D" w:rsidR="00AA2F4C">
        <w:rPr>
          <w:rFonts w:asciiTheme="minorHAnsi" w:hAnsiTheme="minorHAnsi" w:cstheme="minorHAnsi"/>
          <w:b/>
          <w:bCs/>
          <w:color w:val="auto"/>
        </w:rPr>
        <w:t>/</w:t>
      </w:r>
      <w:r w:rsidRPr="00322F1D">
        <w:rPr>
          <w:rFonts w:asciiTheme="minorHAnsi" w:hAnsiTheme="minorHAnsi" w:cstheme="minorHAnsi"/>
          <w:b/>
          <w:bCs/>
          <w:color w:val="auto"/>
        </w:rPr>
        <w:t>202</w:t>
      </w:r>
      <w:r w:rsidRPr="00322F1D" w:rsidR="005D2178">
        <w:rPr>
          <w:rFonts w:asciiTheme="minorHAnsi" w:hAnsiTheme="minorHAnsi" w:cstheme="minorHAnsi"/>
          <w:b/>
          <w:bCs/>
          <w:color w:val="auto"/>
        </w:rPr>
        <w:t>5</w:t>
      </w:r>
      <w:r w:rsidRPr="00322F1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22F1D" w:rsidR="00B378D7">
        <w:rPr>
          <w:rFonts w:asciiTheme="minorHAnsi" w:hAnsiTheme="minorHAnsi" w:cstheme="minorHAnsi"/>
          <w:color w:val="auto"/>
        </w:rPr>
        <w:t xml:space="preserve">que </w:t>
      </w:r>
      <w:r w:rsidRPr="007E42C9">
        <w:rPr>
          <w:rFonts w:asciiTheme="minorHAnsi" w:hAnsiTheme="minorHAnsi" w:cstheme="minorHAnsi"/>
          <w:color w:val="auto"/>
        </w:rPr>
        <w:t>“</w:t>
      </w:r>
      <w:r w:rsidRPr="002F34C0" w:rsidR="002F34C0">
        <w:rPr>
          <w:rFonts w:asciiTheme="minorHAnsi" w:hAnsiTheme="minorHAnsi" w:cstheme="minorHAnsi"/>
          <w:i/>
          <w:color w:val="auto"/>
        </w:rPr>
        <w:t>Institui a divulgação em site</w:t>
      </w:r>
      <w:r w:rsidR="002F34C0">
        <w:rPr>
          <w:rFonts w:asciiTheme="minorHAnsi" w:hAnsiTheme="minorHAnsi" w:cstheme="minorHAnsi"/>
          <w:i/>
          <w:color w:val="auto"/>
        </w:rPr>
        <w:t xml:space="preserve"> </w:t>
      </w:r>
      <w:r w:rsidRPr="002F34C0" w:rsidR="002F34C0">
        <w:rPr>
          <w:rFonts w:asciiTheme="minorHAnsi" w:hAnsiTheme="minorHAnsi" w:cstheme="minorHAnsi"/>
          <w:i/>
          <w:color w:val="auto"/>
        </w:rPr>
        <w:t>oficial do executivo as alterações nas tarifas e todos os subsídios pagos para o</w:t>
      </w:r>
      <w:r w:rsidRPr="002F34C0" w:rsidR="002F34C0">
        <w:rPr>
          <w:rFonts w:asciiTheme="minorHAnsi" w:hAnsiTheme="minorHAnsi" w:cstheme="minorHAnsi"/>
          <w:i/>
          <w:color w:val="auto"/>
        </w:rPr>
        <w:br/>
        <w:t>transporte público municipal, bem como, o detalhamento dos valores e cálculos</w:t>
      </w:r>
      <w:r w:rsidRPr="002F34C0" w:rsidR="002F34C0">
        <w:rPr>
          <w:rFonts w:asciiTheme="minorHAnsi" w:hAnsiTheme="minorHAnsi" w:cstheme="minorHAnsi"/>
          <w:i/>
          <w:color w:val="auto"/>
        </w:rPr>
        <w:br/>
        <w:t>realizados para definirem os respectivos pagamentos e tarifa, com suas respectivas</w:t>
      </w:r>
      <w:r w:rsidRPr="002F34C0" w:rsidR="002F34C0">
        <w:rPr>
          <w:rFonts w:asciiTheme="minorHAnsi" w:hAnsiTheme="minorHAnsi" w:cstheme="minorHAnsi"/>
          <w:i/>
          <w:color w:val="auto"/>
        </w:rPr>
        <w:br/>
        <w:t>atualizações e repasses com fácil acesso a população</w:t>
      </w:r>
      <w:r w:rsidRPr="002F34C0" w:rsidR="00AB3E85">
        <w:rPr>
          <w:rFonts w:asciiTheme="minorHAnsi" w:hAnsiTheme="minorHAnsi" w:cstheme="minorHAnsi"/>
          <w:i/>
          <w:color w:val="auto"/>
        </w:rPr>
        <w:t>”.</w:t>
      </w:r>
    </w:p>
    <w:p w:rsidR="00450388" w:rsidRPr="00322F1D" w:rsidP="007E42C9">
      <w:pPr>
        <w:pStyle w:val="Default"/>
        <w:jc w:val="both"/>
        <w:rPr>
          <w:rFonts w:asciiTheme="minorHAnsi" w:hAnsiTheme="minorHAnsi" w:cstheme="minorHAnsi"/>
          <w:bCs/>
          <w:color w:val="FF0000"/>
        </w:rPr>
      </w:pPr>
      <w:r w:rsidRPr="00322F1D">
        <w:rPr>
          <w:rFonts w:asciiTheme="minorHAnsi" w:hAnsiTheme="minorHAnsi" w:cstheme="minorHAnsi"/>
          <w:b/>
          <w:bCs/>
        </w:rPr>
        <w:t>Autoria</w:t>
      </w:r>
      <w:r w:rsidR="00EC6B07">
        <w:rPr>
          <w:rFonts w:asciiTheme="minorHAnsi" w:hAnsiTheme="minorHAnsi" w:cstheme="minorHAnsi"/>
          <w:b/>
          <w:bCs/>
        </w:rPr>
        <w:t xml:space="preserve"> da emenda</w:t>
      </w:r>
      <w:r w:rsidRPr="00322F1D">
        <w:rPr>
          <w:rFonts w:asciiTheme="minorHAnsi" w:hAnsiTheme="minorHAnsi" w:cstheme="minorHAnsi"/>
          <w:b/>
          <w:bCs/>
        </w:rPr>
        <w:t>:</w:t>
      </w:r>
      <w:r w:rsidRPr="00322F1D" w:rsidR="00D4238B">
        <w:rPr>
          <w:rFonts w:asciiTheme="minorHAnsi" w:hAnsiTheme="minorHAnsi" w:cstheme="minorHAnsi"/>
          <w:b/>
          <w:bCs/>
        </w:rPr>
        <w:t xml:space="preserve"> </w:t>
      </w:r>
      <w:r w:rsidR="0005710A">
        <w:rPr>
          <w:rFonts w:asciiTheme="minorHAnsi" w:hAnsiTheme="minorHAnsi" w:cstheme="minorHAnsi"/>
          <w:bCs/>
        </w:rPr>
        <w:t>Vereador</w:t>
      </w:r>
      <w:r w:rsidR="002F34C0">
        <w:rPr>
          <w:rFonts w:asciiTheme="minorHAnsi" w:hAnsiTheme="minorHAnsi" w:cstheme="minorHAnsi"/>
          <w:bCs/>
        </w:rPr>
        <w:t xml:space="preserve"> Fábio Damasceno</w:t>
      </w:r>
      <w:r w:rsidR="00EC6B07">
        <w:rPr>
          <w:rFonts w:asciiTheme="minorHAnsi" w:hAnsiTheme="minorHAnsi" w:cstheme="minorHAnsi"/>
          <w:bCs/>
        </w:rPr>
        <w:t>.</w:t>
      </w:r>
    </w:p>
    <w:p w:rsidR="00892CB9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FF0000"/>
          <w:szCs w:val="24"/>
        </w:rPr>
      </w:pPr>
    </w:p>
    <w:p w:rsidR="00FF072D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7E42C9" w:rsidRPr="00291824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924852" w:rsidRPr="00291824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291824">
        <w:rPr>
          <w:rFonts w:eastAsia="Calibri" w:asciiTheme="minorHAnsi" w:hAnsiTheme="minorHAnsi" w:cstheme="minorHAnsi"/>
          <w:b/>
          <w:szCs w:val="24"/>
        </w:rPr>
        <w:t>À Comissão de Justiça e Redação,</w:t>
      </w:r>
    </w:p>
    <w:p w:rsidR="00924852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291824">
        <w:rPr>
          <w:rFonts w:eastAsia="Calibri" w:asciiTheme="minorHAnsi" w:hAnsiTheme="minorHAnsi" w:cstheme="minorHAnsi"/>
          <w:b/>
          <w:szCs w:val="24"/>
        </w:rPr>
        <w:t xml:space="preserve">Exmo. Presidente Vereador José Osvaldo Cavalcante </w:t>
      </w:r>
      <w:r w:rsidRPr="00291824">
        <w:rPr>
          <w:rFonts w:eastAsia="Calibri" w:asciiTheme="minorHAnsi" w:hAnsiTheme="minorHAnsi" w:cstheme="minorHAnsi"/>
          <w:b/>
          <w:szCs w:val="24"/>
        </w:rPr>
        <w:t>Beloni</w:t>
      </w:r>
      <w:r w:rsidRPr="00291824">
        <w:rPr>
          <w:rFonts w:eastAsia="Calibri" w:asciiTheme="minorHAnsi" w:hAnsiTheme="minorHAnsi" w:cstheme="minorHAnsi"/>
          <w:b/>
          <w:szCs w:val="24"/>
        </w:rPr>
        <w:t xml:space="preserve"> (Kiko </w:t>
      </w:r>
      <w:r w:rsidRPr="00291824">
        <w:rPr>
          <w:rFonts w:eastAsia="Calibri" w:asciiTheme="minorHAnsi" w:hAnsiTheme="minorHAnsi" w:cstheme="minorHAnsi"/>
          <w:b/>
          <w:szCs w:val="24"/>
        </w:rPr>
        <w:t>Beloni</w:t>
      </w:r>
      <w:r w:rsidRPr="00291824">
        <w:rPr>
          <w:rFonts w:eastAsia="Calibri" w:asciiTheme="minorHAnsi" w:hAnsiTheme="minorHAnsi" w:cstheme="minorHAnsi"/>
          <w:b/>
          <w:szCs w:val="24"/>
        </w:rPr>
        <w:t>).</w:t>
      </w: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EC6B07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2F34C0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1C2F00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BE6BFD">
        <w:rPr>
          <w:rFonts w:asciiTheme="minorHAnsi" w:hAnsiTheme="minorHAnsi" w:cstheme="minorHAnsi"/>
          <w:color w:val="auto"/>
        </w:rPr>
        <w:t>Trata-se de parecer jurídic</w:t>
      </w:r>
      <w:r w:rsidRPr="00BE6BFD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E6BFD">
        <w:rPr>
          <w:rFonts w:asciiTheme="minorHAnsi" w:hAnsiTheme="minorHAnsi" w:cstheme="minorHAnsi"/>
          <w:color w:val="auto"/>
        </w:rPr>
        <w:t>que</w:t>
      </w:r>
      <w:r w:rsidRPr="00BE6BFD" w:rsidR="00D4238B">
        <w:rPr>
          <w:rFonts w:asciiTheme="minorHAnsi" w:hAnsiTheme="minorHAnsi" w:cstheme="minorHAnsi"/>
          <w:color w:val="auto"/>
        </w:rPr>
        <w:t xml:space="preserve"> </w:t>
      </w:r>
      <w:r w:rsidRPr="00BE6BFD" w:rsidR="00B378D7">
        <w:rPr>
          <w:rFonts w:asciiTheme="minorHAnsi" w:hAnsiTheme="minorHAnsi" w:cstheme="minorHAnsi"/>
          <w:color w:val="auto"/>
        </w:rPr>
        <w:t>tenciona</w:t>
      </w:r>
      <w:r w:rsidRPr="00BE6BFD" w:rsidR="00944D41">
        <w:rPr>
          <w:rFonts w:asciiTheme="minorHAnsi" w:hAnsiTheme="minorHAnsi" w:cstheme="minorHAnsi"/>
          <w:color w:val="auto"/>
        </w:rPr>
        <w:t xml:space="preserve"> </w:t>
      </w:r>
      <w:r w:rsidRPr="00BE6BFD" w:rsidR="00924852">
        <w:rPr>
          <w:rFonts w:asciiTheme="minorHAnsi" w:hAnsiTheme="minorHAnsi" w:cstheme="minorHAnsi"/>
          <w:color w:val="auto"/>
        </w:rPr>
        <w:t>alterar</w:t>
      </w:r>
      <w:r w:rsidRPr="00BE6BFD" w:rsidR="00396351">
        <w:rPr>
          <w:rFonts w:asciiTheme="minorHAnsi" w:hAnsiTheme="minorHAnsi" w:cstheme="minorHAnsi"/>
          <w:color w:val="auto"/>
        </w:rPr>
        <w:t xml:space="preserve"> </w:t>
      </w:r>
      <w:r w:rsidR="00AB3E85">
        <w:rPr>
          <w:rFonts w:asciiTheme="minorHAnsi" w:hAnsiTheme="minorHAnsi" w:cstheme="minorHAnsi"/>
          <w:color w:val="auto"/>
        </w:rPr>
        <w:t xml:space="preserve">o </w:t>
      </w:r>
      <w:r w:rsidR="007E42C9">
        <w:rPr>
          <w:rFonts w:asciiTheme="minorHAnsi" w:hAnsiTheme="minorHAnsi" w:cstheme="minorHAnsi"/>
          <w:color w:val="auto"/>
        </w:rPr>
        <w:t>art</w:t>
      </w:r>
      <w:r w:rsidR="00AB3E85">
        <w:rPr>
          <w:rFonts w:asciiTheme="minorHAnsi" w:hAnsiTheme="minorHAnsi" w:cstheme="minorHAnsi"/>
          <w:color w:val="auto"/>
        </w:rPr>
        <w:t>. 4</w:t>
      </w:r>
      <w:r w:rsidR="007E42C9">
        <w:rPr>
          <w:rFonts w:asciiTheme="minorHAnsi" w:hAnsiTheme="minorHAnsi" w:cstheme="minorHAnsi"/>
          <w:color w:val="auto"/>
        </w:rPr>
        <w:t>º</w:t>
      </w:r>
      <w:r w:rsidR="00AB3E85">
        <w:rPr>
          <w:rFonts w:asciiTheme="minorHAnsi" w:hAnsiTheme="minorHAnsi"/>
          <w:color w:val="auto"/>
        </w:rPr>
        <w:t xml:space="preserve"> </w:t>
      </w:r>
      <w:r w:rsidRPr="00BE6BFD" w:rsidR="00944D41">
        <w:rPr>
          <w:rFonts w:asciiTheme="minorHAnsi" w:hAnsiTheme="minorHAnsi"/>
          <w:color w:val="auto"/>
        </w:rPr>
        <w:t xml:space="preserve">do Projeto de Lei nº </w:t>
      </w:r>
      <w:r w:rsidR="00AB3E85">
        <w:rPr>
          <w:rFonts w:asciiTheme="minorHAnsi" w:hAnsiTheme="minorHAnsi"/>
          <w:color w:val="auto"/>
        </w:rPr>
        <w:t>8</w:t>
      </w:r>
      <w:r w:rsidR="002F34C0">
        <w:rPr>
          <w:rFonts w:asciiTheme="minorHAnsi" w:hAnsiTheme="minorHAnsi"/>
          <w:color w:val="auto"/>
        </w:rPr>
        <w:t>1</w:t>
      </w:r>
      <w:r w:rsidRPr="00BE6BFD" w:rsidR="00944D41">
        <w:rPr>
          <w:rFonts w:asciiTheme="minorHAnsi" w:hAnsiTheme="minorHAnsi"/>
          <w:color w:val="auto"/>
        </w:rPr>
        <w:t>/202</w:t>
      </w:r>
      <w:r w:rsidRPr="00BE6BFD" w:rsidR="005D2178">
        <w:rPr>
          <w:rFonts w:asciiTheme="minorHAnsi" w:hAnsiTheme="minorHAnsi"/>
          <w:color w:val="auto"/>
        </w:rPr>
        <w:t>5</w:t>
      </w:r>
      <w:r w:rsidR="00EC6B07">
        <w:rPr>
          <w:rFonts w:asciiTheme="minorHAnsi" w:hAnsiTheme="minorHAnsi"/>
          <w:color w:val="auto"/>
        </w:rPr>
        <w:t xml:space="preserve"> </w:t>
      </w:r>
      <w:r w:rsidRPr="00322F1D" w:rsidR="00EC6B07">
        <w:rPr>
          <w:rFonts w:asciiTheme="minorHAnsi" w:hAnsiTheme="minorHAnsi" w:cstheme="minorHAnsi"/>
          <w:color w:val="auto"/>
        </w:rPr>
        <w:t xml:space="preserve">que </w:t>
      </w:r>
      <w:r w:rsidR="002F34C0">
        <w:rPr>
          <w:rFonts w:asciiTheme="minorHAnsi" w:hAnsiTheme="minorHAnsi" w:cstheme="minorHAnsi"/>
          <w:color w:val="auto"/>
        </w:rPr>
        <w:t>“</w:t>
      </w:r>
      <w:r w:rsidRPr="002F34C0" w:rsidR="002F34C0">
        <w:rPr>
          <w:rFonts w:asciiTheme="minorHAnsi" w:hAnsiTheme="minorHAnsi" w:cs="Arial"/>
          <w:i/>
          <w:shd w:val="clear" w:color="auto" w:fill="FFFFFF"/>
        </w:rPr>
        <w:t>Institui a divulgação em site</w:t>
      </w:r>
      <w:r w:rsidRPr="002F34C0" w:rsidR="002F34C0">
        <w:rPr>
          <w:rFonts w:asciiTheme="minorHAnsi" w:hAnsiTheme="minorHAnsi"/>
          <w:i/>
          <w:sz w:val="27"/>
          <w:szCs w:val="27"/>
        </w:rPr>
        <w:br/>
      </w:r>
      <w:r w:rsidRPr="002F34C0" w:rsidR="002F34C0">
        <w:rPr>
          <w:rFonts w:asciiTheme="minorHAnsi" w:hAnsiTheme="minorHAnsi" w:cs="Arial"/>
          <w:i/>
          <w:shd w:val="clear" w:color="auto" w:fill="FFFFFF"/>
        </w:rPr>
        <w:t>oficial do executivo as alterações nas tarifas e todos os subsídios pagos para o</w:t>
      </w:r>
      <w:r w:rsidRPr="002F34C0" w:rsidR="002F34C0">
        <w:rPr>
          <w:rFonts w:asciiTheme="minorHAnsi" w:hAnsiTheme="minorHAnsi"/>
          <w:i/>
          <w:sz w:val="27"/>
          <w:szCs w:val="27"/>
        </w:rPr>
        <w:br/>
      </w:r>
      <w:r w:rsidRPr="002F34C0" w:rsidR="002F34C0">
        <w:rPr>
          <w:rFonts w:asciiTheme="minorHAnsi" w:hAnsiTheme="minorHAnsi" w:cs="Arial"/>
          <w:i/>
          <w:shd w:val="clear" w:color="auto" w:fill="FFFFFF"/>
        </w:rPr>
        <w:t>transporte público municipal, bem como, o detalhamento dos valores e cálculos</w:t>
      </w:r>
      <w:r w:rsidRPr="002F34C0" w:rsidR="002F34C0">
        <w:rPr>
          <w:rFonts w:asciiTheme="minorHAnsi" w:hAnsiTheme="minorHAnsi"/>
          <w:i/>
          <w:sz w:val="27"/>
          <w:szCs w:val="27"/>
        </w:rPr>
        <w:br/>
      </w:r>
      <w:r w:rsidRPr="002F34C0" w:rsidR="002F34C0">
        <w:rPr>
          <w:rFonts w:asciiTheme="minorHAnsi" w:hAnsiTheme="minorHAnsi" w:cs="Arial"/>
          <w:i/>
          <w:shd w:val="clear" w:color="auto" w:fill="FFFFFF"/>
        </w:rPr>
        <w:t>realizados para definirem os respectivos pagamentos e tarifa, com suas respectivas</w:t>
      </w:r>
      <w:r w:rsidRPr="002F34C0" w:rsidR="002F34C0">
        <w:rPr>
          <w:rFonts w:asciiTheme="minorHAnsi" w:hAnsiTheme="minorHAnsi"/>
          <w:i/>
          <w:sz w:val="27"/>
          <w:szCs w:val="27"/>
        </w:rPr>
        <w:br/>
      </w:r>
      <w:r w:rsidRPr="002F34C0" w:rsidR="002F34C0">
        <w:rPr>
          <w:rFonts w:asciiTheme="minorHAnsi" w:hAnsiTheme="minorHAnsi" w:cs="Arial"/>
          <w:i/>
          <w:shd w:val="clear" w:color="auto" w:fill="FFFFFF"/>
        </w:rPr>
        <w:t>atualizações e repasses com fácil acesso a população</w:t>
      </w:r>
      <w:r w:rsidR="002F34C0">
        <w:rPr>
          <w:rFonts w:asciiTheme="minorHAnsi" w:hAnsiTheme="minorHAnsi" w:cs="Arial"/>
          <w:i/>
          <w:shd w:val="clear" w:color="auto" w:fill="FFFFFF"/>
        </w:rPr>
        <w:t>”</w:t>
      </w:r>
      <w:r w:rsidRPr="00AB3E85" w:rsidR="00AB3E85">
        <w:rPr>
          <w:rFonts w:asciiTheme="minorHAnsi" w:hAnsiTheme="minorHAnsi" w:cstheme="minorHAnsi"/>
          <w:i/>
          <w:color w:val="auto"/>
        </w:rPr>
        <w:t>,</w:t>
      </w:r>
      <w:r w:rsidR="00AB3E85">
        <w:rPr>
          <w:rFonts w:asciiTheme="minorHAnsi" w:hAnsiTheme="minorHAnsi" w:cstheme="minorHAnsi"/>
          <w:color w:val="auto"/>
        </w:rPr>
        <w:t xml:space="preserve"> nos seguintes termos:</w:t>
      </w:r>
    </w:p>
    <w:tbl>
      <w:tblPr>
        <w:tblStyle w:val="TableGrid"/>
        <w:tblW w:w="8613" w:type="dxa"/>
        <w:tblLayout w:type="fixed"/>
        <w:tblLook w:val="04A0"/>
      </w:tblPr>
      <w:tblGrid>
        <w:gridCol w:w="4219"/>
        <w:gridCol w:w="4394"/>
      </w:tblGrid>
      <w:tr w:rsidTr="00AB3E85">
        <w:tblPrEx>
          <w:tblW w:w="8613" w:type="dxa"/>
          <w:tblLayout w:type="fixed"/>
          <w:tblLook w:val="04A0"/>
        </w:tblPrEx>
        <w:trPr>
          <w:trHeight w:val="548"/>
        </w:trPr>
        <w:tc>
          <w:tcPr>
            <w:tcW w:w="4219" w:type="dxa"/>
            <w:shd w:val="clear" w:color="auto" w:fill="8DB3E2" w:themeFill="text2" w:themeFillTint="66"/>
            <w:vAlign w:val="center"/>
          </w:tcPr>
          <w:p w:rsidR="00AB3E85" w:rsidRPr="002F34C0" w:rsidP="00AB3E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 </w:t>
            </w:r>
            <w:r w:rsidRPr="002F34C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2F34C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F34C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  <w:tc>
          <w:tcPr>
            <w:tcW w:w="4394" w:type="dxa"/>
            <w:shd w:val="clear" w:color="auto" w:fill="8DB3E2" w:themeFill="text2" w:themeFillTint="66"/>
            <w:vAlign w:val="center"/>
          </w:tcPr>
          <w:p w:rsidR="00AB3E85" w:rsidRPr="002F34C0" w:rsidP="00AB3E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Emenda nº 1 ao PL </w:t>
            </w:r>
            <w:r w:rsidRPr="002F34C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2F34C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F34C0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Tr="002636F0">
        <w:tblPrEx>
          <w:tblW w:w="8613" w:type="dxa"/>
          <w:tblLayout w:type="fixed"/>
          <w:tblLook w:val="04A0"/>
        </w:tblPrEx>
        <w:trPr>
          <w:trHeight w:val="2872"/>
        </w:trPr>
        <w:tc>
          <w:tcPr>
            <w:tcW w:w="4219" w:type="dxa"/>
          </w:tcPr>
          <w:p w:rsidR="00AB3E85" w:rsidRPr="002F34C0" w:rsidP="002636F0">
            <w:pPr>
              <w:ind w:left="33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:rsidR="00AB3E85" w:rsidRPr="002F34C0" w:rsidP="002636F0">
            <w:pPr>
              <w:ind w:left="33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:rsidR="00AB3E85" w:rsidRPr="002F34C0" w:rsidP="002F34C0">
            <w:pPr>
              <w:tabs>
                <w:tab w:val="left" w:pos="975"/>
              </w:tabs>
              <w:ind w:left="33"/>
              <w:jc w:val="both"/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</w:pPr>
            <w:r w:rsidRPr="002F34C0"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>Art. 4º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Em toda alteração no valor da tarifa ou subsídio pago ou alterado seu valor, torna-se obrigatório 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atualização no respectivo link do poder executivo, com os dados devidamente detalhados, </w:t>
            </w:r>
            <w:r w:rsidRPr="002F34C0"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>em até 48 horas da respectiva alteração</w:t>
            </w:r>
          </w:p>
          <w:p w:rsidR="00AB3E85" w:rsidRPr="002F34C0" w:rsidP="002636F0">
            <w:pPr>
              <w:ind w:left="33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:rsidR="002F34C0" w:rsidRPr="002F34C0" w:rsidP="002636F0">
            <w:pPr>
              <w:pStyle w:val="ListParagraph"/>
              <w:ind w:left="176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:rsidR="002F34C0" w:rsidP="002636F0">
            <w:pPr>
              <w:pStyle w:val="ListParagraph"/>
              <w:ind w:left="176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:rsidR="00AB3E85" w:rsidRPr="002F34C0" w:rsidP="002F34C0">
            <w:pPr>
              <w:pStyle w:val="ListParagraph"/>
              <w:ind w:left="176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2F34C0"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>Art. 4º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Em toda alteração no valor da tarifa ou subsídi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o 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pago ou alterado seu valor, torna-se obrigatório 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atualização no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respectivo link do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F34C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poder executivo, com os dados devidamente detalhados.</w:t>
            </w:r>
          </w:p>
        </w:tc>
      </w:tr>
    </w:tbl>
    <w:p w:rsidR="00AB3E85" w:rsidRPr="007624C1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892CB9" w:rsidRPr="00AC4F6A" w:rsidP="00892CB9">
      <w:pPr>
        <w:pStyle w:val="Default"/>
        <w:spacing w:after="20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AC4F6A">
        <w:rPr>
          <w:rFonts w:asciiTheme="minorHAnsi" w:hAnsiTheme="minorHAnsi" w:cstheme="minorHAnsi"/>
          <w:i/>
          <w:color w:val="auto"/>
        </w:rPr>
        <w:t>Ab</w:t>
      </w:r>
      <w:r w:rsidRPr="00AC4F6A">
        <w:rPr>
          <w:rFonts w:asciiTheme="minorHAnsi" w:hAnsiTheme="minorHAnsi" w:cstheme="minorHAnsi"/>
          <w:i/>
          <w:color w:val="auto"/>
        </w:rPr>
        <w:t xml:space="preserve"> initio</w:t>
      </w:r>
      <w:r w:rsidRPr="00AC4F6A">
        <w:rPr>
          <w:rFonts w:asciiTheme="minorHAnsi" w:hAnsiTheme="minorHAnsi" w:cstheme="minorHAnsi"/>
          <w:color w:val="auto"/>
        </w:rPr>
        <w:t>, cumpre destacar a competência regimental d</w:t>
      </w:r>
      <w:r w:rsidRPr="00AC4F6A" w:rsidR="004B1794">
        <w:rPr>
          <w:rFonts w:asciiTheme="minorHAnsi" w:hAnsiTheme="minorHAnsi" w:cstheme="minorHAnsi"/>
          <w:color w:val="auto"/>
        </w:rPr>
        <w:t>a Comissão de Justiça e Redação</w:t>
      </w:r>
      <w:r w:rsidRPr="00AC4F6A">
        <w:rPr>
          <w:rFonts w:asciiTheme="minorHAnsi" w:hAnsiTheme="minorHAnsi" w:cstheme="minorHAnsi"/>
          <w:color w:val="auto"/>
        </w:rPr>
        <w:t xml:space="preserve"> estabelecida no artigo 38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AC4F6A">
        <w:rPr>
          <w:rFonts w:asciiTheme="minorHAnsi" w:hAnsiTheme="minorHAnsi" w:cstheme="minorHAnsi"/>
          <w:color w:val="auto"/>
        </w:rPr>
        <w:t>.</w:t>
      </w:r>
      <w:r w:rsidRPr="00AC4F6A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AC4F6A" w:rsidP="00134D7C">
      <w:pPr>
        <w:pStyle w:val="Default"/>
        <w:spacing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AC4F6A">
        <w:rPr>
          <w:rFonts w:asciiTheme="minorHAnsi" w:hAnsiTheme="minorHAnsi" w:cstheme="minorHAnsi"/>
          <w:color w:val="auto"/>
        </w:rPr>
        <w:t>Re</w:t>
      </w:r>
      <w:r w:rsidRPr="00AC4F6A" w:rsidR="0082204D">
        <w:rPr>
          <w:rFonts w:asciiTheme="minorHAnsi" w:hAnsiTheme="minorHAnsi" w:cstheme="minorHAnsi"/>
          <w:color w:val="auto"/>
        </w:rPr>
        <w:t>ssalta-se</w:t>
      </w:r>
      <w:r w:rsidRPr="00AC4F6A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AC4F6A">
        <w:rPr>
          <w:rFonts w:asciiTheme="minorHAnsi" w:hAnsiTheme="minorHAnsi" w:cstheme="minorHAnsi"/>
          <w:b/>
          <w:color w:val="auto"/>
        </w:rPr>
        <w:t>não tem força vinculante</w:t>
      </w:r>
      <w:r w:rsidRPr="00AC4F6A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3"/>
      </w:r>
      <w:r w:rsidRPr="00AC4F6A" w:rsidR="007703E8">
        <w:rPr>
          <w:rFonts w:asciiTheme="minorHAnsi" w:hAnsiTheme="minorHAnsi" w:cstheme="minorHAnsi"/>
          <w:color w:val="auto"/>
        </w:rPr>
        <w:t xml:space="preserve"> para ulterior emissão de parecer </w:t>
      </w:r>
      <w:r w:rsidRPr="00AC4F6A" w:rsidR="00027908">
        <w:rPr>
          <w:rFonts w:asciiTheme="minorHAnsi" w:hAnsiTheme="minorHAnsi" w:cstheme="minorHAnsi"/>
          <w:color w:val="auto"/>
        </w:rPr>
        <w:t>pelas Comissões.</w:t>
      </w:r>
      <w:r w:rsidRPr="00AC4F6A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P="00134D7C">
      <w:pPr>
        <w:tabs>
          <w:tab w:val="left" w:pos="1701"/>
        </w:tabs>
        <w:spacing w:after="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 w:rsidRPr="00AC4F6A">
        <w:rPr>
          <w:rFonts w:eastAsia="Calibri" w:asciiTheme="minorHAnsi" w:hAnsiTheme="minorHAnsi" w:cstheme="minorHAnsi"/>
          <w:szCs w:val="24"/>
        </w:rPr>
        <w:t>Assim</w:t>
      </w:r>
      <w:r w:rsidRPr="00AC4F6A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AC4F6A">
        <w:rPr>
          <w:rFonts w:eastAsia="Calibri" w:asciiTheme="minorHAnsi" w:hAnsiTheme="minorHAnsi" w:cstheme="minorHAnsi"/>
          <w:szCs w:val="24"/>
        </w:rPr>
        <w:t xml:space="preserve">considerando </w:t>
      </w:r>
      <w:r w:rsidRPr="00AC4F6A" w:rsidR="00B743FF">
        <w:rPr>
          <w:rFonts w:eastAsia="Calibri" w:asciiTheme="minorHAnsi" w:hAnsiTheme="minorHAnsi" w:cstheme="minorHAnsi"/>
          <w:szCs w:val="24"/>
        </w:rPr>
        <w:t>os aspectos jurídicos passamos à</w:t>
      </w:r>
      <w:r w:rsidRPr="00AC4F6A">
        <w:rPr>
          <w:rFonts w:eastAsia="Calibri" w:asciiTheme="minorHAnsi" w:hAnsiTheme="minorHAnsi" w:cstheme="minorHAnsi"/>
          <w:szCs w:val="24"/>
        </w:rPr>
        <w:t xml:space="preserve"> análise técnica do projeto em epígrafe solicitado.</w:t>
      </w:r>
    </w:p>
    <w:p w:rsidR="003337BF" w:rsidRPr="00AC4F6A" w:rsidP="00134D7C">
      <w:pPr>
        <w:tabs>
          <w:tab w:val="left" w:pos="1701"/>
        </w:tabs>
        <w:spacing w:after="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</w:p>
    <w:p w:rsidR="00A779B8" w:rsidRPr="00AC4F6A" w:rsidP="00134D7C">
      <w:pPr>
        <w:spacing w:after="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AC4F6A">
        <w:rPr>
          <w:rFonts w:asciiTheme="minorHAnsi" w:hAnsiTheme="minorHAnsi" w:cs="Calibri"/>
          <w:szCs w:val="24"/>
        </w:rPr>
        <w:t>No que tange a</w:t>
      </w:r>
      <w:r w:rsidRPr="00AC4F6A" w:rsidR="0073309B">
        <w:rPr>
          <w:rFonts w:asciiTheme="minorHAnsi" w:hAnsiTheme="minorHAnsi" w:cs="Calibri"/>
          <w:szCs w:val="24"/>
        </w:rPr>
        <w:t xml:space="preserve"> projeto</w:t>
      </w:r>
      <w:r w:rsidRPr="00AC4F6A" w:rsidR="00313BE8">
        <w:rPr>
          <w:rFonts w:asciiTheme="minorHAnsi" w:hAnsiTheme="minorHAnsi" w:cs="Calibri"/>
          <w:szCs w:val="24"/>
        </w:rPr>
        <w:t>s</w:t>
      </w:r>
      <w:r w:rsidRPr="00AC4F6A" w:rsidR="0073309B">
        <w:rPr>
          <w:rFonts w:asciiTheme="minorHAnsi" w:hAnsiTheme="minorHAnsi" w:cs="Calibri"/>
          <w:szCs w:val="24"/>
        </w:rPr>
        <w:t xml:space="preserve"> de emenda</w:t>
      </w:r>
      <w:r w:rsidRPr="00AC4F6A">
        <w:rPr>
          <w:rFonts w:asciiTheme="minorHAnsi" w:hAnsiTheme="minorHAnsi" w:cs="Calibri"/>
          <w:szCs w:val="24"/>
        </w:rPr>
        <w:t xml:space="preserve">, </w:t>
      </w:r>
      <w:r w:rsidRPr="00AC4F6A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  <w:u w:val="single"/>
        </w:rPr>
      </w:pP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Art. 140. </w:t>
      </w:r>
      <w:r w:rsidRPr="00AC4F6A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7624C1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624C1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AC4F6A">
        <w:rPr>
          <w:rFonts w:asciiTheme="minorHAnsi" w:hAnsiTheme="minorHAnsi" w:cs="Calibri"/>
          <w:i/>
          <w:sz w:val="22"/>
          <w:szCs w:val="22"/>
        </w:rPr>
        <w:t>emenda estranhos</w:t>
      </w:r>
      <w:r w:rsidRPr="00AC4F6A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624C1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AC4F6A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AC4F6A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AC4F6A" w:rsidR="005D6203">
        <w:rPr>
          <w:rFonts w:asciiTheme="minorHAnsi" w:hAnsiTheme="minorHAnsi" w:cs="Calibri"/>
          <w:szCs w:val="24"/>
        </w:rPr>
        <w:t xml:space="preserve">em apreço </w:t>
      </w:r>
      <w:r w:rsidRPr="00AC4F6A">
        <w:rPr>
          <w:rFonts w:asciiTheme="minorHAnsi" w:hAnsiTheme="minorHAnsi" w:cs="Calibri"/>
          <w:szCs w:val="24"/>
        </w:rPr>
        <w:t xml:space="preserve">atende aos dispositivos </w:t>
      </w:r>
      <w:r w:rsidR="001F0003">
        <w:rPr>
          <w:rFonts w:asciiTheme="minorHAnsi" w:hAnsiTheme="minorHAnsi" w:cs="Calibri"/>
          <w:szCs w:val="24"/>
        </w:rPr>
        <w:t xml:space="preserve">retro </w:t>
      </w:r>
      <w:r w:rsidRPr="00AC4F6A">
        <w:rPr>
          <w:rFonts w:asciiTheme="minorHAnsi" w:hAnsiTheme="minorHAnsi" w:cs="Calibri"/>
          <w:szCs w:val="24"/>
        </w:rPr>
        <w:t>do Regimento Interno da Câmara, não havendo óbice regimental na sua tramitação</w:t>
      </w:r>
      <w:r w:rsidRPr="00AC4F6A" w:rsidR="00944D41">
        <w:rPr>
          <w:rFonts w:asciiTheme="minorHAnsi" w:hAnsiTheme="minorHAnsi" w:cs="Calibri"/>
          <w:szCs w:val="24"/>
        </w:rPr>
        <w:t xml:space="preserve"> e</w:t>
      </w:r>
      <w:r w:rsidRPr="00AC4F6A" w:rsidR="0070670C">
        <w:rPr>
          <w:rFonts w:asciiTheme="minorHAnsi" w:hAnsiTheme="minorHAnsi" w:cs="Calibri"/>
          <w:szCs w:val="24"/>
        </w:rPr>
        <w:t>,</w:t>
      </w:r>
      <w:r w:rsidRPr="00AC4F6A" w:rsidR="00944D41">
        <w:rPr>
          <w:rFonts w:asciiTheme="minorHAnsi" w:hAnsiTheme="minorHAnsi" w:cs="Calibri"/>
          <w:szCs w:val="24"/>
        </w:rPr>
        <w:t xml:space="preserve"> quanto à matéria</w:t>
      </w:r>
      <w:r w:rsidR="008C5FBB">
        <w:rPr>
          <w:rFonts w:asciiTheme="minorHAnsi" w:hAnsiTheme="minorHAnsi" w:cs="Calibri"/>
          <w:szCs w:val="24"/>
        </w:rPr>
        <w:t>,</w:t>
      </w:r>
      <w:r w:rsidRPr="00AC4F6A" w:rsidR="00A608C8">
        <w:rPr>
          <w:rFonts w:asciiTheme="minorHAnsi" w:hAnsiTheme="minorHAnsi" w:cs="Calibri"/>
          <w:szCs w:val="24"/>
        </w:rPr>
        <w:t xml:space="preserve"> </w:t>
      </w:r>
      <w:r w:rsidR="003337BF">
        <w:rPr>
          <w:rFonts w:asciiTheme="minorHAnsi" w:hAnsiTheme="minorHAnsi" w:cs="Calibri"/>
          <w:szCs w:val="24"/>
        </w:rPr>
        <w:t xml:space="preserve">concluímos pela constitucionalidade </w:t>
      </w:r>
      <w:r w:rsidR="001869FE">
        <w:rPr>
          <w:rFonts w:asciiTheme="minorHAnsi" w:hAnsiTheme="minorHAnsi" w:cs="Calibri"/>
          <w:szCs w:val="24"/>
        </w:rPr>
        <w:t>da emenda que se limita a atende</w:t>
      </w:r>
      <w:r w:rsidR="003337BF">
        <w:rPr>
          <w:rFonts w:asciiTheme="minorHAnsi" w:hAnsiTheme="minorHAnsi" w:cs="Calibri"/>
          <w:szCs w:val="24"/>
        </w:rPr>
        <w:t>r recomendação constante d</w:t>
      </w:r>
      <w:r w:rsidRPr="008C5FBB" w:rsidR="008C5FBB">
        <w:rPr>
          <w:rFonts w:asciiTheme="minorHAnsi" w:hAnsiTheme="minorHAnsi" w:cs="Calibri"/>
          <w:szCs w:val="24"/>
        </w:rPr>
        <w:t xml:space="preserve">o </w:t>
      </w:r>
      <w:r w:rsidR="006F5486">
        <w:rPr>
          <w:rFonts w:asciiTheme="minorHAnsi" w:hAnsiTheme="minorHAnsi" w:cs="Calibri"/>
          <w:szCs w:val="24"/>
        </w:rPr>
        <w:t>P</w:t>
      </w:r>
      <w:r w:rsidRPr="00AC4F6A" w:rsidR="00944D41">
        <w:rPr>
          <w:rFonts w:asciiTheme="minorHAnsi" w:hAnsiTheme="minorHAnsi" w:cs="Calibri"/>
          <w:szCs w:val="24"/>
        </w:rPr>
        <w:t>arecer Jurídico nº</w:t>
      </w:r>
      <w:r w:rsidRPr="00AC4F6A" w:rsidR="005C59A3">
        <w:rPr>
          <w:rFonts w:asciiTheme="minorHAnsi" w:hAnsiTheme="minorHAnsi" w:cs="Calibri"/>
          <w:szCs w:val="24"/>
        </w:rPr>
        <w:t xml:space="preserve"> </w:t>
      </w:r>
      <w:r w:rsidR="002F34C0">
        <w:rPr>
          <w:rFonts w:asciiTheme="minorHAnsi" w:hAnsiTheme="minorHAnsi" w:cs="Calibri"/>
          <w:szCs w:val="24"/>
        </w:rPr>
        <w:t>110</w:t>
      </w:r>
      <w:r w:rsidR="003337BF">
        <w:rPr>
          <w:rFonts w:asciiTheme="minorHAnsi" w:hAnsiTheme="minorHAnsi" w:cs="Calibri"/>
          <w:szCs w:val="24"/>
        </w:rPr>
        <w:t>/</w:t>
      </w:r>
      <w:r w:rsidRPr="00AC4F6A" w:rsidR="00944D41">
        <w:rPr>
          <w:rFonts w:asciiTheme="minorHAnsi" w:hAnsiTheme="minorHAnsi" w:cs="Calibri"/>
          <w:szCs w:val="24"/>
        </w:rPr>
        <w:t>202</w:t>
      </w:r>
      <w:r w:rsidRPr="00AC4F6A" w:rsidR="00A608C8">
        <w:rPr>
          <w:rFonts w:asciiTheme="minorHAnsi" w:hAnsiTheme="minorHAnsi" w:cs="Calibri"/>
          <w:szCs w:val="24"/>
        </w:rPr>
        <w:t>5</w:t>
      </w:r>
      <w:r w:rsidRPr="00AC4F6A" w:rsidR="002C52B3">
        <w:rPr>
          <w:rFonts w:asciiTheme="minorHAnsi" w:hAnsiTheme="minorHAnsi" w:cs="Calibri"/>
          <w:szCs w:val="24"/>
        </w:rPr>
        <w:t xml:space="preserve">. </w:t>
      </w:r>
      <w:r w:rsidRPr="00AC4F6A" w:rsidR="003A712F">
        <w:rPr>
          <w:rFonts w:asciiTheme="minorHAnsi" w:hAnsiTheme="minorHAnsi" w:cs="Calibri"/>
          <w:szCs w:val="24"/>
        </w:rPr>
        <w:t>No exame do mérito</w:t>
      </w:r>
      <w:r w:rsidRPr="00AC4F6A">
        <w:rPr>
          <w:rFonts w:ascii="Calibri" w:hAnsi="Calibri" w:cstheme="minorHAnsi"/>
          <w:szCs w:val="24"/>
        </w:rPr>
        <w:t xml:space="preserve">, o </w:t>
      </w:r>
      <w:r w:rsidRPr="00AC4F6A" w:rsidR="001708EF">
        <w:rPr>
          <w:rFonts w:ascii="Calibri" w:hAnsi="Calibri" w:cstheme="minorHAnsi"/>
          <w:szCs w:val="24"/>
        </w:rPr>
        <w:t>Plenário é soberano.</w:t>
      </w:r>
    </w:p>
    <w:p w:rsidR="00A779B8" w:rsidRPr="00AC4F6A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AC4F6A">
        <w:rPr>
          <w:rFonts w:ascii="Calibri" w:hAnsi="Calibri" w:cs="Calibri"/>
          <w:szCs w:val="24"/>
        </w:rPr>
        <w:t>É o parecer, a superior consideração.</w:t>
      </w:r>
    </w:p>
    <w:p w:rsidR="00A779B8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AC4F6A">
        <w:rPr>
          <w:rFonts w:ascii="Calibri" w:hAnsi="Calibri" w:cs="Calibri"/>
          <w:szCs w:val="24"/>
        </w:rPr>
        <w:t xml:space="preserve">Procuradoria, </w:t>
      </w:r>
      <w:r w:rsidR="00EF06EB">
        <w:rPr>
          <w:rFonts w:ascii="Calibri" w:hAnsi="Calibri" w:cs="Calibri"/>
          <w:szCs w:val="24"/>
        </w:rPr>
        <w:t>16</w:t>
      </w:r>
      <w:r w:rsidRPr="00AC4F6A" w:rsidR="001308C8">
        <w:rPr>
          <w:rFonts w:ascii="Calibri" w:hAnsi="Calibri" w:cs="Calibri"/>
          <w:szCs w:val="24"/>
        </w:rPr>
        <w:t xml:space="preserve"> de </w:t>
      </w:r>
      <w:r w:rsidR="005E1C68">
        <w:rPr>
          <w:rFonts w:ascii="Calibri" w:hAnsi="Calibri" w:cs="Calibri"/>
          <w:szCs w:val="24"/>
        </w:rPr>
        <w:t>maio</w:t>
      </w:r>
      <w:r w:rsidRPr="00AC4F6A" w:rsidR="0022655C">
        <w:rPr>
          <w:rFonts w:ascii="Calibri" w:hAnsi="Calibri" w:cs="Calibri"/>
          <w:szCs w:val="24"/>
        </w:rPr>
        <w:t xml:space="preserve"> d</w:t>
      </w:r>
      <w:r w:rsidRPr="00AC4F6A">
        <w:rPr>
          <w:rFonts w:ascii="Calibri" w:hAnsi="Calibri" w:cs="Calibri"/>
          <w:szCs w:val="24"/>
        </w:rPr>
        <w:t>e 202</w:t>
      </w:r>
      <w:r w:rsidRPr="00AC4F6A" w:rsidR="00A608C8">
        <w:rPr>
          <w:rFonts w:ascii="Calibri" w:hAnsi="Calibri" w:cs="Calibri"/>
          <w:szCs w:val="24"/>
        </w:rPr>
        <w:t>5</w:t>
      </w:r>
      <w:r w:rsidRPr="00AC4F6A">
        <w:rPr>
          <w:rFonts w:ascii="Calibri" w:hAnsi="Calibri" w:cs="Calibri"/>
          <w:szCs w:val="24"/>
        </w:rPr>
        <w:t>.</w:t>
      </w:r>
    </w:p>
    <w:p w:rsidR="007624C1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</w:p>
    <w:p w:rsidR="00450FD2" w:rsidRPr="00AC4F6A" w:rsidP="00450FD2">
      <w:pPr>
        <w:spacing w:after="0" w:line="24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Rosemeire de Souza Cardoso Barbosa                                  </w:t>
      </w:r>
      <w:r w:rsidR="00B9076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</w:t>
      </w: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Tiago Fadel </w:t>
      </w: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>Malghosian</w:t>
      </w:r>
    </w:p>
    <w:p w:rsidR="00450FD2" w:rsidRPr="00AC4F6A" w:rsidP="00450FD2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   Procuradora - OAB/SP 308.298                                   Procurador - OAB/SP 319.159</w:t>
      </w:r>
    </w:p>
    <w:p w:rsidR="00450FD2" w:rsidRPr="00AC4F6A" w:rsidP="00450FD2">
      <w:pPr>
        <w:spacing w:after="0" w:line="240" w:lineRule="auto"/>
        <w:jc w:val="center"/>
        <w:rPr>
          <w:rFonts w:asciiTheme="minorHAnsi" w:eastAsiaTheme="minorHAnsi" w:hAnsiTheme="minorHAnsi" w:cs="Calibri"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szCs w:val="24"/>
          <w:lang w:eastAsia="en-US"/>
        </w:rPr>
        <w:t xml:space="preserve">   Assinatura eletrônica                                                     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291824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291824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291824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291824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291824" w:rsidP="00305026">
            <w:pPr>
              <w:pStyle w:val="Footer"/>
              <w:ind w:left="-1985" w:right="-313"/>
              <w:jc w:val="center"/>
            </w:pPr>
          </w:p>
          <w:p w:rsidR="00291824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75F7F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75F7F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91824">
      <w:pPr>
        <w:spacing w:after="0" w:line="240" w:lineRule="auto"/>
      </w:pPr>
      <w:r>
        <w:separator/>
      </w:r>
    </w:p>
  </w:footnote>
  <w:footnote w:type="continuationSeparator" w:id="1">
    <w:p w:rsidR="00291824">
      <w:pPr>
        <w:spacing w:after="0" w:line="240" w:lineRule="auto"/>
      </w:pPr>
      <w:r>
        <w:continuationSeparator/>
      </w:r>
    </w:p>
  </w:footnote>
  <w:footnote w:id="2">
    <w:p w:rsidR="000B0CBD" w:rsidP="007624C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B0CBD">
        <w:rPr>
          <w:rFonts w:asciiTheme="minorHAnsi" w:hAnsiTheme="minorHAnsi"/>
          <w:i/>
        </w:rPr>
        <w:t>“</w:t>
      </w:r>
      <w:r w:rsidRPr="000B0CBD">
        <w:rPr>
          <w:rFonts w:asciiTheme="minorHAnsi" w:hAnsiTheme="minorHAnsi"/>
          <w:i/>
          <w:iCs/>
        </w:rPr>
        <w:t>Art. 38. Compete à Comissão de Justiça e Redação manifestar-se sobre todos os assuntos entregues à sua apreciação, quanto ao seu aspecto constitucional, legal ou jurídico e quanto ao seu aspecto gramatical e lógico, quando solicitado o seu parecer por imposição regimental ou deliberação de um terço dos Vereadores da Câmara. § 1º É obrigatória a audiência da Comissão sobre todos os projetos</w:t>
      </w:r>
      <w:r w:rsidRPr="000B0CBD">
        <w:rPr>
          <w:rFonts w:asciiTheme="minorHAnsi" w:hAnsiTheme="minorHAnsi"/>
          <w:i/>
          <w:iCs/>
        </w:rPr>
        <w:t xml:space="preserve">  </w:t>
      </w:r>
      <w:r w:rsidRPr="000B0CBD">
        <w:rPr>
          <w:rFonts w:asciiTheme="minorHAnsi" w:hAnsiTheme="minorHAnsi"/>
          <w:i/>
          <w:iCs/>
        </w:rPr>
        <w:t>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0B0CBD">
        <w:rPr>
          <w:rFonts w:asciiTheme="minorHAnsi" w:hAnsiTheme="minorHAnsi"/>
          <w:i/>
        </w:rPr>
        <w:t>.”</w:t>
      </w:r>
    </w:p>
  </w:footnote>
  <w:footnote w:id="3">
    <w:p w:rsidR="007624C1" w:rsidRPr="00DE2CBF" w:rsidP="00944D4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DE2C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E2CBF">
        <w:rPr>
          <w:rFonts w:asciiTheme="minorHAnsi" w:hAnsiTheme="minorHAnsi" w:cstheme="minorHAnsi"/>
          <w:sz w:val="16"/>
          <w:szCs w:val="16"/>
        </w:rPr>
        <w:t xml:space="preserve"> </w:t>
      </w:r>
      <w:r w:rsidRPr="00313BE8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824" w:rsidP="00305026">
    <w:pPr>
      <w:pStyle w:val="Header"/>
      <w:jc w:val="center"/>
      <w:rPr>
        <w:b/>
        <w:sz w:val="26"/>
        <w:lang w:val="pt-PT"/>
      </w:rPr>
    </w:pPr>
  </w:p>
  <w:p w:rsidR="00291824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824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4458969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785667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85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80891541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291824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02182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80874050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91824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91824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291824" w:rsidP="00305026">
    <w:pPr>
      <w:pStyle w:val="Header"/>
      <w:jc w:val="center"/>
      <w:rPr>
        <w:sz w:val="20"/>
        <w:lang w:val="pt-PT"/>
      </w:rPr>
    </w:pPr>
  </w:p>
  <w:p w:rsidR="00291824" w:rsidP="00305026">
    <w:pPr>
      <w:pStyle w:val="Header"/>
      <w:jc w:val="center"/>
      <w:rPr>
        <w:sz w:val="20"/>
        <w:lang w:val="pt-PT"/>
      </w:rPr>
    </w:pPr>
  </w:p>
  <w:p w:rsidR="00291824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0D9F"/>
    <w:multiLevelType w:val="hybridMultilevel"/>
    <w:tmpl w:val="25F443A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83B74"/>
    <w:multiLevelType w:val="hybridMultilevel"/>
    <w:tmpl w:val="932446E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7908"/>
    <w:rsid w:val="00031240"/>
    <w:rsid w:val="00035153"/>
    <w:rsid w:val="00046F94"/>
    <w:rsid w:val="0005710A"/>
    <w:rsid w:val="000575E2"/>
    <w:rsid w:val="0008358B"/>
    <w:rsid w:val="000A5422"/>
    <w:rsid w:val="000B0CBD"/>
    <w:rsid w:val="000B718A"/>
    <w:rsid w:val="0010716F"/>
    <w:rsid w:val="0011053B"/>
    <w:rsid w:val="00116C2C"/>
    <w:rsid w:val="001170AE"/>
    <w:rsid w:val="00117618"/>
    <w:rsid w:val="00122D90"/>
    <w:rsid w:val="00125B9A"/>
    <w:rsid w:val="001308C8"/>
    <w:rsid w:val="00134D7C"/>
    <w:rsid w:val="00152F1A"/>
    <w:rsid w:val="001708EF"/>
    <w:rsid w:val="00180213"/>
    <w:rsid w:val="00185E77"/>
    <w:rsid w:val="001869FE"/>
    <w:rsid w:val="001A3E32"/>
    <w:rsid w:val="001B56D5"/>
    <w:rsid w:val="001C2F00"/>
    <w:rsid w:val="001D2F97"/>
    <w:rsid w:val="001D63E7"/>
    <w:rsid w:val="001D6A14"/>
    <w:rsid w:val="001F0003"/>
    <w:rsid w:val="001F75A1"/>
    <w:rsid w:val="00222C85"/>
    <w:rsid w:val="0022655C"/>
    <w:rsid w:val="002332AB"/>
    <w:rsid w:val="00235BF6"/>
    <w:rsid w:val="00244542"/>
    <w:rsid w:val="002578A0"/>
    <w:rsid w:val="002636F0"/>
    <w:rsid w:val="00291824"/>
    <w:rsid w:val="0029742D"/>
    <w:rsid w:val="002A0D8C"/>
    <w:rsid w:val="002B22A5"/>
    <w:rsid w:val="002B7242"/>
    <w:rsid w:val="002C52B3"/>
    <w:rsid w:val="002D7FEB"/>
    <w:rsid w:val="002F34C0"/>
    <w:rsid w:val="002F41B0"/>
    <w:rsid w:val="00305026"/>
    <w:rsid w:val="00313BE8"/>
    <w:rsid w:val="0032224F"/>
    <w:rsid w:val="00322F1D"/>
    <w:rsid w:val="0032384A"/>
    <w:rsid w:val="003337BF"/>
    <w:rsid w:val="00353DD1"/>
    <w:rsid w:val="00354DB2"/>
    <w:rsid w:val="0035695C"/>
    <w:rsid w:val="00365F3A"/>
    <w:rsid w:val="00396351"/>
    <w:rsid w:val="003A712F"/>
    <w:rsid w:val="003D4024"/>
    <w:rsid w:val="003E0D77"/>
    <w:rsid w:val="003E1CF9"/>
    <w:rsid w:val="00401D34"/>
    <w:rsid w:val="00431C9A"/>
    <w:rsid w:val="00432887"/>
    <w:rsid w:val="00434D26"/>
    <w:rsid w:val="00435913"/>
    <w:rsid w:val="00441A65"/>
    <w:rsid w:val="00450388"/>
    <w:rsid w:val="00450FD2"/>
    <w:rsid w:val="00452399"/>
    <w:rsid w:val="00496C00"/>
    <w:rsid w:val="00496CD5"/>
    <w:rsid w:val="004A7A6B"/>
    <w:rsid w:val="004B1794"/>
    <w:rsid w:val="004F4188"/>
    <w:rsid w:val="00506048"/>
    <w:rsid w:val="00512746"/>
    <w:rsid w:val="005163A4"/>
    <w:rsid w:val="00521E0A"/>
    <w:rsid w:val="00534E70"/>
    <w:rsid w:val="0055143B"/>
    <w:rsid w:val="00561C45"/>
    <w:rsid w:val="00565D77"/>
    <w:rsid w:val="00575F7F"/>
    <w:rsid w:val="005848FA"/>
    <w:rsid w:val="00591C6F"/>
    <w:rsid w:val="005B754D"/>
    <w:rsid w:val="005C12B1"/>
    <w:rsid w:val="005C3C7A"/>
    <w:rsid w:val="005C59A3"/>
    <w:rsid w:val="005D2178"/>
    <w:rsid w:val="005D402B"/>
    <w:rsid w:val="005D6203"/>
    <w:rsid w:val="005E1C68"/>
    <w:rsid w:val="00621BFC"/>
    <w:rsid w:val="00626A4F"/>
    <w:rsid w:val="0064515D"/>
    <w:rsid w:val="00646BC4"/>
    <w:rsid w:val="006B0EC9"/>
    <w:rsid w:val="006B1A02"/>
    <w:rsid w:val="006E3F7C"/>
    <w:rsid w:val="006E6F69"/>
    <w:rsid w:val="006F165C"/>
    <w:rsid w:val="006F4218"/>
    <w:rsid w:val="006F5486"/>
    <w:rsid w:val="0070670C"/>
    <w:rsid w:val="0073309B"/>
    <w:rsid w:val="007338C1"/>
    <w:rsid w:val="00750362"/>
    <w:rsid w:val="00756234"/>
    <w:rsid w:val="007624C1"/>
    <w:rsid w:val="007703E8"/>
    <w:rsid w:val="0078016A"/>
    <w:rsid w:val="00783082"/>
    <w:rsid w:val="007904AB"/>
    <w:rsid w:val="007B1BD9"/>
    <w:rsid w:val="007B5A05"/>
    <w:rsid w:val="007C6D50"/>
    <w:rsid w:val="007D2626"/>
    <w:rsid w:val="007E42C9"/>
    <w:rsid w:val="0082204D"/>
    <w:rsid w:val="00826654"/>
    <w:rsid w:val="00864FC4"/>
    <w:rsid w:val="0087598C"/>
    <w:rsid w:val="00887530"/>
    <w:rsid w:val="00892CB9"/>
    <w:rsid w:val="008A7D22"/>
    <w:rsid w:val="008C5FBB"/>
    <w:rsid w:val="008F2C78"/>
    <w:rsid w:val="00924852"/>
    <w:rsid w:val="00933CA9"/>
    <w:rsid w:val="0094237D"/>
    <w:rsid w:val="00944D41"/>
    <w:rsid w:val="009501B8"/>
    <w:rsid w:val="00963B6F"/>
    <w:rsid w:val="009A503D"/>
    <w:rsid w:val="009C7616"/>
    <w:rsid w:val="009D2232"/>
    <w:rsid w:val="009E6E62"/>
    <w:rsid w:val="00A11C58"/>
    <w:rsid w:val="00A30263"/>
    <w:rsid w:val="00A3393A"/>
    <w:rsid w:val="00A33C8A"/>
    <w:rsid w:val="00A608C8"/>
    <w:rsid w:val="00A6560E"/>
    <w:rsid w:val="00A72B6D"/>
    <w:rsid w:val="00A779B8"/>
    <w:rsid w:val="00AA0609"/>
    <w:rsid w:val="00AA2F4C"/>
    <w:rsid w:val="00AB3E85"/>
    <w:rsid w:val="00AC33D2"/>
    <w:rsid w:val="00AC4732"/>
    <w:rsid w:val="00AC4F6A"/>
    <w:rsid w:val="00AC73BE"/>
    <w:rsid w:val="00AF01F9"/>
    <w:rsid w:val="00AF45D3"/>
    <w:rsid w:val="00B232DD"/>
    <w:rsid w:val="00B378D7"/>
    <w:rsid w:val="00B477B4"/>
    <w:rsid w:val="00B743FF"/>
    <w:rsid w:val="00B762D9"/>
    <w:rsid w:val="00B811A8"/>
    <w:rsid w:val="00B90766"/>
    <w:rsid w:val="00BC3D5F"/>
    <w:rsid w:val="00BD076E"/>
    <w:rsid w:val="00BE6BFD"/>
    <w:rsid w:val="00C15DC4"/>
    <w:rsid w:val="00C2365D"/>
    <w:rsid w:val="00C40D18"/>
    <w:rsid w:val="00CA4230"/>
    <w:rsid w:val="00CC06A8"/>
    <w:rsid w:val="00CE118C"/>
    <w:rsid w:val="00D01A07"/>
    <w:rsid w:val="00D13CCD"/>
    <w:rsid w:val="00D17129"/>
    <w:rsid w:val="00D262DC"/>
    <w:rsid w:val="00D26DEF"/>
    <w:rsid w:val="00D3018D"/>
    <w:rsid w:val="00D4238B"/>
    <w:rsid w:val="00D45484"/>
    <w:rsid w:val="00D53D44"/>
    <w:rsid w:val="00D6679A"/>
    <w:rsid w:val="00D70598"/>
    <w:rsid w:val="00D76EAD"/>
    <w:rsid w:val="00D83470"/>
    <w:rsid w:val="00D878D3"/>
    <w:rsid w:val="00D932DC"/>
    <w:rsid w:val="00D97FDF"/>
    <w:rsid w:val="00DD0E38"/>
    <w:rsid w:val="00DE2CBF"/>
    <w:rsid w:val="00E07BE2"/>
    <w:rsid w:val="00E31B26"/>
    <w:rsid w:val="00E325E8"/>
    <w:rsid w:val="00E45153"/>
    <w:rsid w:val="00E52006"/>
    <w:rsid w:val="00E64E9A"/>
    <w:rsid w:val="00E71AE8"/>
    <w:rsid w:val="00E85E0D"/>
    <w:rsid w:val="00E90CDC"/>
    <w:rsid w:val="00EA43E7"/>
    <w:rsid w:val="00EA6D88"/>
    <w:rsid w:val="00EB082E"/>
    <w:rsid w:val="00EB17A8"/>
    <w:rsid w:val="00EC6B07"/>
    <w:rsid w:val="00EC7B64"/>
    <w:rsid w:val="00ED5431"/>
    <w:rsid w:val="00EE71E8"/>
    <w:rsid w:val="00EF06EB"/>
    <w:rsid w:val="00F003C1"/>
    <w:rsid w:val="00F12090"/>
    <w:rsid w:val="00F13634"/>
    <w:rsid w:val="00F21AC4"/>
    <w:rsid w:val="00F33184"/>
    <w:rsid w:val="00F439F6"/>
    <w:rsid w:val="00F512FB"/>
    <w:rsid w:val="00F53BEF"/>
    <w:rsid w:val="00F56D5F"/>
    <w:rsid w:val="00F648BB"/>
    <w:rsid w:val="00F75C3F"/>
    <w:rsid w:val="00F90411"/>
    <w:rsid w:val="00FF072D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0977-C8C0-43FC-AE77-B5E8F95A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7</cp:revision>
  <dcterms:created xsi:type="dcterms:W3CDTF">2025-05-14T19:16:00Z</dcterms:created>
  <dcterms:modified xsi:type="dcterms:W3CDTF">2025-05-16T18:44:00Z</dcterms:modified>
</cp:coreProperties>
</file>