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641234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41234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641234" w:rsidR="00641234">
        <w:rPr>
          <w:rFonts w:asciiTheme="minorHAnsi" w:hAnsiTheme="minorHAnsi" w:cstheme="minorHAnsi"/>
          <w:b/>
          <w:color w:val="auto"/>
        </w:rPr>
        <w:t>133/</w:t>
      </w:r>
      <w:r w:rsidRPr="00641234">
        <w:rPr>
          <w:rFonts w:asciiTheme="minorHAnsi" w:hAnsiTheme="minorHAnsi" w:cstheme="minorHAnsi"/>
          <w:b/>
          <w:color w:val="auto"/>
        </w:rPr>
        <w:t>202</w:t>
      </w:r>
      <w:r w:rsidRPr="00641234" w:rsidR="003B3B7F">
        <w:rPr>
          <w:rFonts w:asciiTheme="minorHAnsi" w:hAnsiTheme="minorHAnsi" w:cstheme="minorHAnsi"/>
          <w:b/>
          <w:color w:val="auto"/>
        </w:rPr>
        <w:t>5</w:t>
      </w:r>
      <w:r w:rsidRPr="00641234" w:rsidR="00557AFB">
        <w:rPr>
          <w:rFonts w:asciiTheme="minorHAnsi" w:hAnsiTheme="minorHAnsi" w:cstheme="minorHAnsi"/>
          <w:b/>
          <w:color w:val="auto"/>
        </w:rPr>
        <w:t>.</w:t>
      </w:r>
    </w:p>
    <w:p w:rsidR="003B3B7F" w:rsidRPr="003B3B7F" w:rsidP="00806E4C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auto"/>
        </w:rPr>
        <w:t xml:space="preserve">Referência: </w:t>
      </w:r>
      <w:r w:rsidRPr="003B3B7F">
        <w:rPr>
          <w:rFonts w:asciiTheme="minorHAnsi" w:hAnsiTheme="minorHAnsi" w:cstheme="minorHAnsi"/>
          <w:b/>
          <w:color w:val="auto"/>
        </w:rPr>
        <w:t>Processo Legislativo nº 2477/2025.</w:t>
      </w:r>
    </w:p>
    <w:p w:rsidR="00806E4C" w:rsidRPr="003B3B7F" w:rsidP="00806E4C">
      <w:pPr>
        <w:jc w:val="both"/>
        <w:rPr>
          <w:rFonts w:asciiTheme="minorHAnsi" w:hAnsiTheme="minorHAnsi" w:cstheme="minorHAnsi"/>
          <w:b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="003B3B7F">
        <w:rPr>
          <w:rFonts w:asciiTheme="minorHAnsi" w:hAnsiTheme="minorHAnsi" w:cstheme="minorHAnsi"/>
          <w:b/>
          <w:bCs/>
          <w:szCs w:val="24"/>
        </w:rPr>
        <w:t>102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="008E3CC7">
        <w:rPr>
          <w:rFonts w:asciiTheme="minorHAnsi" w:hAnsiTheme="minorHAnsi" w:cstheme="minorHAnsi"/>
          <w:b/>
          <w:bCs/>
          <w:szCs w:val="24"/>
        </w:rPr>
        <w:t>4</w:t>
      </w:r>
      <w:r w:rsidR="003B3B7F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8C3B37">
        <w:rPr>
          <w:rFonts w:asciiTheme="minorHAnsi" w:hAnsiTheme="minorHAnsi" w:cstheme="minorHAnsi"/>
          <w:b/>
          <w:bCs/>
          <w:szCs w:val="24"/>
        </w:rPr>
        <w:t>“</w:t>
      </w:r>
      <w:r w:rsidRPr="001B0572" w:rsidR="003B3B7F">
        <w:rPr>
          <w:rFonts w:asciiTheme="minorHAnsi" w:hAnsiTheme="minorHAnsi" w:cstheme="minorHAnsi"/>
          <w:b/>
          <w:i/>
          <w:szCs w:val="24"/>
        </w:rPr>
        <w:t>Institui no Calendário Oficial do Município de Valinhos o “Dia do Orgulho LGBTQIAPN+”, a ser celebrado anualmente no dia 28 de junho</w:t>
      </w:r>
      <w:r w:rsidR="008C3B37">
        <w:rPr>
          <w:rFonts w:asciiTheme="minorHAnsi" w:hAnsiTheme="minorHAnsi" w:cstheme="minorHAnsi"/>
          <w:b/>
          <w:szCs w:val="24"/>
        </w:rPr>
        <w:t>”</w:t>
      </w:r>
      <w:r w:rsidRPr="003B3B7F" w:rsidR="003B3B7F">
        <w:rPr>
          <w:rFonts w:asciiTheme="minorHAnsi" w:hAnsiTheme="minorHAnsi" w:cstheme="minorHAnsi"/>
          <w:b/>
          <w:szCs w:val="24"/>
        </w:rPr>
        <w:t>.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>Vereador Marcelo Sussumu Yanachi Yoshida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4256D0" w:rsidP="004256D0">
      <w:pPr>
        <w:jc w:val="both"/>
        <w:rPr>
          <w:rFonts w:asciiTheme="minorHAnsi" w:hAnsiTheme="minorHAnsi" w:cstheme="minorHAnsi"/>
          <w:b/>
          <w:szCs w:val="24"/>
        </w:rPr>
      </w:pPr>
    </w:p>
    <w:p w:rsidR="004256D0" w:rsidRPr="00EE1CDF" w:rsidP="004256D0">
      <w:pPr>
        <w:jc w:val="both"/>
        <w:rPr>
          <w:rFonts w:asciiTheme="minorHAnsi" w:hAnsiTheme="minorHAnsi" w:cstheme="minorHAnsi"/>
          <w:b/>
          <w:szCs w:val="24"/>
        </w:rPr>
      </w:pPr>
      <w:r w:rsidRPr="00EE1CDF">
        <w:rPr>
          <w:rFonts w:asciiTheme="minorHAnsi" w:hAnsiTheme="minorHAnsi" w:cstheme="minorHAnsi"/>
          <w:b/>
          <w:szCs w:val="24"/>
        </w:rPr>
        <w:t>À Comissão de Justiça e Redação,</w:t>
      </w:r>
    </w:p>
    <w:p w:rsidR="004256D0" w:rsidRPr="00EE1CDF" w:rsidP="004256D0">
      <w:pPr>
        <w:jc w:val="both"/>
        <w:rPr>
          <w:rFonts w:asciiTheme="minorHAnsi" w:hAnsiTheme="minorHAnsi" w:cstheme="minorHAnsi"/>
          <w:b/>
          <w:szCs w:val="24"/>
        </w:rPr>
      </w:pPr>
      <w:r w:rsidRPr="00EE1CDF">
        <w:rPr>
          <w:rFonts w:asciiTheme="minorHAnsi" w:hAnsiTheme="minorHAnsi" w:cstheme="minorHAnsi"/>
          <w:b/>
          <w:szCs w:val="24"/>
        </w:rPr>
        <w:t>Exmo. Presidente Vereador José Osvaldo Cavalcante Beloni (Kiko Beloni).</w:t>
      </w:r>
    </w:p>
    <w:p w:rsidR="00806E4C" w:rsidRPr="00BF4D8D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3B3B7F" w:rsidRPr="003B3B7F" w:rsidP="003B3B7F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 </w:t>
      </w:r>
      <w:r>
        <w:rPr>
          <w:rFonts w:asciiTheme="minorHAnsi" w:hAnsiTheme="minorHAnsi" w:cstheme="minorHAnsi"/>
          <w:szCs w:val="24"/>
        </w:rPr>
        <w:t>“</w:t>
      </w:r>
      <w:r w:rsidRPr="003B3B7F">
        <w:rPr>
          <w:rFonts w:asciiTheme="minorHAnsi" w:hAnsiTheme="minorHAnsi" w:cstheme="minorHAnsi"/>
          <w:i/>
        </w:rPr>
        <w:t>Institui no Calendário Oficial do Município de Valinhos o “Dia do Orgulho LGBTQIAPN+”, a ser celebrado anualmente no dia 28 de junho</w:t>
      </w:r>
      <w:r>
        <w:rPr>
          <w:rFonts w:asciiTheme="minorHAnsi" w:hAnsiTheme="minorHAnsi" w:cstheme="minorHAnsi"/>
          <w:i/>
        </w:rPr>
        <w:t>”</w:t>
      </w:r>
      <w:r w:rsidRPr="003B3B7F">
        <w:rPr>
          <w:rFonts w:asciiTheme="minorHAnsi" w:hAnsiTheme="minorHAnsi" w:cstheme="minorHAnsi"/>
          <w:i/>
        </w:rPr>
        <w:t>.</w:t>
      </w:r>
    </w:p>
    <w:p w:rsidR="004256D0" w:rsidRPr="00EE1CDF" w:rsidP="004256D0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EE1CDF">
        <w:rPr>
          <w:rFonts w:asciiTheme="minorHAnsi" w:hAnsiTheme="minorHAnsi" w:cstheme="minorHAnsi"/>
          <w:i/>
          <w:szCs w:val="24"/>
        </w:rPr>
        <w:t>Ab initio</w:t>
      </w:r>
      <w:r w:rsidRPr="00EE1CDF">
        <w:rPr>
          <w:rFonts w:asciiTheme="minorHAnsi" w:hAnsiTheme="minorHAnsi" w:cstheme="minorHAnsi"/>
          <w:szCs w:val="24"/>
        </w:rPr>
        <w:t>, cumpre destacar a atribuição regimental à Comissão de Justiça e Redação estabelecida no artigo 38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EE1CDF">
        <w:rPr>
          <w:rFonts w:asciiTheme="minorHAnsi" w:hAnsiTheme="minorHAnsi" w:cstheme="minorHAnsi"/>
          <w:szCs w:val="24"/>
        </w:rPr>
        <w:t xml:space="preserve">. 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CF,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 xml:space="preserve">917 </w:t>
      </w:r>
      <w:r w:rsidR="003403CA">
        <w:rPr>
          <w:rFonts w:asciiTheme="minorHAnsi" w:hAnsiTheme="minorHAnsi" w:cs="Calibri"/>
          <w:b/>
        </w:rPr>
        <w:t>de Repercussão G</w:t>
      </w:r>
      <w:r w:rsidRPr="003A7521">
        <w:rPr>
          <w:rFonts w:asciiTheme="minorHAnsi" w:hAnsiTheme="minorHAnsi" w:cs="Calibri"/>
          <w:b/>
        </w:rPr>
        <w:t>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 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4256D0" w:rsidRPr="00FA17A9" w:rsidP="004256D0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- Município de Poá - Ajuizamento pela Prefeita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Pretensão de declaração de inconstitucionalidade da Lei nº 4.402, de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8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 março de 2024, de iniciativa parlamentar, que </w:t>
      </w:r>
      <w:r w:rsidRPr="001A7744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instituiu o Dia do Idoso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</w:t>
      </w:r>
      <w:r w:rsidRPr="001A774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Alegação de usurpação da competência exclusiva do Chefe do Poder Executivo - Descabimento 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impugnada que dispõe meramente sobre criação de data comemorativa e normas absolutamente genéricas sobre políticas públicas - Lei questionada não trata da estrutura e atribuições dos órgãos do Poder Executivo - Matéria cuja iniciativa legislativa é comum ao Poder Executivo e ao Poder Legislativo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Ausência de incidência das vedações do Tema nº 917, do Supremo Tribunal Federal - Precedentes do Supremo Tribunal Federal e deste C. Órgão Especial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IMPROCEDENTE.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4256D0" w:rsidP="004256D0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2318594-18.2024.8.26.0000; Relator (a): Renato Rangel 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Desinano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05/02/2025; Data de Registro: 06/02/2025)</w:t>
      </w:r>
    </w:p>
    <w:p w:rsidR="004256D0" w:rsidRPr="004256D0" w:rsidP="004256D0">
      <w:pPr>
        <w:pStyle w:val="Default"/>
        <w:spacing w:after="240" w:line="276" w:lineRule="auto"/>
        <w:ind w:firstLine="1701"/>
        <w:jc w:val="both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4256D0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DIRETA DE INCONSTITUCIONALIDADE. Ação proposta pelo Prefeito do Município de Mauá em face da Lei Municipal nº 6.132, de 05 de setembro de 2023, que </w:t>
      </w:r>
      <w:r w:rsidRPr="004256D0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"Dispõe sobre a normatização de todos os eventos e datas comemorativas do município de Mauá,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previstos em lei, e dá outras providências". Iniciativa parlamentar. Arguição de vício de iniciativa e interferência na gestão administrativa. Invasão da reserva da administração. Arguição de violação aos artigos 5º, 24, § 2º, 2, 47, II, XI e XIV, e 144, todos da Constituição do Estado de São Paulo. </w:t>
      </w:r>
      <w:r w:rsidRPr="004256D0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Matéria que não se insere no rol de iniciativa privativa do Chefe do Executivo, tampouco na seara da reserva da Administração. Ação improcedente.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 </w:t>
      </w:r>
    </w:p>
    <w:p w:rsidR="004256D0" w:rsidRPr="004256D0" w:rsidP="004256D0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(TJSP;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 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Direta de Inconstitucionalidade 2092135-60.2024.8.26.0000; Relator (a): Damião 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Cogan</w:t>
      </w:r>
      <w:r w:rsidRPr="004256D0">
        <w:rPr>
          <w:rFonts w:asciiTheme="minorHAnsi" w:hAnsiTheme="minorHAnsi"/>
          <w:i/>
          <w:sz w:val="22"/>
          <w:szCs w:val="22"/>
          <w:shd w:val="clear" w:color="auto" w:fill="FFFFFF"/>
        </w:rPr>
        <w:t>; Órgão Julgador: Órgão Especial; Tribunal de Justiça de São Paulo - N/A; Data do Julgamento: 07/08/2024; Data de Registro: 09/08/2024)</w:t>
      </w:r>
    </w:p>
    <w:p w:rsidR="004256D0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4256D0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</w:t>
      </w:r>
      <w:r w:rsidRPr="00304CD1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POR DISCIPLINAREM OBRIGAÇÕES E FORMA DE EXECUÇÃO AO EXECUTIVO E SEUS ÓRGÃOS – MATÉRIA DE RESERVA DE ADMINISTRAÇÃO – INCONSTITUCIONALIDADE, NO PONTO – VIOLAÇÃO DO PRINCÍPIO DA SEPARAÇÃO DOS PODERES (ARTIGOS 5º, 24, §2º, ITEM 2, 47, INCISOS II, XIV E XIX, ALÍNEA 'A', DA CE) – PEDIDO PROCEDENTE EM PARTE PARA RECONHECER A INCONSTITUCIONALIDADE DAS EXPRESSÕES "EXECUTIVO" E "E OS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</w:p>
    <w:p w:rsidR="00304CD1" w:rsidRP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304CD1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4256D0">
      <w:pPr>
        <w:pStyle w:val="Default"/>
        <w:pBdr>
          <w:bottom w:val="single" w:sz="12" w:space="1" w:color="auto"/>
        </w:pBdr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4256D0">
      <w:pPr>
        <w:pStyle w:val="Default"/>
        <w:pBdr>
          <w:bottom w:val="single" w:sz="12" w:space="1" w:color="auto"/>
        </w:pBdr>
        <w:spacing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304CD1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304CD1" w:rsidP="004256D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4256D0" w:rsidRPr="004256D0" w:rsidP="00806E4C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  <w:lang w:eastAsia="x-none"/>
        </w:rPr>
      </w:pPr>
    </w:p>
    <w:p w:rsidR="00806E4C" w:rsidRPr="00794D1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lang w:eastAsia="x-none"/>
        </w:rPr>
      </w:pPr>
      <w:r w:rsidRPr="00794D11">
        <w:rPr>
          <w:rFonts w:ascii="Calibri" w:hAnsi="Calibri" w:cs="Calibri"/>
          <w:szCs w:val="24"/>
          <w:lang w:eastAsia="x-none"/>
        </w:rPr>
        <w:t>Por fim, o projeto atende ao aspecto gramatical e lógico, conforme os preceitos da Lei Complementar nº 95 de 1998 que dispõe sobre a elaboração, a redação, a alteração e a consolidação das leis, consoante determina o parágrafo único do art. 59 da Constituição Federal.</w:t>
      </w:r>
    </w:p>
    <w:p w:rsidR="00806E4C" w:rsidRPr="00530C92" w:rsidP="00806E4C">
      <w:pPr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Ante </w:t>
      </w:r>
      <w:r w:rsidR="00F44C42">
        <w:rPr>
          <w:rFonts w:ascii="Calibri" w:eastAsia="Calibri" w:hAnsi="Calibri" w:cs="Calibri"/>
          <w:szCs w:val="24"/>
        </w:rPr>
        <w:t xml:space="preserve">todo </w:t>
      </w:r>
      <w:r>
        <w:rPr>
          <w:rFonts w:ascii="Calibri" w:eastAsia="Calibri" w:hAnsi="Calibri" w:cs="Calibri"/>
          <w:szCs w:val="24"/>
        </w:rPr>
        <w:t xml:space="preserve">o exposto, </w:t>
      </w:r>
      <w:r w:rsidR="00F44C42">
        <w:rPr>
          <w:rFonts w:asciiTheme="minorHAnsi" w:hAnsiTheme="minorHAnsi" w:cstheme="minorHAnsi"/>
        </w:rPr>
        <w:t xml:space="preserve">opinamos pela </w:t>
      </w:r>
      <w:r>
        <w:rPr>
          <w:rFonts w:asciiTheme="minorHAnsi" w:hAnsiTheme="minorHAnsi" w:cstheme="minorHAnsi"/>
        </w:rPr>
        <w:t>constitucionalidade</w:t>
      </w:r>
      <w:r w:rsidR="00F44C42">
        <w:rPr>
          <w:rFonts w:asciiTheme="minorHAnsi" w:hAnsiTheme="minorHAnsi" w:cstheme="minorHAnsi"/>
        </w:rPr>
        <w:t xml:space="preserve"> e legalidade do projeto. No concernente </w:t>
      </w:r>
      <w:r w:rsidRPr="00530C92">
        <w:rPr>
          <w:rFonts w:ascii="Calibri" w:eastAsia="Calibri" w:hAnsi="Calibri" w:cs="Calibri"/>
          <w:szCs w:val="24"/>
        </w:rPr>
        <w:t>ao mérito manifestar-se-á o soberano Plenário.</w:t>
      </w:r>
    </w:p>
    <w:p w:rsidR="00806E4C" w:rsidP="00806E4C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RPr="00557AFB" w:rsidP="00806E4C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="005078DF">
        <w:rPr>
          <w:rFonts w:ascii="Calibri" w:hAnsi="Calibri" w:cs="Tahoma"/>
          <w:iCs/>
          <w:szCs w:val="24"/>
        </w:rPr>
        <w:t>05</w:t>
      </w:r>
      <w:r w:rsidRPr="00557AFB">
        <w:rPr>
          <w:rFonts w:ascii="Calibri" w:hAnsi="Calibri" w:cs="Tahoma"/>
          <w:iCs/>
          <w:szCs w:val="24"/>
        </w:rPr>
        <w:t xml:space="preserve"> de </w:t>
      </w:r>
      <w:r w:rsidR="005078DF">
        <w:rPr>
          <w:rFonts w:ascii="Calibri" w:hAnsi="Calibri" w:cs="Tahoma"/>
          <w:iCs/>
          <w:szCs w:val="24"/>
        </w:rPr>
        <w:t>maio</w:t>
      </w:r>
      <w:r w:rsidRPr="00557AFB">
        <w:rPr>
          <w:rFonts w:ascii="Calibri" w:hAnsi="Calibri" w:cs="Tahoma"/>
          <w:iCs/>
          <w:szCs w:val="24"/>
        </w:rPr>
        <w:t xml:space="preserve"> de 202</w:t>
      </w:r>
      <w:r w:rsidR="003B3B7F">
        <w:rPr>
          <w:rFonts w:ascii="Calibri" w:hAnsi="Calibri" w:cs="Tahoma"/>
          <w:iCs/>
          <w:szCs w:val="24"/>
        </w:rPr>
        <w:t>5</w:t>
      </w:r>
      <w:r w:rsidRPr="00557AFB">
        <w:rPr>
          <w:rFonts w:ascii="Calibri" w:hAnsi="Calibri" w:cs="Tahoma"/>
          <w:iCs/>
          <w:szCs w:val="24"/>
        </w:rPr>
        <w:t>.</w:t>
      </w:r>
      <w:bookmarkStart w:id="4" w:name="_GoBack"/>
      <w:bookmarkEnd w:id="4"/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Procurador - OAB/SP 319.159</w:t>
      </w:r>
    </w:p>
    <w:p w:rsidR="005F5009" w:rsidP="008E3CC7">
      <w:r>
        <w:rPr>
          <w:rFonts w:asciiTheme="minorHAnsi" w:hAnsiTheme="minorHAnsi" w:cstheme="minorHAnsi"/>
          <w:b/>
          <w:szCs w:val="24"/>
        </w:rPr>
        <w:t xml:space="preserve">        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p w:rsidR="008E3CC7">
      <w:r>
        <w:t xml:space="preserve"> </w:t>
      </w: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81992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81992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4256D0" w:rsidRPr="00A71C56" w:rsidP="004256D0">
      <w:pPr>
        <w:pStyle w:val="FootnoteText"/>
        <w:jc w:val="both"/>
      </w:pPr>
      <w:r w:rsidRPr="00A71C56">
        <w:rPr>
          <w:rStyle w:val="FootnoteReference"/>
        </w:rPr>
        <w:footnoteRef/>
      </w:r>
      <w:r w:rsidRPr="00A71C56">
        <w:t xml:space="preserve"> </w:t>
      </w:r>
      <w:r w:rsidRPr="00A71C56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A71C56">
        <w:rPr>
          <w:rFonts w:asciiTheme="minorHAnsi" w:hAnsiTheme="minorHAnsi"/>
          <w:b/>
          <w:i/>
        </w:rPr>
        <w:t xml:space="preserve">quanto ao seu aspecto constitucional, legal ou jurídico </w:t>
      </w:r>
      <w:r w:rsidRPr="00A71C56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A71C56">
        <w:rPr>
          <w:rFonts w:asciiTheme="minorHAnsi" w:hAnsiTheme="minorHAnsi"/>
          <w:i/>
        </w:rPr>
        <w:t>a</w:t>
      </w:r>
      <w:r w:rsidRPr="00A71C56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A71C56">
        <w:rPr>
          <w:rFonts w:asciiTheme="minorHAnsi" w:hAnsiTheme="minorHAnsi"/>
          <w:i/>
        </w:rPr>
        <w:t>G.n</w:t>
      </w:r>
      <w:r w:rsidRPr="00A71C56">
        <w:rPr>
          <w:rFonts w:asciiTheme="minorHAnsi" w:hAnsiTheme="minorHAnsi"/>
          <w:i/>
        </w:rPr>
        <w:t>).</w:t>
      </w:r>
    </w:p>
  </w:footnote>
  <w:footnote w:id="3">
    <w:p w:rsidR="00806E4C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806E4C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6580990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273780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169999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7105"/>
    <w:rsid w:val="000D0F5F"/>
    <w:rsid w:val="00101F32"/>
    <w:rsid w:val="001A7744"/>
    <w:rsid w:val="001B0572"/>
    <w:rsid w:val="001E3859"/>
    <w:rsid w:val="00304CD1"/>
    <w:rsid w:val="003403CA"/>
    <w:rsid w:val="003A7521"/>
    <w:rsid w:val="003B3B7F"/>
    <w:rsid w:val="004256D0"/>
    <w:rsid w:val="004764DA"/>
    <w:rsid w:val="00476B43"/>
    <w:rsid w:val="005078DF"/>
    <w:rsid w:val="00530C92"/>
    <w:rsid w:val="00557AFB"/>
    <w:rsid w:val="00563AA0"/>
    <w:rsid w:val="005F05D5"/>
    <w:rsid w:val="005F5009"/>
    <w:rsid w:val="006003DC"/>
    <w:rsid w:val="00641234"/>
    <w:rsid w:val="00722999"/>
    <w:rsid w:val="007573D5"/>
    <w:rsid w:val="00794D11"/>
    <w:rsid w:val="00806E4C"/>
    <w:rsid w:val="008C3B37"/>
    <w:rsid w:val="008E3CC7"/>
    <w:rsid w:val="009431CA"/>
    <w:rsid w:val="009678F6"/>
    <w:rsid w:val="009D166E"/>
    <w:rsid w:val="00A60C51"/>
    <w:rsid w:val="00A71C56"/>
    <w:rsid w:val="00AE0C0A"/>
    <w:rsid w:val="00B2770B"/>
    <w:rsid w:val="00BC24F1"/>
    <w:rsid w:val="00BD0B9D"/>
    <w:rsid w:val="00BF4D8D"/>
    <w:rsid w:val="00D33B2B"/>
    <w:rsid w:val="00D621FB"/>
    <w:rsid w:val="00D81992"/>
    <w:rsid w:val="00E3552B"/>
    <w:rsid w:val="00EE1CDF"/>
    <w:rsid w:val="00F03D19"/>
    <w:rsid w:val="00F44C42"/>
    <w:rsid w:val="00F53BEF"/>
    <w:rsid w:val="00F61378"/>
    <w:rsid w:val="00FA17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D84-A2AB-43F7-95F1-A9995F3C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1928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13</cp:revision>
  <dcterms:created xsi:type="dcterms:W3CDTF">2025-04-30T17:57:00Z</dcterms:created>
  <dcterms:modified xsi:type="dcterms:W3CDTF">2025-05-05T14:23:00Z</dcterms:modified>
</cp:coreProperties>
</file>