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B1C" w:rsidRPr="001C0EB4" w:rsidP="00473838">
      <w:pPr>
        <w:pStyle w:val="Default"/>
        <w:jc w:val="both"/>
        <w:rPr>
          <w:rFonts w:asciiTheme="minorHAnsi" w:hAnsiTheme="minorHAnsi" w:cs="Calibri"/>
          <w:b/>
          <w:color w:val="auto"/>
        </w:rPr>
      </w:pPr>
      <w:r w:rsidRPr="001C0EB4">
        <w:rPr>
          <w:rFonts w:ascii="Calibri" w:hAnsi="Calibri" w:cs="Calibri"/>
          <w:b/>
          <w:color w:val="auto"/>
        </w:rPr>
        <w:t xml:space="preserve">Parecer </w:t>
      </w:r>
      <w:r w:rsidRPr="001C0EB4">
        <w:rPr>
          <w:rFonts w:asciiTheme="minorHAnsi" w:hAnsiTheme="minorHAnsi" w:cs="Calibri"/>
          <w:b/>
          <w:color w:val="auto"/>
        </w:rPr>
        <w:t>J</w:t>
      </w:r>
      <w:r w:rsidRPr="001C0EB4" w:rsidR="00A15AF9">
        <w:rPr>
          <w:rFonts w:asciiTheme="minorHAnsi" w:hAnsiTheme="minorHAnsi" w:cs="Calibri"/>
          <w:b/>
          <w:color w:val="auto"/>
        </w:rPr>
        <w:t>urídico</w:t>
      </w:r>
      <w:r w:rsidRPr="001C0EB4" w:rsidR="00473838">
        <w:rPr>
          <w:rFonts w:asciiTheme="minorHAnsi" w:hAnsiTheme="minorHAnsi" w:cs="Calibri"/>
          <w:b/>
          <w:color w:val="auto"/>
        </w:rPr>
        <w:t xml:space="preserve"> </w:t>
      </w:r>
      <w:r w:rsidRPr="001C0EB4" w:rsidR="001C0EB4">
        <w:rPr>
          <w:rFonts w:asciiTheme="minorHAnsi" w:hAnsiTheme="minorHAnsi" w:cs="Calibri"/>
          <w:b/>
          <w:color w:val="auto"/>
        </w:rPr>
        <w:t>nº 86</w:t>
      </w:r>
      <w:r w:rsidRPr="001C0EB4">
        <w:rPr>
          <w:rFonts w:asciiTheme="minorHAnsi" w:hAnsiTheme="minorHAnsi" w:cs="Calibri"/>
          <w:b/>
          <w:color w:val="auto"/>
        </w:rPr>
        <w:t>/20</w:t>
      </w:r>
      <w:r w:rsidRPr="001C0EB4" w:rsidR="00667FED">
        <w:rPr>
          <w:rFonts w:asciiTheme="minorHAnsi" w:hAnsiTheme="minorHAnsi" w:cs="Calibri"/>
          <w:b/>
          <w:color w:val="auto"/>
        </w:rPr>
        <w:t>2</w:t>
      </w:r>
      <w:r w:rsidRPr="001C0EB4" w:rsidR="00EB072A">
        <w:rPr>
          <w:rFonts w:asciiTheme="minorHAnsi" w:hAnsiTheme="minorHAnsi" w:cs="Calibri"/>
          <w:b/>
          <w:color w:val="auto"/>
        </w:rPr>
        <w:t>5</w:t>
      </w:r>
      <w:r w:rsidRPr="001C0EB4" w:rsidR="00667FED">
        <w:rPr>
          <w:rFonts w:asciiTheme="minorHAnsi" w:hAnsiTheme="minorHAnsi" w:cs="Calibri"/>
          <w:b/>
          <w:color w:val="auto"/>
        </w:rPr>
        <w:t>.</w:t>
      </w:r>
    </w:p>
    <w:p w:rsidR="002F6577" w:rsidRPr="001C0EB4" w:rsidP="002F6577">
      <w:pPr>
        <w:pStyle w:val="Default"/>
        <w:jc w:val="both"/>
        <w:rPr>
          <w:rFonts w:eastAsia="Times New Roman" w:asciiTheme="minorHAnsi" w:hAnsiTheme="minorHAnsi" w:cstheme="minorHAnsi"/>
          <w:color w:val="auto"/>
          <w:szCs w:val="20"/>
        </w:rPr>
      </w:pPr>
      <w:r w:rsidRPr="001C0EB4">
        <w:rPr>
          <w:rFonts w:asciiTheme="minorHAnsi" w:hAnsiTheme="minorHAnsi" w:cstheme="minorHAnsi"/>
          <w:b/>
          <w:color w:val="auto"/>
        </w:rPr>
        <w:t xml:space="preserve">Referência: Processo Legislativo nº </w:t>
      </w:r>
      <w:r w:rsidRPr="001C0EB4" w:rsidR="00EB072A">
        <w:rPr>
          <w:rFonts w:asciiTheme="minorHAnsi" w:hAnsiTheme="minorHAnsi" w:cstheme="minorHAnsi"/>
          <w:b/>
          <w:color w:val="auto"/>
        </w:rPr>
        <w:t>1628/2025</w:t>
      </w:r>
      <w:r w:rsidRPr="001C0EB4">
        <w:rPr>
          <w:rFonts w:asciiTheme="minorHAnsi" w:hAnsiTheme="minorHAnsi" w:cstheme="minorHAnsi"/>
          <w:b/>
          <w:color w:val="auto"/>
        </w:rPr>
        <w:t>.</w:t>
      </w:r>
    </w:p>
    <w:p w:rsidR="003776CC" w:rsidRPr="001C0EB4" w:rsidP="00473838">
      <w:pPr>
        <w:pStyle w:val="Default"/>
        <w:jc w:val="both"/>
        <w:rPr>
          <w:rFonts w:asciiTheme="minorHAnsi" w:hAnsiTheme="minorHAnsi" w:cs="Calibri"/>
          <w:bCs/>
          <w:color w:val="auto"/>
        </w:rPr>
      </w:pPr>
      <w:r w:rsidRPr="001C0EB4">
        <w:rPr>
          <w:rFonts w:asciiTheme="minorHAnsi" w:hAnsiTheme="minorHAnsi" w:cs="Calibri"/>
          <w:b/>
          <w:bCs/>
          <w:color w:val="auto"/>
        </w:rPr>
        <w:t>Assunto:</w:t>
      </w:r>
      <w:r w:rsidRPr="001C0EB4">
        <w:rPr>
          <w:rFonts w:asciiTheme="minorHAnsi" w:hAnsiTheme="minorHAnsi" w:cs="Calibri"/>
          <w:bCs/>
          <w:color w:val="auto"/>
        </w:rPr>
        <w:t xml:space="preserve"> </w:t>
      </w:r>
      <w:r w:rsidRPr="001C0EB4" w:rsidR="00667FED">
        <w:rPr>
          <w:rFonts w:asciiTheme="minorHAnsi" w:hAnsiTheme="minorHAnsi" w:cs="Calibri"/>
          <w:b/>
          <w:bCs/>
          <w:color w:val="auto"/>
        </w:rPr>
        <w:t>Projeto de Lei nº</w:t>
      </w:r>
      <w:r w:rsidRPr="001C0EB4" w:rsidR="002D051A">
        <w:rPr>
          <w:rFonts w:asciiTheme="minorHAnsi" w:hAnsiTheme="minorHAnsi" w:cs="Calibri"/>
          <w:b/>
          <w:bCs/>
          <w:color w:val="auto"/>
        </w:rPr>
        <w:t xml:space="preserve"> </w:t>
      </w:r>
      <w:r w:rsidRPr="001C0EB4" w:rsidR="00EB072A">
        <w:rPr>
          <w:rFonts w:asciiTheme="minorHAnsi" w:hAnsiTheme="minorHAnsi" w:cs="Calibri"/>
          <w:b/>
          <w:bCs/>
          <w:color w:val="auto"/>
        </w:rPr>
        <w:t>72</w:t>
      </w:r>
      <w:r w:rsidRPr="001C0EB4" w:rsidR="004915DF">
        <w:rPr>
          <w:rFonts w:asciiTheme="minorHAnsi" w:hAnsiTheme="minorHAnsi" w:cs="Calibri"/>
          <w:b/>
          <w:bCs/>
          <w:color w:val="auto"/>
        </w:rPr>
        <w:t>/</w:t>
      </w:r>
      <w:r w:rsidRPr="001C0EB4">
        <w:rPr>
          <w:rFonts w:asciiTheme="minorHAnsi" w:hAnsiTheme="minorHAnsi" w:cs="Calibri"/>
          <w:b/>
          <w:bCs/>
          <w:color w:val="auto"/>
        </w:rPr>
        <w:t>20</w:t>
      </w:r>
      <w:r w:rsidRPr="001C0EB4" w:rsidR="000C4114">
        <w:rPr>
          <w:rFonts w:asciiTheme="minorHAnsi" w:hAnsiTheme="minorHAnsi" w:cs="Calibri"/>
          <w:b/>
          <w:bCs/>
          <w:color w:val="auto"/>
        </w:rPr>
        <w:t>2</w:t>
      </w:r>
      <w:r w:rsidRPr="001C0EB4" w:rsidR="00EB072A">
        <w:rPr>
          <w:rFonts w:asciiTheme="minorHAnsi" w:hAnsiTheme="minorHAnsi" w:cs="Calibri"/>
          <w:b/>
          <w:bCs/>
          <w:color w:val="auto"/>
        </w:rPr>
        <w:t>5</w:t>
      </w:r>
      <w:r w:rsidRPr="001C0EB4" w:rsidR="00473838">
        <w:rPr>
          <w:rFonts w:asciiTheme="minorHAnsi" w:hAnsiTheme="minorHAnsi" w:cs="Calibri"/>
          <w:bCs/>
          <w:color w:val="auto"/>
        </w:rPr>
        <w:t xml:space="preserve"> –</w:t>
      </w:r>
      <w:r w:rsidRPr="001C0EB4" w:rsidR="00731C1B">
        <w:rPr>
          <w:rFonts w:asciiTheme="minorHAnsi" w:hAnsiTheme="minorHAnsi" w:cs="Calibri"/>
          <w:bCs/>
          <w:color w:val="auto"/>
        </w:rPr>
        <w:t xml:space="preserve"> </w:t>
      </w:r>
      <w:r w:rsidRPr="001C0EB4" w:rsidR="00EB072A">
        <w:rPr>
          <w:rFonts w:asciiTheme="minorHAnsi" w:hAnsiTheme="minorHAnsi" w:cs="Calibri"/>
          <w:bCs/>
          <w:color w:val="auto"/>
        </w:rPr>
        <w:t>“</w:t>
      </w:r>
      <w:r w:rsidRPr="001C0EB4" w:rsidR="00EB072A">
        <w:rPr>
          <w:rFonts w:asciiTheme="minorHAnsi" w:hAnsiTheme="minorHAnsi" w:cs="Calibri"/>
          <w:bCs/>
          <w:i/>
          <w:color w:val="auto"/>
        </w:rPr>
        <w:t>Declara utilidade pública a Associação Cultural e Desportiva Capoeira Aruanda de Valinhos</w:t>
      </w:r>
      <w:r w:rsidRPr="001C0EB4" w:rsidR="003D2A3F">
        <w:rPr>
          <w:rFonts w:asciiTheme="minorHAnsi" w:hAnsiTheme="minorHAnsi" w:cs="Calibri"/>
          <w:bCs/>
          <w:color w:val="auto"/>
        </w:rPr>
        <w:t>”</w:t>
      </w:r>
      <w:r w:rsidRPr="001C0EB4">
        <w:rPr>
          <w:rFonts w:asciiTheme="minorHAnsi" w:hAnsiTheme="minorHAnsi" w:cs="Calibri"/>
          <w:bCs/>
          <w:color w:val="auto"/>
        </w:rPr>
        <w:t>.</w:t>
      </w:r>
    </w:p>
    <w:p w:rsidR="00A3018E" w:rsidRPr="001C0EB4" w:rsidP="00731C1B">
      <w:pPr>
        <w:pStyle w:val="Default"/>
        <w:jc w:val="both"/>
        <w:rPr>
          <w:rFonts w:asciiTheme="minorHAnsi" w:hAnsiTheme="minorHAnsi" w:cs="Calibri"/>
          <w:bCs/>
          <w:color w:val="auto"/>
        </w:rPr>
      </w:pPr>
      <w:r w:rsidRPr="001C0EB4">
        <w:rPr>
          <w:rFonts w:asciiTheme="minorHAnsi" w:hAnsiTheme="minorHAnsi" w:cs="Calibri"/>
          <w:b/>
          <w:bCs/>
          <w:color w:val="auto"/>
        </w:rPr>
        <w:t>Autoria:</w:t>
      </w:r>
      <w:r w:rsidRPr="001C0EB4">
        <w:rPr>
          <w:rFonts w:asciiTheme="minorHAnsi" w:hAnsiTheme="minorHAnsi" w:cs="Calibri"/>
          <w:bCs/>
          <w:color w:val="auto"/>
        </w:rPr>
        <w:t xml:space="preserve"> Vereador </w:t>
      </w:r>
      <w:r w:rsidRPr="001C0EB4" w:rsidR="00EB072A">
        <w:rPr>
          <w:rFonts w:asciiTheme="minorHAnsi" w:hAnsiTheme="minorHAnsi" w:cs="Calibri"/>
          <w:bCs/>
          <w:color w:val="auto"/>
        </w:rPr>
        <w:t>Israel Scupenaro</w:t>
      </w:r>
      <w:r w:rsidRPr="001C0EB4" w:rsidR="003776CC">
        <w:rPr>
          <w:rFonts w:asciiTheme="minorHAnsi" w:hAnsiTheme="minorHAnsi" w:cs="Calibri"/>
          <w:bCs/>
          <w:color w:val="auto"/>
        </w:rPr>
        <w:t>.</w:t>
      </w:r>
    </w:p>
    <w:p w:rsidR="00A3018E" w:rsidRPr="001C0EB4" w:rsidP="00731C1B">
      <w:pPr>
        <w:pStyle w:val="Default"/>
        <w:jc w:val="both"/>
        <w:rPr>
          <w:rFonts w:ascii="Calibri" w:hAnsi="Calibri" w:cs="Calibri"/>
          <w:bCs/>
          <w:color w:val="auto"/>
        </w:rPr>
      </w:pPr>
    </w:p>
    <w:p w:rsidR="00B90759" w:rsidRPr="001C0EB4" w:rsidP="00F469AD">
      <w:pPr>
        <w:pStyle w:val="Default"/>
        <w:jc w:val="both"/>
        <w:rPr>
          <w:rFonts w:ascii="Calibri" w:hAnsi="Calibri" w:cs="Calibri"/>
          <w:b/>
          <w:i/>
          <w:color w:val="auto"/>
        </w:rPr>
      </w:pPr>
    </w:p>
    <w:p w:rsidR="00C37118" w:rsidRPr="001C0EB4" w:rsidP="00C37118">
      <w:pPr>
        <w:jc w:val="both"/>
        <w:rPr>
          <w:rFonts w:eastAsia="Calibri" w:asciiTheme="minorHAnsi" w:hAnsiTheme="minorHAnsi" w:cstheme="minorHAnsi"/>
          <w:b/>
          <w:sz w:val="24"/>
          <w:szCs w:val="24"/>
        </w:rPr>
      </w:pPr>
      <w:r w:rsidRPr="001C0EB4">
        <w:rPr>
          <w:rFonts w:eastAsia="Calibri" w:asciiTheme="minorHAnsi" w:hAnsiTheme="minorHAnsi" w:cstheme="minorHAnsi"/>
          <w:b/>
          <w:sz w:val="24"/>
          <w:szCs w:val="24"/>
        </w:rPr>
        <w:t>À Comissão de Justiça e Redação,</w:t>
      </w:r>
    </w:p>
    <w:p w:rsidR="00C37118" w:rsidRPr="001C0EB4" w:rsidP="00C37118">
      <w:pPr>
        <w:jc w:val="both"/>
        <w:rPr>
          <w:rFonts w:eastAsia="Calibri" w:asciiTheme="minorHAnsi" w:hAnsiTheme="minorHAnsi" w:cstheme="minorHAnsi"/>
          <w:b/>
          <w:sz w:val="24"/>
          <w:szCs w:val="24"/>
        </w:rPr>
      </w:pPr>
      <w:r w:rsidRPr="001C0EB4">
        <w:rPr>
          <w:rFonts w:eastAsia="Calibri" w:asciiTheme="minorHAnsi" w:hAnsiTheme="minorHAnsi" w:cstheme="minorHAnsi"/>
          <w:b/>
          <w:sz w:val="24"/>
          <w:szCs w:val="24"/>
        </w:rPr>
        <w:t>Exmo. Presidente Vereador José Osvaldo Cavalcante Beloni (Kiko Beloni).</w:t>
      </w:r>
    </w:p>
    <w:p w:rsidR="002D051A" w:rsidRPr="001C0EB4" w:rsidP="00771721">
      <w:pPr>
        <w:pStyle w:val="Default"/>
        <w:jc w:val="both"/>
        <w:rPr>
          <w:rFonts w:ascii="Calibri" w:hAnsi="Calibri" w:cs="Calibri"/>
          <w:b/>
          <w:i/>
          <w:color w:val="auto"/>
        </w:rPr>
      </w:pPr>
    </w:p>
    <w:p w:rsidR="002D051A" w:rsidRPr="001C0EB4" w:rsidP="00771721">
      <w:pPr>
        <w:pStyle w:val="Default"/>
        <w:jc w:val="both"/>
        <w:rPr>
          <w:rFonts w:ascii="Calibri" w:hAnsi="Calibri" w:cs="Calibri"/>
          <w:b/>
          <w:i/>
          <w:color w:val="auto"/>
        </w:rPr>
      </w:pPr>
    </w:p>
    <w:p w:rsidR="00915084" w:rsidRPr="001C0EB4" w:rsidP="00434A5E">
      <w:pPr>
        <w:spacing w:line="360" w:lineRule="auto"/>
        <w:ind w:firstLine="2268"/>
        <w:jc w:val="both"/>
        <w:rPr>
          <w:rFonts w:ascii="Calibri" w:hAnsi="Calibri" w:cs="Calibri"/>
          <w:sz w:val="12"/>
          <w:szCs w:val="12"/>
        </w:rPr>
      </w:pPr>
    </w:p>
    <w:p w:rsidR="00EB072A" w:rsidRPr="001C0EB4" w:rsidP="00EB072A">
      <w:pPr>
        <w:spacing w:after="240" w:line="360" w:lineRule="auto"/>
        <w:ind w:firstLine="1701"/>
        <w:jc w:val="both"/>
        <w:rPr>
          <w:rFonts w:asciiTheme="minorHAnsi" w:hAnsiTheme="minorHAnsi" w:cstheme="minorHAnsi"/>
          <w:i/>
          <w:sz w:val="24"/>
          <w:szCs w:val="24"/>
        </w:rPr>
      </w:pPr>
      <w:r w:rsidRPr="001C0EB4">
        <w:rPr>
          <w:rFonts w:ascii="Calibri" w:hAnsi="Calibri" w:cs="Calibri"/>
          <w:sz w:val="24"/>
          <w:szCs w:val="24"/>
        </w:rPr>
        <w:t xml:space="preserve">Trata-se de parecer jurídico relativo ao </w:t>
      </w:r>
      <w:r w:rsidRPr="001C0EB4" w:rsidR="00B00FC9">
        <w:rPr>
          <w:rFonts w:ascii="Calibri" w:hAnsi="Calibri" w:cs="Calibri"/>
          <w:sz w:val="24"/>
          <w:szCs w:val="24"/>
        </w:rPr>
        <w:t>projeto em epígrafe</w:t>
      </w:r>
      <w:r w:rsidRPr="001C0EB4">
        <w:rPr>
          <w:rFonts w:ascii="Calibri" w:hAnsi="Calibri" w:cs="Calibri"/>
          <w:sz w:val="24"/>
          <w:szCs w:val="24"/>
        </w:rPr>
        <w:t xml:space="preserve"> </w:t>
      </w:r>
      <w:r w:rsidRPr="001C0EB4" w:rsidR="005B2225">
        <w:rPr>
          <w:rFonts w:ascii="Calibri" w:hAnsi="Calibri" w:cs="Calibri"/>
          <w:sz w:val="24"/>
          <w:szCs w:val="24"/>
        </w:rPr>
        <w:t>que</w:t>
      </w:r>
      <w:r w:rsidRPr="001C0EB4" w:rsidR="000E5C8F">
        <w:rPr>
          <w:rFonts w:ascii="Calibri" w:hAnsi="Calibri" w:cs="Calibri"/>
          <w:sz w:val="24"/>
          <w:szCs w:val="24"/>
        </w:rPr>
        <w:t xml:space="preserve"> </w:t>
      </w:r>
      <w:r w:rsidRPr="001C0EB4">
        <w:rPr>
          <w:rFonts w:asciiTheme="minorHAnsi" w:hAnsiTheme="minorHAnsi" w:cs="Calibri"/>
          <w:bCs/>
        </w:rPr>
        <w:t>“</w:t>
      </w:r>
      <w:r w:rsidRPr="001C0EB4">
        <w:rPr>
          <w:rFonts w:asciiTheme="minorHAnsi" w:hAnsiTheme="minorHAnsi" w:cstheme="minorHAnsi"/>
          <w:i/>
          <w:sz w:val="24"/>
          <w:szCs w:val="24"/>
        </w:rPr>
        <w:t>Declara utilidade pública a Associação Cultural e Desportiva Capoeira Aruanda de Valinhos”.</w:t>
      </w:r>
    </w:p>
    <w:p w:rsidR="00F46B61" w:rsidRPr="001C0EB4" w:rsidP="00EE5F14">
      <w:pPr>
        <w:tabs>
          <w:tab w:val="left" w:pos="1701"/>
        </w:tabs>
        <w:spacing w:after="120" w:line="360" w:lineRule="auto"/>
        <w:ind w:firstLine="1701"/>
        <w:jc w:val="both"/>
        <w:rPr>
          <w:rFonts w:asciiTheme="minorHAnsi" w:hAnsiTheme="minorHAnsi" w:cstheme="minorHAnsi"/>
          <w:sz w:val="24"/>
          <w:szCs w:val="24"/>
        </w:rPr>
      </w:pPr>
      <w:r w:rsidRPr="001C0EB4">
        <w:rPr>
          <w:rFonts w:asciiTheme="minorHAnsi" w:hAnsiTheme="minorHAnsi" w:cstheme="minorHAnsi"/>
          <w:i/>
          <w:sz w:val="24"/>
          <w:szCs w:val="24"/>
        </w:rPr>
        <w:t>Ab initio</w:t>
      </w:r>
      <w:r w:rsidRPr="001C0EB4">
        <w:rPr>
          <w:rFonts w:asciiTheme="minorHAnsi" w:hAnsiTheme="minorHAnsi" w:cstheme="minorHAnsi"/>
          <w:sz w:val="24"/>
          <w:szCs w:val="24"/>
        </w:rPr>
        <w:t>, cumpre destacar a atribuição regimental à Comissão de Justiça e Redação estabelecida no artigo 38</w:t>
      </w:r>
      <w:r>
        <w:rPr>
          <w:rFonts w:asciiTheme="minorHAnsi" w:hAnsiTheme="minorHAnsi" w:cstheme="minorHAnsi"/>
          <w:sz w:val="24"/>
          <w:szCs w:val="24"/>
          <w:vertAlign w:val="superscript"/>
        </w:rPr>
        <w:footnoteReference w:id="2"/>
      </w:r>
      <w:r w:rsidRPr="001C0EB4">
        <w:rPr>
          <w:rFonts w:asciiTheme="minorHAnsi" w:hAnsiTheme="minorHAnsi" w:cstheme="minorHAnsi"/>
          <w:sz w:val="24"/>
          <w:szCs w:val="24"/>
        </w:rPr>
        <w:t xml:space="preserve">. </w:t>
      </w:r>
    </w:p>
    <w:p w:rsidR="00386B56" w:rsidRPr="001C0EB4" w:rsidP="00473838">
      <w:pPr>
        <w:tabs>
          <w:tab w:val="left" w:pos="1701"/>
        </w:tabs>
        <w:spacing w:after="120" w:line="360" w:lineRule="auto"/>
        <w:ind w:firstLine="1701"/>
        <w:jc w:val="both"/>
        <w:rPr>
          <w:rFonts w:ascii="Calibri" w:hAnsi="Calibri" w:cs="Calibri"/>
          <w:sz w:val="24"/>
          <w:szCs w:val="24"/>
        </w:rPr>
      </w:pPr>
      <w:r w:rsidRPr="001C0EB4">
        <w:rPr>
          <w:rFonts w:asciiTheme="minorHAnsi" w:hAnsiTheme="minorHAnsi" w:cstheme="minorHAnsi"/>
          <w:sz w:val="24"/>
          <w:szCs w:val="24"/>
        </w:rPr>
        <w:t>Outrossim</w:t>
      </w:r>
      <w:r w:rsidRPr="001C0EB4">
        <w:rPr>
          <w:rFonts w:asciiTheme="minorHAnsi" w:hAnsiTheme="minorHAnsi" w:cstheme="minorHAnsi"/>
          <w:sz w:val="24"/>
          <w:szCs w:val="24"/>
        </w:rPr>
        <w:t>, ressalta-se que a opinião jurídica exarada não possui força vinculante, sendo meramente opinativo</w:t>
      </w:r>
      <w:r>
        <w:rPr>
          <w:rStyle w:val="FootnoteReference"/>
          <w:rFonts w:ascii="Calibri" w:hAnsi="Calibri" w:cs="Calibri"/>
          <w:sz w:val="24"/>
          <w:szCs w:val="24"/>
        </w:rPr>
        <w:footnoteReference w:id="3"/>
      </w:r>
      <w:r w:rsidRPr="001C0EB4">
        <w:rPr>
          <w:rFonts w:asciiTheme="minorHAnsi" w:hAnsiTheme="minorHAnsi" w:cstheme="minorHAnsi"/>
          <w:sz w:val="24"/>
          <w:szCs w:val="24"/>
        </w:rPr>
        <w:t xml:space="preserve">, não fundamentando decisão proferida </w:t>
      </w:r>
      <w:r w:rsidRPr="001C0EB4">
        <w:rPr>
          <w:rFonts w:asciiTheme="minorHAnsi" w:hAnsiTheme="minorHAnsi" w:cstheme="minorHAnsi"/>
          <w:sz w:val="24"/>
          <w:szCs w:val="24"/>
        </w:rPr>
        <w:t>pelas</w:t>
      </w:r>
      <w:r w:rsidRPr="001C0EB4">
        <w:rPr>
          <w:rFonts w:asciiTheme="minorHAnsi" w:hAnsiTheme="minorHAnsi" w:cstheme="minorHAnsi"/>
          <w:sz w:val="24"/>
          <w:szCs w:val="24"/>
        </w:rPr>
        <w:t xml:space="preserve"> Comissões.</w:t>
      </w:r>
      <w:r w:rsidRPr="001C0EB4" w:rsidR="00473838">
        <w:rPr>
          <w:rFonts w:asciiTheme="minorHAnsi" w:hAnsiTheme="minorHAnsi" w:cstheme="minorHAnsi"/>
          <w:sz w:val="24"/>
          <w:szCs w:val="24"/>
        </w:rPr>
        <w:t xml:space="preserve"> </w:t>
      </w:r>
    </w:p>
    <w:p w:rsidR="00D732F8" w:rsidRPr="001C0EB4" w:rsidP="009677C5">
      <w:pPr>
        <w:tabs>
          <w:tab w:val="left" w:pos="1701"/>
          <w:tab w:val="left" w:pos="2268"/>
        </w:tabs>
        <w:spacing w:after="120" w:line="360" w:lineRule="auto"/>
        <w:jc w:val="both"/>
        <w:rPr>
          <w:rFonts w:ascii="Calibri" w:hAnsi="Calibri" w:cs="Calibri"/>
          <w:sz w:val="24"/>
          <w:szCs w:val="24"/>
        </w:rPr>
      </w:pPr>
      <w:r w:rsidRPr="001C0EB4">
        <w:rPr>
          <w:rFonts w:ascii="Calibri" w:hAnsi="Calibri" w:cs="Calibri"/>
          <w:sz w:val="24"/>
          <w:szCs w:val="24"/>
        </w:rPr>
        <w:tab/>
      </w:r>
      <w:r w:rsidRPr="001C0EB4" w:rsidR="002D051A">
        <w:rPr>
          <w:rFonts w:ascii="Calibri" w:hAnsi="Calibri" w:cs="Calibri"/>
          <w:sz w:val="24"/>
          <w:szCs w:val="24"/>
        </w:rPr>
        <w:t>Assim</w:t>
      </w:r>
      <w:r w:rsidRPr="001C0EB4" w:rsidR="00434A5E">
        <w:rPr>
          <w:rFonts w:ascii="Calibri" w:hAnsi="Calibri" w:cs="Calibri"/>
          <w:sz w:val="24"/>
          <w:szCs w:val="24"/>
        </w:rPr>
        <w:t xml:space="preserve">, considerando os aspectos </w:t>
      </w:r>
      <w:r w:rsidRPr="001C0EB4" w:rsidR="00473838">
        <w:rPr>
          <w:rFonts w:ascii="Calibri" w:hAnsi="Calibri" w:cs="Calibri"/>
          <w:sz w:val="24"/>
          <w:szCs w:val="24"/>
        </w:rPr>
        <w:t>jurídicos</w:t>
      </w:r>
      <w:r w:rsidRPr="001C0EB4" w:rsidR="004847FE">
        <w:rPr>
          <w:rFonts w:ascii="Calibri" w:hAnsi="Calibri" w:cs="Calibri"/>
          <w:sz w:val="24"/>
          <w:szCs w:val="24"/>
        </w:rPr>
        <w:t xml:space="preserve"> </w:t>
      </w:r>
      <w:r w:rsidRPr="001C0EB4" w:rsidR="00434A5E">
        <w:rPr>
          <w:rFonts w:ascii="Calibri" w:hAnsi="Calibri" w:cs="Calibri"/>
          <w:sz w:val="24"/>
          <w:szCs w:val="24"/>
        </w:rPr>
        <w:t xml:space="preserve">passamos a </w:t>
      </w:r>
      <w:r w:rsidRPr="001C0EB4" w:rsidR="00434A5E">
        <w:rPr>
          <w:rFonts w:ascii="Calibri" w:hAnsi="Calibri" w:cs="Calibri"/>
          <w:b/>
          <w:sz w:val="24"/>
          <w:szCs w:val="24"/>
        </w:rPr>
        <w:t>análise técnica</w:t>
      </w:r>
      <w:r w:rsidRPr="001C0EB4" w:rsidR="00434A5E">
        <w:rPr>
          <w:rFonts w:ascii="Calibri" w:hAnsi="Calibri" w:cs="Calibri"/>
          <w:sz w:val="24"/>
          <w:szCs w:val="24"/>
        </w:rPr>
        <w:t xml:space="preserve"> do </w:t>
      </w:r>
      <w:r w:rsidRPr="001C0EB4" w:rsidR="00730FB8">
        <w:rPr>
          <w:rFonts w:ascii="Calibri" w:hAnsi="Calibri" w:cs="Calibri"/>
          <w:sz w:val="24"/>
          <w:szCs w:val="24"/>
        </w:rPr>
        <w:t>projeto em epígrafe.</w:t>
      </w:r>
    </w:p>
    <w:p w:rsidR="004E7B4B" w:rsidRPr="001C0EB4" w:rsidP="006D2121">
      <w:pPr>
        <w:pStyle w:val="Default"/>
        <w:spacing w:line="360" w:lineRule="auto"/>
        <w:ind w:firstLine="1701"/>
        <w:jc w:val="both"/>
        <w:rPr>
          <w:rFonts w:ascii="Calibri" w:hAnsi="Calibri" w:cs="Calibri"/>
          <w:color w:val="auto"/>
        </w:rPr>
      </w:pPr>
      <w:r w:rsidRPr="001C0EB4">
        <w:rPr>
          <w:rFonts w:ascii="Calibri" w:hAnsi="Calibri" w:cs="Calibri"/>
          <w:color w:val="auto"/>
        </w:rPr>
        <w:t>Pois bem, analisando os dispos</w:t>
      </w:r>
      <w:r w:rsidRPr="001C0EB4" w:rsidR="00F26D56">
        <w:rPr>
          <w:rFonts w:ascii="Calibri" w:hAnsi="Calibri" w:cs="Calibri"/>
          <w:color w:val="auto"/>
        </w:rPr>
        <w:t xml:space="preserve">itivos do projeto infere-se </w:t>
      </w:r>
      <w:r w:rsidRPr="001C0EB4" w:rsidR="009C7AB3">
        <w:rPr>
          <w:rFonts w:ascii="Calibri" w:hAnsi="Calibri" w:cs="Calibri"/>
          <w:color w:val="auto"/>
        </w:rPr>
        <w:t>trata</w:t>
      </w:r>
      <w:r w:rsidRPr="001C0EB4" w:rsidR="00C62AED">
        <w:rPr>
          <w:rFonts w:ascii="Calibri" w:hAnsi="Calibri" w:cs="Calibri"/>
          <w:color w:val="auto"/>
        </w:rPr>
        <w:t>r-se</w:t>
      </w:r>
      <w:r w:rsidRPr="001C0EB4">
        <w:rPr>
          <w:rFonts w:ascii="Calibri" w:hAnsi="Calibri" w:cs="Calibri"/>
          <w:color w:val="auto"/>
        </w:rPr>
        <w:t xml:space="preserve"> de </w:t>
      </w:r>
      <w:r w:rsidRPr="001C0EB4">
        <w:rPr>
          <w:rFonts w:ascii="Calibri" w:hAnsi="Calibri" w:cs="Calibri"/>
          <w:b/>
          <w:color w:val="auto"/>
        </w:rPr>
        <w:t>matéria de competência municipal</w:t>
      </w:r>
      <w:r w:rsidRPr="001C0EB4">
        <w:rPr>
          <w:rFonts w:ascii="Calibri" w:hAnsi="Calibri" w:cs="Calibri"/>
          <w:color w:val="auto"/>
        </w:rPr>
        <w:t>, eis que por força da Constituição da República os Municípios foram dotados de autonomia legislativa, que vem consubstanciada na capacidade de legislar sobre assuntos de interesse local (art. 30, I)</w:t>
      </w:r>
      <w:r w:rsidRPr="001C0EB4" w:rsidR="008020B3">
        <w:rPr>
          <w:rFonts w:ascii="Calibri" w:hAnsi="Calibri" w:cs="Calibri"/>
          <w:color w:val="auto"/>
        </w:rPr>
        <w:t>.</w:t>
      </w:r>
    </w:p>
    <w:p w:rsidR="00F42D26" w:rsidRPr="001C0EB4" w:rsidP="00245AC5">
      <w:pPr>
        <w:pStyle w:val="Default"/>
        <w:spacing w:line="276" w:lineRule="auto"/>
        <w:ind w:left="2268"/>
        <w:jc w:val="both"/>
        <w:rPr>
          <w:rFonts w:ascii="Calibri" w:hAnsi="Calibri" w:cs="Calibri"/>
          <w:i/>
          <w:color w:val="auto"/>
          <w:sz w:val="22"/>
          <w:szCs w:val="22"/>
          <w:lang w:eastAsia="en-US"/>
        </w:rPr>
      </w:pPr>
    </w:p>
    <w:p w:rsidR="004E7B4B" w:rsidRPr="001C0EB4" w:rsidP="004E7B4B">
      <w:pPr>
        <w:pStyle w:val="Default"/>
        <w:spacing w:after="240" w:line="300" w:lineRule="auto"/>
        <w:ind w:firstLine="1701"/>
        <w:jc w:val="both"/>
        <w:rPr>
          <w:rFonts w:ascii="Calibri" w:hAnsi="Calibri" w:cs="Calibri"/>
          <w:color w:val="auto"/>
        </w:rPr>
      </w:pPr>
      <w:r w:rsidRPr="001C0EB4">
        <w:rPr>
          <w:rFonts w:ascii="Calibri" w:hAnsi="Calibri" w:cs="Calibri"/>
          <w:color w:val="auto"/>
        </w:rPr>
        <w:t>Acerca do conceito de interesse local</w:t>
      </w:r>
      <w:r w:rsidRPr="001C0EB4" w:rsidR="00664FEF">
        <w:rPr>
          <w:rFonts w:ascii="Calibri" w:hAnsi="Calibri" w:cs="Calibri"/>
          <w:color w:val="auto"/>
        </w:rPr>
        <w:t>,</w:t>
      </w:r>
      <w:r w:rsidRPr="001C0EB4">
        <w:rPr>
          <w:rFonts w:ascii="Calibri" w:hAnsi="Calibri" w:cs="Calibri"/>
          <w:color w:val="auto"/>
        </w:rPr>
        <w:t xml:space="preserve"> o saudoso professor Hely Lopes Meirelles leciona:</w:t>
      </w:r>
    </w:p>
    <w:p w:rsidR="009677C5" w:rsidRPr="001C0EB4" w:rsidP="009C7AB3">
      <w:pPr>
        <w:autoSpaceDE w:val="0"/>
        <w:autoSpaceDN w:val="0"/>
        <w:adjustRightInd w:val="0"/>
        <w:ind w:left="2268"/>
        <w:jc w:val="both"/>
        <w:rPr>
          <w:rFonts w:ascii="Calibri" w:eastAsia="Calibri" w:hAnsi="Calibri" w:cs="Calibri"/>
          <w:b/>
          <w:i/>
          <w:sz w:val="22"/>
          <w:szCs w:val="22"/>
        </w:rPr>
      </w:pPr>
      <w:r w:rsidRPr="001C0EB4">
        <w:rPr>
          <w:rFonts w:ascii="Calibri" w:eastAsia="Calibri" w:hAnsi="Calibri" w:cs="Calibri"/>
          <w:i/>
          <w:sz w:val="22"/>
          <w:szCs w:val="22"/>
        </w:rPr>
        <w:t xml:space="preserve">"Interesse local não é interesse exclusivo do Município; não é interesse privativo da localidade; não é interesse único dos municípios. Se se exigisse essa exclusividade, </w:t>
      </w:r>
      <w:r w:rsidRPr="001C0EB4">
        <w:rPr>
          <w:rFonts w:ascii="Calibri" w:eastAsia="Calibri" w:hAnsi="Calibri" w:cs="Calibri"/>
          <w:i/>
          <w:sz w:val="22"/>
          <w:szCs w:val="22"/>
        </w:rPr>
        <w:t xml:space="preserve">essa </w:t>
      </w:r>
      <w:r w:rsidRPr="001C0EB4">
        <w:rPr>
          <w:rFonts w:ascii="Calibri" w:eastAsia="Calibri" w:hAnsi="Calibri" w:cs="Calibri"/>
          <w:i/>
          <w:sz w:val="22"/>
          <w:szCs w:val="22"/>
        </w:rPr>
        <w:t>privatividade</w:t>
      </w:r>
      <w:r w:rsidRPr="001C0EB4">
        <w:rPr>
          <w:rFonts w:ascii="Calibri" w:eastAsia="Calibri" w:hAnsi="Calibri" w:cs="Calibri"/>
          <w:i/>
          <w:sz w:val="22"/>
          <w:szCs w:val="22"/>
        </w:rPr>
        <w:t>, essa unicidade, bem reduzido</w:t>
      </w:r>
      <w:r w:rsidRPr="001C0EB4">
        <w:rPr>
          <w:rFonts w:ascii="Calibri" w:eastAsia="Calibri" w:hAnsi="Calibri" w:cs="Calibr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1C0EB4">
        <w:rPr>
          <w:rFonts w:ascii="Calibri" w:eastAsia="Calibri" w:hAnsi="Calibri" w:cs="Calibri"/>
          <w:b/>
          <w:i/>
          <w:sz w:val="22"/>
          <w:szCs w:val="22"/>
        </w:rPr>
        <w:t>O que define e caracteriza o 'interesse local', inscrito como dogma constitucional, é a predominância do interesse do Município sobre o do Estado ou da União". (</w:t>
      </w:r>
      <w:r w:rsidRPr="001C0EB4">
        <w:rPr>
          <w:rFonts w:ascii="Calibri" w:eastAsia="Calibri" w:hAnsi="Calibri" w:cs="Calibri"/>
          <w:b/>
          <w:i/>
          <w:sz w:val="22"/>
          <w:szCs w:val="22"/>
        </w:rPr>
        <w:t>gn</w:t>
      </w:r>
      <w:r w:rsidRPr="001C0EB4">
        <w:rPr>
          <w:rFonts w:ascii="Calibri" w:eastAsia="Calibri" w:hAnsi="Calibri" w:cs="Calibri"/>
          <w:b/>
          <w:i/>
          <w:sz w:val="22"/>
          <w:szCs w:val="22"/>
        </w:rPr>
        <w:t>)</w:t>
      </w:r>
    </w:p>
    <w:p w:rsidR="00273909" w:rsidRPr="001C0EB4" w:rsidP="00855D7D">
      <w:pPr>
        <w:autoSpaceDE w:val="0"/>
        <w:autoSpaceDN w:val="0"/>
        <w:adjustRightInd w:val="0"/>
        <w:ind w:left="2268"/>
        <w:jc w:val="both"/>
        <w:rPr>
          <w:rFonts w:ascii="Calibri" w:eastAsia="Calibri" w:hAnsi="Calibri" w:cs="Calibri"/>
          <w:i/>
        </w:rPr>
      </w:pPr>
      <w:r w:rsidRPr="001C0EB4">
        <w:rPr>
          <w:rFonts w:ascii="Calibri" w:eastAsia="Calibri" w:hAnsi="Calibri" w:cs="Calibri"/>
          <w:i/>
        </w:rPr>
        <w:t xml:space="preserve">(in Direito Municipal Brasileiro, 6ª ed., atualizada por Izabel Camargo Lopes Monteiro e Yara Darcy Police Monteiro, 1993, Malheiros, p. </w:t>
      </w:r>
      <w:r w:rsidRPr="001C0EB4">
        <w:rPr>
          <w:rFonts w:ascii="Calibri" w:eastAsia="Calibri" w:hAnsi="Calibri" w:cs="Calibri"/>
          <w:i/>
        </w:rPr>
        <w:t>98)</w:t>
      </w:r>
    </w:p>
    <w:p w:rsidR="00855D7D" w:rsidRPr="001C0EB4" w:rsidP="00855D7D">
      <w:pPr>
        <w:autoSpaceDE w:val="0"/>
        <w:autoSpaceDN w:val="0"/>
        <w:adjustRightInd w:val="0"/>
        <w:ind w:left="2268"/>
        <w:jc w:val="both"/>
        <w:rPr>
          <w:rFonts w:ascii="Calibri" w:eastAsia="Calibri" w:hAnsi="Calibri" w:cs="Calibri"/>
          <w:i/>
          <w:sz w:val="22"/>
          <w:szCs w:val="22"/>
        </w:rPr>
      </w:pPr>
    </w:p>
    <w:p w:rsidR="003C1F65" w:rsidRPr="001C0EB4" w:rsidP="003C1F65">
      <w:pPr>
        <w:tabs>
          <w:tab w:val="left" w:pos="1701"/>
        </w:tabs>
        <w:autoSpaceDE w:val="0"/>
        <w:autoSpaceDN w:val="0"/>
        <w:adjustRightInd w:val="0"/>
        <w:spacing w:after="240" w:line="360" w:lineRule="auto"/>
        <w:ind w:firstLine="1701"/>
        <w:jc w:val="both"/>
        <w:rPr>
          <w:rFonts w:ascii="Calibri" w:hAnsi="Calibri" w:cs="Calibri"/>
          <w:sz w:val="24"/>
          <w:szCs w:val="24"/>
        </w:rPr>
      </w:pPr>
      <w:r w:rsidRPr="001C0EB4">
        <w:rPr>
          <w:rFonts w:ascii="Calibri" w:hAnsi="Calibri" w:cs="Calibri"/>
          <w:sz w:val="24"/>
          <w:szCs w:val="24"/>
        </w:rPr>
        <w:t>No que tange</w:t>
      </w:r>
      <w:r w:rsidRPr="001C0EB4" w:rsidR="00664FEF">
        <w:rPr>
          <w:rFonts w:ascii="Calibri" w:hAnsi="Calibri" w:cs="Calibri"/>
          <w:sz w:val="24"/>
          <w:szCs w:val="24"/>
        </w:rPr>
        <w:t xml:space="preserve"> à </w:t>
      </w:r>
      <w:r w:rsidRPr="001C0EB4" w:rsidR="00664FEF">
        <w:rPr>
          <w:rFonts w:ascii="Calibri" w:hAnsi="Calibri" w:cs="Calibri"/>
          <w:b/>
          <w:sz w:val="24"/>
          <w:szCs w:val="24"/>
        </w:rPr>
        <w:t xml:space="preserve">competência para deflagrar </w:t>
      </w:r>
      <w:r w:rsidRPr="001C0EB4">
        <w:rPr>
          <w:rFonts w:ascii="Calibri" w:hAnsi="Calibri" w:cs="Calibri"/>
          <w:b/>
          <w:sz w:val="24"/>
          <w:szCs w:val="24"/>
        </w:rPr>
        <w:t>processo legislativo</w:t>
      </w:r>
      <w:r w:rsidRPr="001C0EB4" w:rsidR="00482A80">
        <w:rPr>
          <w:rFonts w:ascii="Calibri" w:hAnsi="Calibri" w:cs="Calibri"/>
          <w:sz w:val="24"/>
          <w:szCs w:val="24"/>
        </w:rPr>
        <w:t xml:space="preserve"> </w:t>
      </w:r>
      <w:r w:rsidRPr="001C0EB4" w:rsidR="005C7E34">
        <w:rPr>
          <w:rFonts w:ascii="Calibri" w:hAnsi="Calibri" w:cs="Calibri"/>
          <w:sz w:val="24"/>
          <w:szCs w:val="24"/>
        </w:rPr>
        <w:t>sobre a matéria, o</w:t>
      </w:r>
      <w:r w:rsidRPr="001C0EB4">
        <w:rPr>
          <w:rFonts w:ascii="Calibri" w:hAnsi="Calibri" w:cs="Calibri"/>
          <w:sz w:val="24"/>
          <w:szCs w:val="24"/>
        </w:rPr>
        <w:t xml:space="preserve"> </w:t>
      </w:r>
      <w:r w:rsidRPr="001C0EB4" w:rsidR="002A0B0D">
        <w:rPr>
          <w:rFonts w:ascii="Calibri" w:hAnsi="Calibri" w:cs="Calibri"/>
          <w:sz w:val="24"/>
          <w:szCs w:val="24"/>
        </w:rPr>
        <w:t xml:space="preserve">C. </w:t>
      </w:r>
      <w:r w:rsidRPr="001C0EB4">
        <w:rPr>
          <w:rFonts w:ascii="Calibri" w:hAnsi="Calibri" w:cs="Calibri"/>
          <w:sz w:val="24"/>
          <w:szCs w:val="24"/>
        </w:rPr>
        <w:t xml:space="preserve">Supremo Tribunal Federal no julgamento da </w:t>
      </w:r>
      <w:r w:rsidRPr="001C0EB4">
        <w:rPr>
          <w:rFonts w:ascii="Calibri" w:hAnsi="Calibri" w:cs="Calibri"/>
          <w:b/>
          <w:sz w:val="24"/>
          <w:szCs w:val="24"/>
          <w:u w:val="single"/>
        </w:rPr>
        <w:t>ADI 4052/SP</w:t>
      </w:r>
      <w:r w:rsidRPr="001C0EB4">
        <w:rPr>
          <w:rFonts w:ascii="Calibri" w:hAnsi="Calibri" w:cs="Calibri"/>
          <w:sz w:val="24"/>
          <w:szCs w:val="24"/>
        </w:rPr>
        <w:t xml:space="preserve"> pronunciou-se pela </w:t>
      </w:r>
      <w:r w:rsidRPr="001C0EB4">
        <w:rPr>
          <w:rFonts w:ascii="Calibri" w:hAnsi="Calibri" w:cs="Calibri"/>
          <w:b/>
          <w:sz w:val="24"/>
          <w:szCs w:val="24"/>
        </w:rPr>
        <w:t>inconstitucionalidade do item n. 4 do § 1º do artigo 24</w:t>
      </w:r>
      <w:r w:rsidRPr="001C0EB4" w:rsidR="007C5C8F">
        <w:rPr>
          <w:rFonts w:ascii="Calibri" w:hAnsi="Calibri" w:cs="Calibri"/>
          <w:b/>
          <w:sz w:val="24"/>
          <w:szCs w:val="24"/>
        </w:rPr>
        <w:t>,</w:t>
      </w:r>
      <w:r w:rsidRPr="001C0EB4">
        <w:rPr>
          <w:rFonts w:ascii="Calibri" w:hAnsi="Calibri" w:cs="Calibri"/>
          <w:b/>
          <w:sz w:val="24"/>
          <w:szCs w:val="24"/>
        </w:rPr>
        <w:t xml:space="preserve"> da Constituição do Estado de São Paulo,</w:t>
      </w:r>
      <w:r w:rsidRPr="001C0EB4">
        <w:rPr>
          <w:rFonts w:ascii="Calibri" w:hAnsi="Calibri" w:cs="Calibri"/>
          <w:sz w:val="24"/>
          <w:szCs w:val="24"/>
        </w:rPr>
        <w:t xml:space="preserve"> que estabelecia a competência </w:t>
      </w:r>
      <w:r w:rsidRPr="001C0EB4" w:rsidR="009939F4">
        <w:rPr>
          <w:rFonts w:ascii="Calibri" w:hAnsi="Calibri" w:cs="Calibri"/>
          <w:sz w:val="24"/>
          <w:szCs w:val="24"/>
        </w:rPr>
        <w:t>exclusiva</w:t>
      </w:r>
      <w:r w:rsidRPr="001C0EB4">
        <w:rPr>
          <w:rFonts w:ascii="Calibri" w:hAnsi="Calibri" w:cs="Calibri"/>
          <w:sz w:val="24"/>
          <w:szCs w:val="24"/>
        </w:rPr>
        <w:t xml:space="preserve"> da Assembleia Legislativa </w:t>
      </w:r>
      <w:r w:rsidRPr="001C0EB4" w:rsidR="009939F4">
        <w:rPr>
          <w:rFonts w:ascii="Calibri" w:hAnsi="Calibri" w:cs="Calibri"/>
          <w:sz w:val="24"/>
          <w:szCs w:val="24"/>
        </w:rPr>
        <w:t>para a</w:t>
      </w:r>
      <w:r w:rsidRPr="001C0EB4">
        <w:rPr>
          <w:rFonts w:ascii="Calibri" w:hAnsi="Calibri" w:cs="Calibri"/>
          <w:sz w:val="24"/>
          <w:szCs w:val="24"/>
        </w:rPr>
        <w:t xml:space="preserve"> iniciativa das leis que disponham sobre</w:t>
      </w:r>
      <w:r w:rsidRPr="001C0EB4" w:rsidR="009939F4">
        <w:rPr>
          <w:rFonts w:ascii="Calibri" w:hAnsi="Calibri" w:cs="Calibri"/>
          <w:sz w:val="24"/>
          <w:szCs w:val="24"/>
        </w:rPr>
        <w:t xml:space="preserve"> a declaração de utilidade pública de entidades de direito privado, vejamos:</w:t>
      </w:r>
    </w:p>
    <w:p w:rsidR="003E1301" w:rsidRPr="001C0EB4" w:rsidP="006C0BBC">
      <w:pPr>
        <w:tabs>
          <w:tab w:val="left" w:pos="1701"/>
        </w:tabs>
        <w:autoSpaceDE w:val="0"/>
        <w:autoSpaceDN w:val="0"/>
        <w:adjustRightInd w:val="0"/>
        <w:spacing w:after="120"/>
        <w:ind w:left="2268"/>
        <w:jc w:val="both"/>
        <w:rPr>
          <w:rFonts w:asciiTheme="minorHAnsi" w:hAnsiTheme="minorHAnsi"/>
          <w:i/>
          <w:sz w:val="22"/>
          <w:szCs w:val="22"/>
        </w:rPr>
      </w:pPr>
      <w:r w:rsidRPr="001C0EB4">
        <w:rPr>
          <w:rFonts w:asciiTheme="minorHAnsi" w:hAnsiTheme="minorHAnsi"/>
          <w:b/>
          <w:i/>
          <w:sz w:val="22"/>
          <w:szCs w:val="22"/>
        </w:rPr>
        <w:t>EMENTA</w:t>
      </w:r>
      <w:r w:rsidRPr="001C0EB4" w:rsidR="00A15846">
        <w:rPr>
          <w:rFonts w:asciiTheme="minorHAnsi" w:hAnsiTheme="minorHAnsi"/>
          <w:i/>
          <w:sz w:val="22"/>
          <w:szCs w:val="22"/>
        </w:rPr>
        <w:t>:</w:t>
      </w:r>
      <w:r w:rsidRPr="001C0EB4">
        <w:rPr>
          <w:rFonts w:asciiTheme="minorHAnsi" w:hAnsiTheme="minorHAnsi"/>
          <w:i/>
          <w:sz w:val="22"/>
          <w:szCs w:val="22"/>
        </w:rPr>
        <w:t xml:space="preserve"> AÇÃO DIRETA DE INCONSTITUCIONALIDADE. EMENDA Nº 24/2008 À CONSTITUIÇÃO DO ESTADO DE SÃO PAULO. ESTIPULAÇÃO DE PRAZO PARA O GOVERNADOR EXPEDIR DECRETOS E REGULAMENTOS PARA FIEL EXECUÇÃO DAS LEIS (CE PAULISTA, ART. 47, III). VIOLAÇÃO DO PRINCÍPIO DA SEPARAÇÃO DOS PODERES. DEFINIÇÃO DE COMPORTAMENTOS CONFIGURADORES DE CRIMES DE RESPONSABILIDADE (CE </w:t>
      </w:r>
      <w:r w:rsidRPr="001C0EB4">
        <w:rPr>
          <w:rFonts w:asciiTheme="minorHAnsi" w:hAnsiTheme="minorHAnsi"/>
          <w:i/>
          <w:sz w:val="22"/>
          <w:szCs w:val="22"/>
        </w:rPr>
        <w:t>PAULISTA ,</w:t>
      </w:r>
      <w:r w:rsidRPr="001C0EB4">
        <w:rPr>
          <w:rFonts w:asciiTheme="minorHAnsi" w:hAnsiTheme="minorHAnsi"/>
          <w:i/>
          <w:sz w:val="22"/>
          <w:szCs w:val="22"/>
        </w:rPr>
        <w:t xml:space="preserve"> ART. 20, XVI E ART. 52, §§ 1 º, 2 º E 3 º). USURPAÇÃO DA COMPETÊNCIA LEGISLATIVA PRIVATIVA DA UNIÃO (CF, ART. 22, I). SÚMULA VINCULANTE 46/STF. </w:t>
      </w:r>
      <w:r w:rsidRPr="001C0EB4">
        <w:rPr>
          <w:rFonts w:asciiTheme="minorHAnsi" w:hAnsiTheme="minorHAnsi"/>
          <w:b/>
          <w:i/>
          <w:sz w:val="22"/>
          <w:szCs w:val="22"/>
        </w:rPr>
        <w:t xml:space="preserve">ATRIBUIÇÃO </w:t>
      </w:r>
      <w:r w:rsidRPr="001C0EB4">
        <w:rPr>
          <w:rFonts w:asciiTheme="minorHAnsi" w:hAnsiTheme="minorHAnsi"/>
          <w:b/>
          <w:i/>
          <w:sz w:val="22"/>
          <w:szCs w:val="22"/>
        </w:rPr>
        <w:t>DE INICIATIVA PRIVATIVA À ASSEMBLEIA LEGISLATIVA PARA A PROPOSITURA DE PROJETOS DE LEI EM MATÉRIA DE INTERESSE DA ADMINISTRAÇÃO PÚBLICA ESTADUAL (ART. 24, § 1 º, N. 4)</w:t>
      </w:r>
      <w:r w:rsidRPr="001C0EB4">
        <w:rPr>
          <w:rFonts w:asciiTheme="minorHAnsi" w:hAnsiTheme="minorHAnsi"/>
          <w:i/>
          <w:sz w:val="22"/>
          <w:szCs w:val="22"/>
        </w:rPr>
        <w:t xml:space="preserve">. OBSERVÂNCIA COMPULSÓRIA PELOS </w:t>
      </w:r>
      <w:r w:rsidRPr="001C0EB4">
        <w:rPr>
          <w:rFonts w:asciiTheme="minorHAnsi" w:hAnsiTheme="minorHAnsi"/>
          <w:i/>
          <w:sz w:val="22"/>
          <w:szCs w:val="22"/>
        </w:rPr>
        <w:t>ESTADOS -MEMBROS</w:t>
      </w:r>
      <w:r w:rsidRPr="001C0EB4">
        <w:rPr>
          <w:rFonts w:asciiTheme="minorHAnsi" w:hAnsiTheme="minorHAnsi"/>
          <w:i/>
          <w:sz w:val="22"/>
          <w:szCs w:val="22"/>
        </w:rPr>
        <w:t xml:space="preserve"> DAS NORMAS CONSTITUCIONAIS ESTRUTURANTES DO PROCESSO LEGISLATIVO . </w:t>
      </w:r>
    </w:p>
    <w:p w:rsidR="003E1301" w:rsidRPr="001C0EB4" w:rsidP="006C0BBC">
      <w:pPr>
        <w:tabs>
          <w:tab w:val="left" w:pos="1701"/>
        </w:tabs>
        <w:autoSpaceDE w:val="0"/>
        <w:autoSpaceDN w:val="0"/>
        <w:adjustRightInd w:val="0"/>
        <w:spacing w:after="120"/>
        <w:ind w:left="2268"/>
        <w:jc w:val="both"/>
        <w:rPr>
          <w:rFonts w:asciiTheme="minorHAnsi" w:hAnsiTheme="minorHAnsi"/>
          <w:i/>
          <w:sz w:val="22"/>
          <w:szCs w:val="22"/>
        </w:rPr>
      </w:pPr>
      <w:r w:rsidRPr="001C0EB4">
        <w:rPr>
          <w:rFonts w:asciiTheme="minorHAnsi" w:hAnsiTheme="minorHAnsi"/>
          <w:i/>
          <w:sz w:val="22"/>
          <w:szCs w:val="22"/>
        </w:rPr>
        <w:t>(...)</w:t>
      </w:r>
    </w:p>
    <w:p w:rsidR="003E1301" w:rsidRPr="001C0EB4" w:rsidP="006C0BBC">
      <w:pPr>
        <w:tabs>
          <w:tab w:val="left" w:pos="1701"/>
        </w:tabs>
        <w:autoSpaceDE w:val="0"/>
        <w:autoSpaceDN w:val="0"/>
        <w:adjustRightInd w:val="0"/>
        <w:spacing w:after="120"/>
        <w:ind w:left="2268"/>
        <w:jc w:val="both"/>
        <w:rPr>
          <w:rFonts w:asciiTheme="minorHAnsi" w:hAnsiTheme="minorHAnsi"/>
          <w:i/>
          <w:sz w:val="22"/>
          <w:szCs w:val="22"/>
        </w:rPr>
      </w:pPr>
      <w:r w:rsidRPr="001C0EB4">
        <w:rPr>
          <w:rFonts w:asciiTheme="minorHAnsi" w:hAnsiTheme="minorHAnsi"/>
          <w:i/>
          <w:sz w:val="22"/>
          <w:szCs w:val="22"/>
        </w:rPr>
        <w:t xml:space="preserve">3. Como regra, a iniciativa das leis incumbe a quaisquer das pessoas e órgãos relacionados no art. 61, caput, da Constituição Federal. </w:t>
      </w:r>
      <w:r w:rsidRPr="001C0EB4">
        <w:rPr>
          <w:rFonts w:asciiTheme="minorHAnsi" w:hAnsiTheme="minorHAnsi"/>
          <w:b/>
          <w:i/>
          <w:sz w:val="22"/>
          <w:szCs w:val="22"/>
        </w:rPr>
        <w:t>Somente nos casos excepcionados</w:t>
      </w:r>
      <w:r w:rsidRPr="001C0EB4">
        <w:rPr>
          <w:rFonts w:asciiTheme="minorHAnsi" w:hAnsiTheme="minorHAnsi"/>
          <w:i/>
          <w:sz w:val="22"/>
          <w:szCs w:val="22"/>
        </w:rPr>
        <w:t xml:space="preserve"> pela própria Constituição Federal </w:t>
      </w:r>
      <w:r w:rsidRPr="001C0EB4">
        <w:rPr>
          <w:rFonts w:asciiTheme="minorHAnsi" w:hAnsiTheme="minorHAnsi"/>
          <w:b/>
          <w:i/>
          <w:sz w:val="22"/>
          <w:szCs w:val="22"/>
        </w:rPr>
        <w:t>haverá prerrogativa privativa</w:t>
      </w:r>
      <w:r w:rsidRPr="001C0EB4">
        <w:rPr>
          <w:rFonts w:asciiTheme="minorHAnsi" w:hAnsiTheme="minorHAnsi"/>
          <w:i/>
          <w:sz w:val="22"/>
          <w:szCs w:val="22"/>
        </w:rPr>
        <w:t xml:space="preserve"> para a propositura das leis. A adoção das normas constitucionais estruturantes do processo legislativo impõe-se compulsoriamente aos Estados-membros por força de expressa disposição constitucional (ADCT, art. 11). </w:t>
      </w:r>
    </w:p>
    <w:p w:rsidR="003E1301" w:rsidRPr="001C0EB4" w:rsidP="006C0BBC">
      <w:pPr>
        <w:tabs>
          <w:tab w:val="left" w:pos="1701"/>
        </w:tabs>
        <w:autoSpaceDE w:val="0"/>
        <w:autoSpaceDN w:val="0"/>
        <w:adjustRightInd w:val="0"/>
        <w:ind w:left="2268"/>
        <w:jc w:val="both"/>
        <w:rPr>
          <w:rFonts w:asciiTheme="minorHAnsi" w:hAnsiTheme="minorHAnsi"/>
          <w:i/>
          <w:sz w:val="22"/>
          <w:szCs w:val="22"/>
        </w:rPr>
      </w:pPr>
      <w:r w:rsidRPr="001C0EB4">
        <w:rPr>
          <w:rFonts w:asciiTheme="minorHAnsi" w:hAnsiTheme="minorHAnsi"/>
          <w:i/>
          <w:sz w:val="22"/>
          <w:szCs w:val="22"/>
        </w:rPr>
        <w:t xml:space="preserve">4. Ação direta </w:t>
      </w:r>
      <w:r w:rsidRPr="001C0EB4">
        <w:rPr>
          <w:rFonts w:asciiTheme="minorHAnsi" w:hAnsiTheme="minorHAnsi"/>
          <w:b/>
          <w:i/>
          <w:sz w:val="22"/>
          <w:szCs w:val="22"/>
        </w:rPr>
        <w:t>conhecida</w:t>
      </w:r>
      <w:r w:rsidRPr="001C0EB4">
        <w:rPr>
          <w:rFonts w:asciiTheme="minorHAnsi" w:hAnsiTheme="minorHAnsi"/>
          <w:i/>
          <w:sz w:val="22"/>
          <w:szCs w:val="22"/>
        </w:rPr>
        <w:t xml:space="preserve">. Pedido julgado </w:t>
      </w:r>
      <w:r w:rsidRPr="001C0EB4" w:rsidR="00E3102C">
        <w:rPr>
          <w:rFonts w:asciiTheme="minorHAnsi" w:hAnsiTheme="minorHAnsi"/>
          <w:b/>
          <w:i/>
          <w:sz w:val="22"/>
          <w:szCs w:val="22"/>
        </w:rPr>
        <w:t>procedente</w:t>
      </w:r>
      <w:r w:rsidRPr="001C0EB4">
        <w:rPr>
          <w:rFonts w:asciiTheme="minorHAnsi" w:hAnsiTheme="minorHAnsi"/>
          <w:i/>
          <w:sz w:val="22"/>
          <w:szCs w:val="22"/>
        </w:rPr>
        <w:t xml:space="preserve">. </w:t>
      </w:r>
    </w:p>
    <w:p w:rsidR="00E3102C" w:rsidRPr="001C0EB4" w:rsidP="006C0BBC">
      <w:pPr>
        <w:tabs>
          <w:tab w:val="left" w:pos="1701"/>
        </w:tabs>
        <w:autoSpaceDE w:val="0"/>
        <w:autoSpaceDN w:val="0"/>
        <w:adjustRightInd w:val="0"/>
        <w:ind w:left="2268"/>
        <w:jc w:val="both"/>
        <w:rPr>
          <w:rFonts w:asciiTheme="minorHAnsi" w:hAnsiTheme="minorHAnsi"/>
          <w:i/>
          <w:sz w:val="12"/>
          <w:szCs w:val="12"/>
        </w:rPr>
      </w:pPr>
    </w:p>
    <w:p w:rsidR="006C0BBC" w:rsidRPr="001C0EB4" w:rsidP="006C0BBC">
      <w:pPr>
        <w:tabs>
          <w:tab w:val="left" w:pos="1701"/>
        </w:tabs>
        <w:autoSpaceDE w:val="0"/>
        <w:autoSpaceDN w:val="0"/>
        <w:adjustRightInd w:val="0"/>
        <w:ind w:left="2268"/>
        <w:jc w:val="both"/>
        <w:rPr>
          <w:rFonts w:asciiTheme="minorHAnsi" w:hAnsiTheme="minorHAnsi"/>
          <w:b/>
          <w:i/>
          <w:sz w:val="4"/>
          <w:szCs w:val="4"/>
        </w:rPr>
      </w:pPr>
    </w:p>
    <w:p w:rsidR="003E1301" w:rsidRPr="001C0EB4" w:rsidP="006C0BBC">
      <w:pPr>
        <w:tabs>
          <w:tab w:val="left" w:pos="1701"/>
        </w:tabs>
        <w:autoSpaceDE w:val="0"/>
        <w:autoSpaceDN w:val="0"/>
        <w:adjustRightInd w:val="0"/>
        <w:ind w:left="2268"/>
        <w:jc w:val="both"/>
        <w:rPr>
          <w:rFonts w:asciiTheme="minorHAnsi" w:hAnsiTheme="minorHAnsi"/>
          <w:b/>
          <w:i/>
          <w:sz w:val="22"/>
          <w:szCs w:val="22"/>
        </w:rPr>
      </w:pPr>
      <w:r w:rsidRPr="001C0EB4">
        <w:rPr>
          <w:rFonts w:asciiTheme="minorHAnsi" w:hAnsiTheme="minorHAnsi"/>
          <w:b/>
          <w:i/>
          <w:sz w:val="22"/>
          <w:szCs w:val="22"/>
        </w:rPr>
        <w:t xml:space="preserve">ACÓRDÃO </w:t>
      </w:r>
    </w:p>
    <w:p w:rsidR="003E1301" w:rsidRPr="001C0EB4" w:rsidP="006C0BBC">
      <w:pPr>
        <w:tabs>
          <w:tab w:val="left" w:pos="1701"/>
        </w:tabs>
        <w:autoSpaceDE w:val="0"/>
        <w:autoSpaceDN w:val="0"/>
        <w:adjustRightInd w:val="0"/>
        <w:ind w:left="2268"/>
        <w:jc w:val="both"/>
        <w:rPr>
          <w:rFonts w:asciiTheme="minorHAnsi" w:hAnsiTheme="minorHAnsi"/>
          <w:i/>
          <w:sz w:val="4"/>
          <w:szCs w:val="4"/>
        </w:rPr>
      </w:pPr>
    </w:p>
    <w:p w:rsidR="003E1301" w:rsidRPr="001C0EB4" w:rsidP="006C0BBC">
      <w:pPr>
        <w:tabs>
          <w:tab w:val="left" w:pos="1701"/>
        </w:tabs>
        <w:autoSpaceDE w:val="0"/>
        <w:autoSpaceDN w:val="0"/>
        <w:adjustRightInd w:val="0"/>
        <w:ind w:left="2268"/>
        <w:jc w:val="both"/>
        <w:rPr>
          <w:rFonts w:asciiTheme="minorHAnsi" w:hAnsiTheme="minorHAnsi"/>
          <w:i/>
          <w:sz w:val="22"/>
          <w:szCs w:val="22"/>
        </w:rPr>
      </w:pPr>
      <w:r w:rsidRPr="001C0EB4">
        <w:rPr>
          <w:rFonts w:asciiTheme="minorHAnsi" w:hAnsiTheme="minorHAnsi"/>
          <w:i/>
          <w:sz w:val="22"/>
          <w:szCs w:val="22"/>
        </w:rPr>
        <w:t xml:space="preserve">Vistos, relatados e discutidos estes autos, </w:t>
      </w:r>
      <w:r w:rsidRPr="001C0EB4">
        <w:rPr>
          <w:rFonts w:asciiTheme="minorHAnsi" w:hAnsiTheme="minorHAnsi"/>
          <w:b/>
          <w:i/>
          <w:sz w:val="22"/>
          <w:szCs w:val="22"/>
        </w:rPr>
        <w:t>acordam os Ministros do Supremo Tribunal Federal em conhecer da ação direta e julgar procedente o pedido para declarar a inconstitucionalidade formal dos seguintes dispositivos e expressões normativas da Constituição do Estado de São Paulo, todos na redação dada pela EC nº 24/2008:</w:t>
      </w:r>
      <w:r w:rsidRPr="001C0EB4">
        <w:rPr>
          <w:rFonts w:asciiTheme="minorHAnsi" w:hAnsiTheme="minorHAnsi"/>
          <w:i/>
          <w:sz w:val="22"/>
          <w:szCs w:val="22"/>
        </w:rPr>
        <w:t xml:space="preserve"> (a) as expressões normativas “no prazo nelas estabelecido, não inferior a trinta nem superior a cento e oitenta dias” e “ressalvados os casos em que, nesse prazo, houver interposição de ação direta de inconstitucionalidade contra a lei publicada</w:t>
      </w:r>
      <w:r w:rsidRPr="001C0EB4">
        <w:rPr>
          <w:rFonts w:asciiTheme="minorHAnsi" w:hAnsiTheme="minorHAnsi"/>
          <w:i/>
          <w:sz w:val="22"/>
          <w:szCs w:val="22"/>
        </w:rPr>
        <w:t>” ,</w:t>
      </w:r>
      <w:r w:rsidRPr="001C0EB4">
        <w:rPr>
          <w:rFonts w:asciiTheme="minorHAnsi" w:hAnsiTheme="minorHAnsi"/>
          <w:i/>
          <w:sz w:val="22"/>
          <w:szCs w:val="22"/>
        </w:rPr>
        <w:t xml:space="preserve"> inscritas do art. 47, III; (b) as expressões normativas previstas no art. 20, </w:t>
      </w:r>
      <w:r w:rsidRPr="001C0EB4">
        <w:rPr>
          <w:rFonts w:asciiTheme="minorHAnsi" w:hAnsiTheme="minorHAnsi"/>
          <w:i/>
          <w:sz w:val="22"/>
          <w:szCs w:val="22"/>
        </w:rPr>
        <w:t>XVI:“importando</w:t>
      </w:r>
      <w:r w:rsidRPr="001C0EB4">
        <w:rPr>
          <w:rFonts w:asciiTheme="minorHAnsi" w:hAnsiTheme="minorHAnsi"/>
          <w:i/>
          <w:sz w:val="22"/>
          <w:szCs w:val="22"/>
        </w:rPr>
        <w:t xml:space="preserve"> crime de responsabilidade não só a recusa ou o não atendimento, no prazo de trinta dias, bem como o fornecimento de informações falsas”; no § 1º do art. 52: “reputando-se não praticado o ato de seu ofício sempre que a resposta for elaborada em desrespeito ao parlamentar ou ao Poder Legislativo, ou que deixar de referir-se especificamente a cada questionamento feito”; assim como o inteiro teor dos §§ 2º e 3º do art. 52; e (</w:t>
      </w:r>
      <w:r w:rsidRPr="001C0EB4">
        <w:rPr>
          <w:rFonts w:asciiTheme="minorHAnsi" w:hAnsiTheme="minorHAnsi"/>
          <w:b/>
          <w:i/>
          <w:sz w:val="22"/>
          <w:szCs w:val="22"/>
        </w:rPr>
        <w:t>c) a integralidade do item n. 4 do § 1º do art. 24.</w:t>
      </w:r>
      <w:r w:rsidRPr="001C0EB4">
        <w:rPr>
          <w:rFonts w:asciiTheme="minorHAnsi" w:hAnsiTheme="minorHAnsi"/>
          <w:i/>
          <w:sz w:val="22"/>
          <w:szCs w:val="22"/>
        </w:rPr>
        <w:t xml:space="preserve"> Tudo nos termos do voto da Relatora e por unanimidade votos, em sessão virtual do Pleno de 24 de junho a 1º de julho de 2022, na conformidade da ata do julgamento.</w:t>
      </w:r>
    </w:p>
    <w:p w:rsidR="00E3102C" w:rsidRPr="001C0EB4" w:rsidP="006C0BBC">
      <w:pPr>
        <w:tabs>
          <w:tab w:val="left" w:pos="1701"/>
        </w:tabs>
        <w:autoSpaceDE w:val="0"/>
        <w:autoSpaceDN w:val="0"/>
        <w:adjustRightInd w:val="0"/>
        <w:ind w:left="2268"/>
        <w:jc w:val="both"/>
        <w:rPr>
          <w:rFonts w:asciiTheme="minorHAnsi" w:hAnsiTheme="minorHAnsi"/>
          <w:i/>
          <w:sz w:val="4"/>
          <w:szCs w:val="4"/>
        </w:rPr>
      </w:pPr>
    </w:p>
    <w:p w:rsidR="003E1301" w:rsidRPr="001C0EB4" w:rsidP="006C0BBC">
      <w:pPr>
        <w:tabs>
          <w:tab w:val="left" w:pos="1701"/>
        </w:tabs>
        <w:autoSpaceDE w:val="0"/>
        <w:autoSpaceDN w:val="0"/>
        <w:adjustRightInd w:val="0"/>
        <w:ind w:left="2268"/>
        <w:jc w:val="both"/>
        <w:rPr>
          <w:rFonts w:asciiTheme="minorHAnsi" w:hAnsiTheme="minorHAnsi"/>
          <w:i/>
          <w:sz w:val="22"/>
          <w:szCs w:val="22"/>
        </w:rPr>
      </w:pPr>
      <w:r w:rsidRPr="001C0EB4">
        <w:rPr>
          <w:rFonts w:asciiTheme="minorHAnsi" w:hAnsiTheme="minorHAnsi"/>
          <w:b/>
          <w:i/>
          <w:sz w:val="22"/>
          <w:szCs w:val="22"/>
        </w:rPr>
        <w:t>Brasília,</w:t>
      </w:r>
      <w:r w:rsidRPr="001C0EB4">
        <w:rPr>
          <w:rFonts w:asciiTheme="minorHAnsi" w:hAnsiTheme="minorHAnsi"/>
          <w:i/>
          <w:sz w:val="22"/>
          <w:szCs w:val="22"/>
        </w:rPr>
        <w:t xml:space="preserve"> </w:t>
      </w:r>
      <w:r w:rsidRPr="001C0EB4">
        <w:rPr>
          <w:rFonts w:asciiTheme="minorHAnsi" w:hAnsiTheme="minorHAnsi"/>
          <w:b/>
          <w:i/>
          <w:sz w:val="22"/>
          <w:szCs w:val="22"/>
        </w:rPr>
        <w:t>4</w:t>
      </w:r>
      <w:r w:rsidRPr="001C0EB4">
        <w:rPr>
          <w:rFonts w:asciiTheme="minorHAnsi" w:hAnsiTheme="minorHAnsi"/>
          <w:b/>
          <w:i/>
          <w:sz w:val="22"/>
          <w:szCs w:val="22"/>
        </w:rPr>
        <w:t xml:space="preserve"> de julho de 2022.</w:t>
      </w:r>
    </w:p>
    <w:p w:rsidR="00E3102C" w:rsidRPr="001C0EB4" w:rsidP="006C0BBC">
      <w:pPr>
        <w:tabs>
          <w:tab w:val="left" w:pos="1701"/>
        </w:tabs>
        <w:autoSpaceDE w:val="0"/>
        <w:autoSpaceDN w:val="0"/>
        <w:adjustRightInd w:val="0"/>
        <w:ind w:left="2268"/>
        <w:jc w:val="both"/>
        <w:rPr>
          <w:rFonts w:asciiTheme="minorHAnsi" w:hAnsiTheme="minorHAnsi"/>
          <w:i/>
          <w:sz w:val="22"/>
          <w:szCs w:val="22"/>
        </w:rPr>
      </w:pPr>
      <w:r w:rsidRPr="001C0EB4">
        <w:rPr>
          <w:rFonts w:asciiTheme="minorHAnsi" w:hAnsiTheme="minorHAnsi"/>
          <w:i/>
          <w:sz w:val="22"/>
          <w:szCs w:val="22"/>
        </w:rPr>
        <w:t xml:space="preserve">Ministra Rosa Weber </w:t>
      </w:r>
    </w:p>
    <w:p w:rsidR="00E3102C" w:rsidRPr="001C0EB4" w:rsidP="006C0BBC">
      <w:pPr>
        <w:tabs>
          <w:tab w:val="left" w:pos="1701"/>
        </w:tabs>
        <w:autoSpaceDE w:val="0"/>
        <w:autoSpaceDN w:val="0"/>
        <w:adjustRightInd w:val="0"/>
        <w:ind w:left="2268"/>
        <w:jc w:val="both"/>
        <w:rPr>
          <w:rFonts w:asciiTheme="minorHAnsi" w:hAnsiTheme="minorHAnsi"/>
          <w:i/>
          <w:sz w:val="22"/>
          <w:szCs w:val="22"/>
        </w:rPr>
      </w:pPr>
      <w:r w:rsidRPr="001C0EB4">
        <w:rPr>
          <w:rFonts w:asciiTheme="minorHAnsi" w:hAnsiTheme="minorHAnsi"/>
          <w:i/>
          <w:sz w:val="22"/>
          <w:szCs w:val="22"/>
        </w:rPr>
        <w:t>Relatora</w:t>
      </w:r>
    </w:p>
    <w:p w:rsidR="003E1301" w:rsidRPr="001C0EB4" w:rsidP="006C0BBC">
      <w:pPr>
        <w:tabs>
          <w:tab w:val="left" w:pos="1701"/>
        </w:tabs>
        <w:autoSpaceDE w:val="0"/>
        <w:autoSpaceDN w:val="0"/>
        <w:adjustRightInd w:val="0"/>
        <w:ind w:left="2268"/>
        <w:jc w:val="both"/>
        <w:rPr>
          <w:sz w:val="12"/>
          <w:szCs w:val="12"/>
        </w:rPr>
      </w:pPr>
    </w:p>
    <w:p w:rsidR="003E1301" w:rsidRPr="001C0EB4" w:rsidP="006C0BBC">
      <w:pPr>
        <w:tabs>
          <w:tab w:val="left" w:pos="1701"/>
        </w:tabs>
        <w:autoSpaceDE w:val="0"/>
        <w:autoSpaceDN w:val="0"/>
        <w:adjustRightInd w:val="0"/>
        <w:ind w:left="2268"/>
        <w:jc w:val="both"/>
      </w:pPr>
      <w:r w:rsidRPr="001C0EB4">
        <w:t>(...)</w:t>
      </w:r>
    </w:p>
    <w:p w:rsidR="003E1301" w:rsidRPr="001C0EB4" w:rsidP="006C0BBC">
      <w:pPr>
        <w:tabs>
          <w:tab w:val="left" w:pos="1701"/>
        </w:tabs>
        <w:autoSpaceDE w:val="0"/>
        <w:autoSpaceDN w:val="0"/>
        <w:adjustRightInd w:val="0"/>
        <w:ind w:left="2268"/>
        <w:jc w:val="both"/>
        <w:rPr>
          <w:rFonts w:ascii="Calibri" w:hAnsi="Calibri"/>
          <w:i/>
          <w:sz w:val="12"/>
          <w:szCs w:val="12"/>
        </w:rPr>
      </w:pP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b/>
          <w:i/>
          <w:sz w:val="22"/>
          <w:szCs w:val="22"/>
        </w:rPr>
        <w:t>A Senhora Ministra Rosa Weber (Relatora):</w:t>
      </w:r>
      <w:r w:rsidRPr="001C0EB4">
        <w:rPr>
          <w:rFonts w:ascii="Calibri" w:hAnsi="Calibri"/>
          <w:i/>
          <w:sz w:val="22"/>
          <w:szCs w:val="22"/>
        </w:rPr>
        <w:t xml:space="preserve"> </w:t>
      </w:r>
      <w:r w:rsidRPr="001C0EB4">
        <w:rPr>
          <w:rFonts w:ascii="Calibri" w:hAnsi="Calibri"/>
          <w:i/>
          <w:sz w:val="22"/>
          <w:szCs w:val="22"/>
        </w:rPr>
        <w:t>1</w:t>
      </w:r>
      <w:r w:rsidRPr="001C0EB4">
        <w:rPr>
          <w:rFonts w:ascii="Calibri" w:hAnsi="Calibri"/>
          <w:i/>
          <w:sz w:val="22"/>
          <w:szCs w:val="22"/>
        </w:rPr>
        <w:t xml:space="preserve">. Trata-se de ação direta de inconstitucionalidade ajuizada pelo Governador do Estado </w:t>
      </w:r>
      <w:r w:rsidRPr="001C0EB4">
        <w:rPr>
          <w:rFonts w:ascii="Calibri" w:hAnsi="Calibri"/>
          <w:i/>
          <w:sz w:val="22"/>
          <w:szCs w:val="22"/>
        </w:rPr>
        <w:t>de São Paulo contra expressões normativas constantes dos arts. 47, III, 52, §§ 1º, 2º e 3º, 20, XVI, e 24, § 1º, n. 4, todos da Constituição do Estado de São Paulo, na redação dada pela EC nº 24, de 23 de janeiro de 2008.</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2. Os dispositivos impugnados possuem o seguinte conteúdo normativo:</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p>
    <w:p w:rsidR="009939F4"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Artigo 4º - O § 1º do artigo 24 da Constituição Estadual fica acrescido do seguinte item </w:t>
      </w:r>
      <w:r w:rsidRPr="001C0EB4">
        <w:rPr>
          <w:rFonts w:ascii="Calibri" w:hAnsi="Calibri"/>
          <w:i/>
          <w:sz w:val="22"/>
          <w:szCs w:val="22"/>
        </w:rPr>
        <w:t>4</w:t>
      </w:r>
      <w:r w:rsidRPr="001C0EB4">
        <w:rPr>
          <w:rFonts w:ascii="Calibri" w:hAnsi="Calibri"/>
          <w:i/>
          <w:sz w:val="22"/>
          <w:szCs w:val="22"/>
        </w:rPr>
        <w:t xml:space="preserve">: </w:t>
      </w:r>
    </w:p>
    <w:p w:rsidR="009939F4"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b/>
          <w:i/>
          <w:sz w:val="22"/>
          <w:szCs w:val="22"/>
        </w:rPr>
        <w:t>Artigo 24.</w:t>
      </w:r>
      <w:r w:rsidRPr="001C0EB4">
        <w:rPr>
          <w:rFonts w:ascii="Calibri" w:hAnsi="Calibri"/>
          <w:i/>
          <w:sz w:val="22"/>
          <w:szCs w:val="22"/>
        </w:rPr>
        <w:t xml:space="preserve"> (…) </w:t>
      </w:r>
    </w:p>
    <w:p w:rsidR="009939F4"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r w:rsidRPr="001C0EB4">
        <w:rPr>
          <w:rFonts w:ascii="Calibri" w:hAnsi="Calibri"/>
          <w:i/>
          <w:sz w:val="22"/>
          <w:szCs w:val="22"/>
        </w:rPr>
        <w:t xml:space="preserve"> </w:t>
      </w:r>
    </w:p>
    <w:p w:rsidR="00F42D26"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 1º (…) </w:t>
      </w:r>
    </w:p>
    <w:p w:rsidR="009939F4"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r w:rsidRPr="001C0EB4">
        <w:rPr>
          <w:rFonts w:ascii="Calibri" w:hAnsi="Calibri"/>
          <w:i/>
          <w:sz w:val="22"/>
          <w:szCs w:val="22"/>
        </w:rPr>
        <w:t xml:space="preserve"> </w:t>
      </w:r>
    </w:p>
    <w:p w:rsidR="009939F4" w:rsidRPr="001C0EB4" w:rsidP="00E31DF4">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4 - declaração de utilidade pública de entidades de direito </w:t>
      </w:r>
      <w:r w:rsidRPr="001C0EB4">
        <w:rPr>
          <w:rFonts w:ascii="Calibri" w:hAnsi="Calibri"/>
          <w:i/>
          <w:sz w:val="22"/>
          <w:szCs w:val="22"/>
        </w:rPr>
        <w:t>privado.</w:t>
      </w:r>
      <w:r w:rsidRPr="001C0EB4">
        <w:rPr>
          <w:rFonts w:ascii="Calibri" w:hAnsi="Calibri"/>
          <w:i/>
          <w:sz w:val="22"/>
          <w:szCs w:val="22"/>
        </w:rPr>
        <w:t>’”</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b/>
          <w:i/>
          <w:sz w:val="22"/>
          <w:szCs w:val="22"/>
        </w:rPr>
        <w:t>7.</w:t>
      </w:r>
      <w:r w:rsidRPr="001C0EB4">
        <w:rPr>
          <w:rFonts w:ascii="Calibri" w:hAnsi="Calibri"/>
          <w:i/>
          <w:sz w:val="22"/>
          <w:szCs w:val="22"/>
        </w:rPr>
        <w:t xml:space="preserve"> Por fim, o requerente defende que a outorga de competência privativa ao Poder Legislativo para a propositura de leis envolvendo a “declaração de utilidade pública de entidades de direito privado” (art. 24, § 1º, n. 4) configura usurpação das atribuições administrativas exclusivas do Chefe do Poder Executivo estadual.</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p>
    <w:p w:rsidR="009939F4" w:rsidRPr="001C0EB4" w:rsidP="006C0BBC">
      <w:pPr>
        <w:tabs>
          <w:tab w:val="left" w:pos="1701"/>
        </w:tabs>
        <w:autoSpaceDE w:val="0"/>
        <w:autoSpaceDN w:val="0"/>
        <w:adjustRightInd w:val="0"/>
        <w:ind w:left="2268"/>
        <w:jc w:val="both"/>
        <w:rPr>
          <w:rFonts w:ascii="Calibri" w:hAnsi="Calibri"/>
          <w:b/>
          <w:i/>
          <w:sz w:val="22"/>
          <w:szCs w:val="22"/>
        </w:rPr>
      </w:pPr>
      <w:r w:rsidRPr="001C0EB4">
        <w:rPr>
          <w:rFonts w:ascii="Calibri" w:hAnsi="Calibri"/>
          <w:b/>
          <w:i/>
          <w:sz w:val="22"/>
          <w:szCs w:val="22"/>
        </w:rPr>
        <w:t>Atribuição de iniciativa privativa para a propositura de projetos de lei em matéria de interesse da Administração Pública estadual (art. 24, § 1º, n. 4</w:t>
      </w:r>
      <w:r w:rsidRPr="001C0EB4">
        <w:rPr>
          <w:rFonts w:ascii="Calibri" w:hAnsi="Calibri"/>
          <w:b/>
          <w:i/>
          <w:sz w:val="22"/>
          <w:szCs w:val="22"/>
        </w:rPr>
        <w:t>)</w:t>
      </w:r>
      <w:r w:rsidRPr="001C0EB4">
        <w:rPr>
          <w:rFonts w:ascii="Calibri" w:hAnsi="Calibri"/>
          <w:b/>
          <w:i/>
          <w:sz w:val="22"/>
          <w:szCs w:val="22"/>
        </w:rPr>
        <w:t xml:space="preserve"> </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“Artigo 24.</w:t>
      </w:r>
      <w:r w:rsidRPr="001C0EB4">
        <w:rPr>
          <w:rFonts w:ascii="Calibri" w:hAnsi="Calibri"/>
          <w:i/>
          <w:sz w:val="22"/>
          <w:szCs w:val="22"/>
        </w:rPr>
        <w:t xml:space="preserve"> (...) </w:t>
      </w:r>
    </w:p>
    <w:p w:rsidR="00F42D26"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 xml:space="preserve">§ 1º – Compete, exclusivamente, à Assembleia Legislativa a iniciativa das leis que disponham sobre: </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 xml:space="preserve">4 – declaração de utilidade pública de entidades de direito privado. </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b/>
          <w:i/>
          <w:sz w:val="22"/>
          <w:szCs w:val="22"/>
        </w:rPr>
        <w:t>17.</w:t>
      </w:r>
      <w:r w:rsidRPr="001C0EB4">
        <w:rPr>
          <w:rFonts w:ascii="Calibri" w:hAnsi="Calibri"/>
          <w:i/>
          <w:sz w:val="22"/>
          <w:szCs w:val="22"/>
        </w:rPr>
        <w:t xml:space="preserve"> Como se vê, o dispositivo impugnado confere ao Poder Legislativo estadual </w:t>
      </w:r>
      <w:r w:rsidRPr="001C0EB4">
        <w:rPr>
          <w:rFonts w:ascii="Calibri" w:hAnsi="Calibri"/>
          <w:b/>
          <w:i/>
          <w:sz w:val="22"/>
          <w:szCs w:val="22"/>
        </w:rPr>
        <w:t>iniciativa legislativa privativa</w:t>
      </w:r>
      <w:r w:rsidRPr="001C0EB4">
        <w:rPr>
          <w:rFonts w:ascii="Calibri" w:hAnsi="Calibri"/>
          <w:i/>
          <w:sz w:val="22"/>
          <w:szCs w:val="22"/>
        </w:rPr>
        <w:t xml:space="preserve"> para a declaração de utilidade pública de entidades de direito privado. Ao assim fazê-lo, restringe a competência do Governador de Estado </w:t>
      </w:r>
      <w:r w:rsidRPr="001C0EB4">
        <w:rPr>
          <w:rFonts w:ascii="Calibri" w:hAnsi="Calibri"/>
          <w:b/>
          <w:i/>
          <w:sz w:val="22"/>
          <w:szCs w:val="22"/>
        </w:rPr>
        <w:t>apenas à prerrogativa de sancionar ou não</w:t>
      </w:r>
      <w:r w:rsidRPr="001C0EB4">
        <w:rPr>
          <w:rFonts w:ascii="Calibri" w:hAnsi="Calibri"/>
          <w:i/>
          <w:sz w:val="22"/>
          <w:szCs w:val="22"/>
        </w:rPr>
        <w:t xml:space="preserve"> a lei editada pela Assembleia Legislativa paulista. </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18. A </w:t>
      </w:r>
      <w:r w:rsidRPr="001C0EB4">
        <w:rPr>
          <w:rFonts w:ascii="Calibri" w:hAnsi="Calibri"/>
          <w:b/>
          <w:i/>
          <w:sz w:val="22"/>
          <w:szCs w:val="22"/>
        </w:rPr>
        <w:t>prerrogativa de iniciativa legislativa</w:t>
      </w:r>
      <w:r w:rsidRPr="001C0EB4">
        <w:rPr>
          <w:rFonts w:ascii="Calibri" w:hAnsi="Calibri"/>
          <w:i/>
          <w:sz w:val="22"/>
          <w:szCs w:val="22"/>
        </w:rPr>
        <w:t xml:space="preserve"> integra o rol de instrumentos constitucionais destinados à estruturação do sistema de freios e contrapesos. Trata-se, portanto, de um </w:t>
      </w:r>
      <w:r w:rsidRPr="001C0EB4">
        <w:rPr>
          <w:rFonts w:ascii="Calibri" w:hAnsi="Calibri"/>
          <w:b/>
          <w:i/>
          <w:sz w:val="22"/>
          <w:szCs w:val="22"/>
        </w:rPr>
        <w:t>contraponto</w:t>
      </w:r>
      <w:r w:rsidRPr="001C0EB4">
        <w:rPr>
          <w:rFonts w:ascii="Calibri" w:hAnsi="Calibri"/>
          <w:i/>
          <w:sz w:val="22"/>
          <w:szCs w:val="22"/>
        </w:rPr>
        <w:t xml:space="preserve"> ao princípio da separação, porque mitiga a independência e a autonomia de um dos Poderes em favor do outro. Por restringir os limites de atuação de um dos órgãos de Poder do Estado, o Supremo Tribunal Federal enfatizado que </w:t>
      </w:r>
      <w:r w:rsidRPr="001C0EB4">
        <w:rPr>
          <w:rFonts w:ascii="Calibri" w:hAnsi="Calibri"/>
          <w:b/>
          <w:i/>
          <w:sz w:val="22"/>
          <w:szCs w:val="22"/>
        </w:rPr>
        <w:t xml:space="preserve">as exceções à autonomia dos Poderes </w:t>
      </w:r>
      <w:r w:rsidRPr="001C0EB4">
        <w:rPr>
          <w:rFonts w:ascii="Calibri" w:hAnsi="Calibri"/>
          <w:i/>
          <w:sz w:val="22"/>
          <w:szCs w:val="22"/>
        </w:rPr>
        <w:t xml:space="preserve">somente podem decorrer </w:t>
      </w:r>
      <w:r w:rsidRPr="001C0EB4">
        <w:rPr>
          <w:rFonts w:ascii="Calibri" w:hAnsi="Calibri"/>
          <w:b/>
          <w:i/>
          <w:sz w:val="22"/>
          <w:szCs w:val="22"/>
        </w:rPr>
        <w:t>de previsão expressa</w:t>
      </w:r>
      <w:r w:rsidRPr="001C0EB4">
        <w:rPr>
          <w:rFonts w:ascii="Calibri" w:hAnsi="Calibri"/>
          <w:i/>
          <w:sz w:val="22"/>
          <w:szCs w:val="22"/>
        </w:rPr>
        <w:t xml:space="preserve"> no próprio texto constitucional: </w:t>
      </w:r>
    </w:p>
    <w:p w:rsidR="009939F4" w:rsidRPr="001C0EB4" w:rsidP="006C0BBC">
      <w:pPr>
        <w:tabs>
          <w:tab w:val="left" w:pos="1701"/>
        </w:tabs>
        <w:autoSpaceDE w:val="0"/>
        <w:autoSpaceDN w:val="0"/>
        <w:adjustRightInd w:val="0"/>
        <w:ind w:left="2835"/>
        <w:jc w:val="both"/>
        <w:rPr>
          <w:rFonts w:ascii="Calibri" w:hAnsi="Calibri"/>
          <w:b/>
          <w:i/>
          <w:sz w:val="22"/>
          <w:szCs w:val="22"/>
        </w:rPr>
      </w:pPr>
      <w:r w:rsidRPr="001C0EB4">
        <w:rPr>
          <w:rFonts w:ascii="Calibri" w:hAnsi="Calibri"/>
          <w:b/>
          <w:i/>
          <w:sz w:val="22"/>
          <w:szCs w:val="22"/>
        </w:rPr>
        <w:t>“II.</w:t>
      </w:r>
      <w:r w:rsidRPr="001C0EB4">
        <w:rPr>
          <w:rFonts w:ascii="Calibri" w:hAnsi="Calibri"/>
          <w:b/>
          <w:i/>
          <w:sz w:val="22"/>
          <w:szCs w:val="22"/>
        </w:rPr>
        <w:t xml:space="preserve"> Separação e independência dos Poderes: pesos e contrapesos: imperatividade, no ponto, do modelo federal. </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 xml:space="preserve">1. Sem embargo de diversidade de modelos concretos, o princípio da divisão dos poderes, no Estado de Direito, tem sido sempre concebido como instrumento da recíproca limitação deles em favor das liberdades clássicas: daí constituir em traço marcante de todas as suas formulações positivas os ‘pesos e contrapesos’ adotados. </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w:t>
      </w:r>
      <w:r w:rsidRPr="001C0EB4">
        <w:rPr>
          <w:rFonts w:ascii="Calibri" w:hAnsi="Calibri"/>
          <w:i/>
          <w:sz w:val="22"/>
          <w:szCs w:val="22"/>
        </w:rPr>
        <w:t xml:space="preserve"> </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 xml:space="preserve">3. Do relevo primacial dos ‘pesos e contrapesos’ no paradigma de divisão dos poderes, segue-se que à norma infraconstitucional - aí incluída, em relação à Federal, a constituição dos Estados-membros -, não é </w:t>
      </w:r>
      <w:r w:rsidRPr="001C0EB4">
        <w:rPr>
          <w:rFonts w:ascii="Calibri" w:hAnsi="Calibri"/>
          <w:i/>
          <w:sz w:val="22"/>
          <w:szCs w:val="22"/>
        </w:rPr>
        <w:t>dado</w:t>
      </w:r>
      <w:r w:rsidRPr="001C0EB4">
        <w:rPr>
          <w:rFonts w:ascii="Calibri" w:hAnsi="Calibri"/>
          <w:i/>
          <w:sz w:val="22"/>
          <w:szCs w:val="22"/>
        </w:rPr>
        <w:t xml:space="preserve"> criar novas interferências de um Poder na órbita de outro que não derive explícita ou implicitamente de regra ou princípio da Lei Fundamental da República.”</w:t>
      </w:r>
    </w:p>
    <w:p w:rsidR="009939F4" w:rsidRPr="001C0EB4" w:rsidP="006C0BBC">
      <w:pPr>
        <w:tabs>
          <w:tab w:val="left" w:pos="1701"/>
        </w:tabs>
        <w:autoSpaceDE w:val="0"/>
        <w:autoSpaceDN w:val="0"/>
        <w:adjustRightInd w:val="0"/>
        <w:ind w:left="2835"/>
        <w:jc w:val="both"/>
        <w:rPr>
          <w:rFonts w:ascii="Calibri" w:hAnsi="Calibri"/>
          <w:i/>
          <w:sz w:val="22"/>
          <w:szCs w:val="22"/>
        </w:rPr>
      </w:pPr>
      <w:r w:rsidRPr="001C0EB4">
        <w:rPr>
          <w:rFonts w:ascii="Calibri" w:hAnsi="Calibri"/>
          <w:i/>
          <w:sz w:val="22"/>
          <w:szCs w:val="22"/>
        </w:rPr>
        <w:t>(ADI 3.046/SP, Rel. Min. Sepúlveda Pertence, j. 15.4.2004</w:t>
      </w:r>
      <w:r w:rsidRPr="001C0EB4">
        <w:rPr>
          <w:rFonts w:ascii="Calibri" w:hAnsi="Calibri"/>
          <w:i/>
          <w:sz w:val="22"/>
          <w:szCs w:val="22"/>
        </w:rPr>
        <w:t>)</w:t>
      </w:r>
      <w:r w:rsidRPr="001C0EB4">
        <w:rPr>
          <w:rFonts w:ascii="Calibri" w:hAnsi="Calibri"/>
          <w:i/>
          <w:sz w:val="22"/>
          <w:szCs w:val="22"/>
        </w:rPr>
        <w:t xml:space="preserve"> </w:t>
      </w:r>
    </w:p>
    <w:p w:rsidR="00590F06"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Não cabe, portanto, ao legislador constituinte estadual, </w:t>
      </w:r>
      <w:r w:rsidRPr="001C0EB4">
        <w:rPr>
          <w:rFonts w:ascii="Calibri" w:hAnsi="Calibri"/>
          <w:b/>
          <w:i/>
          <w:sz w:val="22"/>
          <w:szCs w:val="22"/>
        </w:rPr>
        <w:t>instituir vedação ao poder de iniciativa legislativa</w:t>
      </w:r>
      <w:r w:rsidRPr="001C0EB4">
        <w:rPr>
          <w:rFonts w:ascii="Calibri" w:hAnsi="Calibri"/>
          <w:i/>
          <w:sz w:val="22"/>
          <w:szCs w:val="22"/>
        </w:rPr>
        <w:t xml:space="preserve"> do Governador do Estado </w:t>
      </w:r>
      <w:r w:rsidRPr="001C0EB4">
        <w:rPr>
          <w:rFonts w:ascii="Calibri" w:hAnsi="Calibri"/>
          <w:b/>
          <w:i/>
          <w:sz w:val="22"/>
          <w:szCs w:val="22"/>
        </w:rPr>
        <w:t>ou atribuir tal prerrogativa com exclusividade</w:t>
      </w:r>
      <w:r w:rsidRPr="001C0EB4">
        <w:rPr>
          <w:rFonts w:ascii="Calibri" w:hAnsi="Calibri"/>
          <w:i/>
          <w:sz w:val="22"/>
          <w:szCs w:val="22"/>
        </w:rPr>
        <w:t xml:space="preserve"> ao Poder Legislativo sem que</w:t>
      </w:r>
      <w:r w:rsidRPr="001C0EB4">
        <w:rPr>
          <w:rFonts w:ascii="Calibri" w:hAnsi="Calibri"/>
          <w:i/>
          <w:sz w:val="22"/>
          <w:szCs w:val="22"/>
        </w:rPr>
        <w:t xml:space="preserve"> </w:t>
      </w:r>
      <w:r w:rsidRPr="001C0EB4">
        <w:rPr>
          <w:rFonts w:ascii="Calibri" w:hAnsi="Calibri"/>
          <w:i/>
          <w:sz w:val="22"/>
          <w:szCs w:val="22"/>
        </w:rPr>
        <w:t xml:space="preserve">essa limitação ao exercício das atribuições do Chefe do Poder Executivo estadual decorra de hipótese contemplada na própria Constituição Federal. </w:t>
      </w:r>
    </w:p>
    <w:p w:rsidR="00590F06"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Assim já decidiu esta Suprema Corte, ao afirmar que “O constituinte estadual </w:t>
      </w:r>
      <w:r w:rsidRPr="001C0EB4">
        <w:rPr>
          <w:rFonts w:ascii="Calibri" w:hAnsi="Calibri"/>
          <w:b/>
          <w:i/>
          <w:sz w:val="22"/>
          <w:szCs w:val="22"/>
        </w:rPr>
        <w:t>não pode estabelecer hipóteses nas quais seja vedada a apresentação de projeto de lei pelo Chefe do Executivo</w:t>
      </w:r>
      <w:r w:rsidRPr="001C0EB4">
        <w:rPr>
          <w:rFonts w:ascii="Calibri" w:hAnsi="Calibri"/>
          <w:i/>
          <w:sz w:val="22"/>
          <w:szCs w:val="22"/>
        </w:rPr>
        <w:t xml:space="preserve"> sem que isso represente ofensa à harmonia entre os Poderes” (ADI 572, Rel. Min. Eros Grau, Tribunal Pleno, j. 28.6.2006, DJ 09.02.2007). </w:t>
      </w:r>
    </w:p>
    <w:p w:rsidR="00590F06"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Via de regra, </w:t>
      </w:r>
      <w:r w:rsidRPr="001C0EB4">
        <w:rPr>
          <w:rFonts w:ascii="Calibri" w:hAnsi="Calibri"/>
          <w:b/>
          <w:i/>
          <w:sz w:val="22"/>
          <w:szCs w:val="22"/>
        </w:rPr>
        <w:t xml:space="preserve">a iniciativa das leis complementares e </w:t>
      </w:r>
      <w:r w:rsidRPr="001C0EB4">
        <w:rPr>
          <w:rFonts w:ascii="Calibri" w:hAnsi="Calibri"/>
          <w:b/>
          <w:i/>
          <w:sz w:val="22"/>
          <w:szCs w:val="22"/>
        </w:rPr>
        <w:t>ordinárias</w:t>
      </w:r>
      <w:r w:rsidRPr="001C0EB4">
        <w:rPr>
          <w:rFonts w:ascii="Calibri" w:hAnsi="Calibri"/>
          <w:i/>
          <w:sz w:val="22"/>
          <w:szCs w:val="22"/>
        </w:rPr>
        <w:t xml:space="preserve"> ,</w:t>
      </w:r>
      <w:r w:rsidRPr="001C0EB4">
        <w:rPr>
          <w:rFonts w:ascii="Calibri" w:hAnsi="Calibri"/>
          <w:i/>
          <w:sz w:val="22"/>
          <w:szCs w:val="22"/>
        </w:rPr>
        <w:t xml:space="preserve"> “cabe a qualquer membro ou Comissão da Câmara dos Deputados, do Senado Federal ou do Congresso Nacional, </w:t>
      </w:r>
      <w:r w:rsidRPr="001C0EB4">
        <w:rPr>
          <w:rFonts w:ascii="Calibri" w:hAnsi="Calibri"/>
          <w:b/>
          <w:i/>
          <w:sz w:val="22"/>
          <w:szCs w:val="22"/>
        </w:rPr>
        <w:t>ao Presidente da República</w:t>
      </w:r>
      <w:r w:rsidRPr="001C0EB4">
        <w:rPr>
          <w:rFonts w:ascii="Calibri" w:hAnsi="Calibri"/>
          <w:i/>
          <w:sz w:val="22"/>
          <w:szCs w:val="22"/>
        </w:rPr>
        <w:t xml:space="preserve">, ao Supremo Tribunal Federal, aos Tribunais Superiores, ao Procurador-Geral da República e aos cidadãos, na forma e nos casos previstos nesta Constituição” (CF, art. 61, caput). </w:t>
      </w:r>
      <w:r w:rsidRPr="001C0EB4">
        <w:rPr>
          <w:rFonts w:ascii="Calibri" w:hAnsi="Calibri"/>
          <w:b/>
          <w:i/>
          <w:sz w:val="22"/>
          <w:szCs w:val="22"/>
        </w:rPr>
        <w:t xml:space="preserve">Somente nos casos excepcionados </w:t>
      </w:r>
      <w:r w:rsidRPr="001C0EB4">
        <w:rPr>
          <w:rFonts w:ascii="Calibri" w:hAnsi="Calibri"/>
          <w:i/>
          <w:sz w:val="22"/>
          <w:szCs w:val="22"/>
        </w:rPr>
        <w:t xml:space="preserve">pela própria Constituição Federal </w:t>
      </w:r>
      <w:r w:rsidRPr="001C0EB4">
        <w:rPr>
          <w:rFonts w:ascii="Calibri" w:hAnsi="Calibri"/>
          <w:b/>
          <w:i/>
          <w:sz w:val="22"/>
          <w:szCs w:val="22"/>
        </w:rPr>
        <w:t>haverá prerrogativa privativa</w:t>
      </w:r>
      <w:r w:rsidRPr="001C0EB4">
        <w:rPr>
          <w:rFonts w:ascii="Calibri" w:hAnsi="Calibri"/>
          <w:i/>
          <w:sz w:val="22"/>
          <w:szCs w:val="22"/>
        </w:rPr>
        <w:t xml:space="preserve"> para a propositura das leis. A adoção das linhas básicas desse modelo impõe-se compulsoriamente aos Estados-membros por força de expressa disposição constitucional (ADCT, art. 11). </w:t>
      </w:r>
    </w:p>
    <w:p w:rsidR="00590F06"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Nesse sentido, inúmeros precedentes desta Corte: </w:t>
      </w:r>
    </w:p>
    <w:p w:rsidR="00590F06"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OS PRINCÍPIOS QUE REGEM O PROCESSO LEGISLATIVO IMPÕEM-SE À OBSERVÂNCIA DOS ESTADOS-MEMBROS.</w:t>
      </w:r>
      <w:r w:rsidRPr="001C0EB4">
        <w:rPr>
          <w:rFonts w:ascii="Calibri" w:hAnsi="Calibri"/>
          <w:i/>
          <w:sz w:val="21"/>
          <w:szCs w:val="21"/>
        </w:rPr>
        <w:t xml:space="preserve"> </w:t>
      </w:r>
    </w:p>
    <w:p w:rsidR="00702880"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xml:space="preserve">- O modelo estruturador do processo legislativo, tal como delineado em seus aspectos fundamentais pela Constituição da República, impõe-se, enquanto padrão normativo de compulsório atendimento, à observância incondicional dos Estados-membros. Precedentes. </w:t>
      </w:r>
    </w:p>
    <w:p w:rsidR="00702880"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xml:space="preserve">(ADI 2867, </w:t>
      </w:r>
      <w:r w:rsidRPr="001C0EB4">
        <w:rPr>
          <w:rFonts w:ascii="Calibri" w:hAnsi="Calibri"/>
          <w:i/>
          <w:sz w:val="21"/>
          <w:szCs w:val="21"/>
        </w:rPr>
        <w:t>Relator(</w:t>
      </w:r>
      <w:r w:rsidRPr="001C0EB4">
        <w:rPr>
          <w:rFonts w:ascii="Calibri" w:hAnsi="Calibri"/>
          <w:i/>
          <w:sz w:val="21"/>
          <w:szCs w:val="21"/>
        </w:rPr>
        <w:t>a): CELSO DE MELLO, Tribunal Pleno, julgado em 03/12/2003, DJ 09-02-2007 PP-00016 EMENT VOL02263-01 PP-00067 RTJ VOL-00202-01 PP-00078)</w:t>
      </w:r>
    </w:p>
    <w:p w:rsidR="009939F4"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xml:space="preserve"> </w:t>
      </w:r>
      <w:r w:rsidRPr="001C0EB4">
        <w:rPr>
          <w:rFonts w:ascii="Calibri" w:hAnsi="Calibri"/>
          <w:i/>
          <w:sz w:val="21"/>
          <w:szCs w:val="21"/>
        </w:rPr>
        <w:t>“(...) I.</w:t>
      </w:r>
      <w:r w:rsidRPr="001C0EB4">
        <w:rPr>
          <w:rFonts w:ascii="Calibri" w:hAnsi="Calibri"/>
          <w:i/>
          <w:sz w:val="21"/>
          <w:szCs w:val="21"/>
        </w:rPr>
        <w:t xml:space="preserve"> - As regras básicas do processo legislativo federal são de observância obrigatória pelos Estados-membros e Municípios. Precedentes do Supremo Tribunal Federal.</w:t>
      </w:r>
    </w:p>
    <w:p w:rsidR="00702880"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xml:space="preserve">(ADI 2731, </w:t>
      </w:r>
      <w:r w:rsidRPr="001C0EB4">
        <w:rPr>
          <w:rFonts w:ascii="Calibri" w:hAnsi="Calibri"/>
          <w:i/>
          <w:sz w:val="21"/>
          <w:szCs w:val="21"/>
        </w:rPr>
        <w:t>Relator(</w:t>
      </w:r>
      <w:r w:rsidRPr="001C0EB4">
        <w:rPr>
          <w:rFonts w:ascii="Calibri" w:hAnsi="Calibri"/>
          <w:i/>
          <w:sz w:val="21"/>
          <w:szCs w:val="21"/>
        </w:rPr>
        <w:t xml:space="preserve">a): CARLOS VELLOSO, Tribunal Pleno, julgado em 20/03/2003, DJ 25-04-2003 PP-00035 EMENT VOL-02107-01 PP-00198) </w:t>
      </w:r>
    </w:p>
    <w:p w:rsidR="00702880"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“I.</w:t>
      </w:r>
      <w:r w:rsidRPr="001C0EB4">
        <w:rPr>
          <w:rFonts w:ascii="Calibri" w:hAnsi="Calibri"/>
          <w:i/>
          <w:sz w:val="21"/>
          <w:szCs w:val="21"/>
        </w:rPr>
        <w:t xml:space="preserve"> Processo legislativo dos Estados-membros: absorção compulsória das linhas básicas do modelo constitucional federal - entre elas, as decorrentes das normas de reserva de iniciativa das leis -, dada a implicação com o princípio fundamental da separação e independência dos Poderes: jurisprudência consolidada do Supremo Tribunal. </w:t>
      </w:r>
    </w:p>
    <w:p w:rsidR="00702880" w:rsidRPr="001C0EB4" w:rsidP="006C0BBC">
      <w:pPr>
        <w:tabs>
          <w:tab w:val="left" w:pos="1701"/>
        </w:tabs>
        <w:autoSpaceDE w:val="0"/>
        <w:autoSpaceDN w:val="0"/>
        <w:adjustRightInd w:val="0"/>
        <w:ind w:left="2835"/>
        <w:jc w:val="both"/>
        <w:rPr>
          <w:rFonts w:ascii="Calibri" w:hAnsi="Calibri"/>
          <w:i/>
          <w:sz w:val="21"/>
          <w:szCs w:val="21"/>
        </w:rPr>
      </w:pPr>
      <w:r w:rsidRPr="001C0EB4">
        <w:rPr>
          <w:rFonts w:ascii="Calibri" w:hAnsi="Calibri"/>
          <w:i/>
          <w:sz w:val="21"/>
          <w:szCs w:val="21"/>
        </w:rPr>
        <w:t xml:space="preserve">(ADI 2434 MC, </w:t>
      </w:r>
      <w:r w:rsidRPr="001C0EB4">
        <w:rPr>
          <w:rFonts w:ascii="Calibri" w:hAnsi="Calibri"/>
          <w:i/>
          <w:sz w:val="21"/>
          <w:szCs w:val="21"/>
        </w:rPr>
        <w:t>Relator(</w:t>
      </w:r>
      <w:r w:rsidRPr="001C0EB4">
        <w:rPr>
          <w:rFonts w:ascii="Calibri" w:hAnsi="Calibri"/>
          <w:i/>
          <w:sz w:val="21"/>
          <w:szCs w:val="21"/>
        </w:rPr>
        <w:t>a): SEPÚLVEDA PERTENCE, Tribunal Pleno, julgado em 16/05/2001, DJ 10-08-2001 PP-00002 EMENT VOL-02038-01 PP-00155)</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b/>
          <w:i/>
          <w:sz w:val="22"/>
          <w:szCs w:val="22"/>
        </w:rPr>
        <w:t xml:space="preserve"> 19.</w:t>
      </w:r>
      <w:r w:rsidRPr="001C0EB4">
        <w:rPr>
          <w:rFonts w:ascii="Calibri" w:hAnsi="Calibri"/>
          <w:i/>
          <w:sz w:val="22"/>
          <w:szCs w:val="22"/>
        </w:rPr>
        <w:t xml:space="preserve"> </w:t>
      </w:r>
      <w:r w:rsidRPr="001C0EB4">
        <w:rPr>
          <w:rFonts w:ascii="Calibri" w:hAnsi="Calibri"/>
          <w:b/>
          <w:i/>
          <w:sz w:val="22"/>
          <w:szCs w:val="22"/>
          <w:u w:val="single"/>
        </w:rPr>
        <w:t>De outro lado, cumpre ressaltar que a declaração de utilidade pública a entidades privadas caracteriza típica atividade administrativa, tendo em vista que a outorga desse título ou benefício pressupõe a verificação concreta do atendimento pelo solicitante dos requisitos e pressupostos definidos, abstratamente, em sede legislativa. Também por esse motivo, constata-se a usurpação pelo Poder Legislativo de atribuições inerentes à função administrativa exercida pelo Governador do Estado.</w:t>
      </w:r>
      <w:r w:rsidRPr="001C0EB4">
        <w:rPr>
          <w:rFonts w:ascii="Calibri" w:hAnsi="Calibri"/>
          <w:i/>
          <w:sz w:val="22"/>
          <w:szCs w:val="22"/>
        </w:rPr>
        <w:t xml:space="preserve"> </w:t>
      </w:r>
    </w:p>
    <w:p w:rsidR="009939F4" w:rsidRPr="001C0EB4" w:rsidP="006C0BBC">
      <w:pPr>
        <w:tabs>
          <w:tab w:val="left" w:pos="1701"/>
        </w:tabs>
        <w:autoSpaceDE w:val="0"/>
        <w:autoSpaceDN w:val="0"/>
        <w:adjustRightInd w:val="0"/>
        <w:ind w:left="2268"/>
        <w:jc w:val="both"/>
        <w:rPr>
          <w:rFonts w:ascii="Calibri" w:hAnsi="Calibri"/>
          <w:b/>
          <w:i/>
          <w:sz w:val="22"/>
          <w:szCs w:val="22"/>
        </w:rPr>
      </w:pPr>
      <w:r w:rsidRPr="001C0EB4">
        <w:rPr>
          <w:rFonts w:ascii="Calibri" w:hAnsi="Calibri"/>
          <w:b/>
          <w:i/>
          <w:sz w:val="22"/>
          <w:szCs w:val="22"/>
        </w:rPr>
        <w:t>Conclusões</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20. Ante o exposto, </w:t>
      </w:r>
      <w:r w:rsidRPr="001C0EB4">
        <w:rPr>
          <w:rFonts w:ascii="Calibri" w:hAnsi="Calibri"/>
          <w:b/>
          <w:i/>
          <w:sz w:val="22"/>
          <w:szCs w:val="22"/>
        </w:rPr>
        <w:t>conheço</w:t>
      </w:r>
      <w:r w:rsidRPr="001C0EB4">
        <w:rPr>
          <w:rFonts w:ascii="Calibri" w:hAnsi="Calibri"/>
          <w:i/>
          <w:sz w:val="22"/>
          <w:szCs w:val="22"/>
        </w:rPr>
        <w:t xml:space="preserve"> da ação direta e julgo procedente o pedido para declarar a inconstitucionalidade formal dos seguintes dispositivos e expressões normativas da Constituição do Estado de São Paulo, todos na redação dada pela EC nº 24/2008:</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(c) a integralidade do item n. 4 do § 1º do artigo 24.</w:t>
      </w:r>
    </w:p>
    <w:p w:rsidR="009939F4"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 xml:space="preserve"> É como voto.</w:t>
      </w:r>
    </w:p>
    <w:p w:rsidR="00702880" w:rsidRPr="001C0EB4" w:rsidP="006C0BBC">
      <w:pPr>
        <w:tabs>
          <w:tab w:val="left" w:pos="1701"/>
        </w:tabs>
        <w:autoSpaceDE w:val="0"/>
        <w:autoSpaceDN w:val="0"/>
        <w:adjustRightInd w:val="0"/>
        <w:ind w:left="2268"/>
        <w:jc w:val="both"/>
        <w:rPr>
          <w:rFonts w:ascii="Calibri" w:hAnsi="Calibri"/>
          <w:i/>
          <w:sz w:val="22"/>
          <w:szCs w:val="22"/>
        </w:rPr>
      </w:pPr>
      <w:r w:rsidRPr="001C0EB4">
        <w:rPr>
          <w:rFonts w:ascii="Calibri" w:hAnsi="Calibri"/>
          <w:i/>
          <w:sz w:val="22"/>
          <w:szCs w:val="22"/>
        </w:rPr>
        <w:t>(...)</w:t>
      </w:r>
    </w:p>
    <w:p w:rsidR="00546607" w:rsidRPr="001C0EB4" w:rsidP="00635CA1">
      <w:pPr>
        <w:pStyle w:val="Default"/>
        <w:spacing w:after="120" w:line="360" w:lineRule="auto"/>
        <w:ind w:firstLine="1701"/>
        <w:jc w:val="both"/>
        <w:rPr>
          <w:rFonts w:ascii="Calibri" w:hAnsi="Calibri" w:cs="Calibri"/>
          <w:color w:val="auto"/>
          <w:sz w:val="4"/>
          <w:szCs w:val="4"/>
        </w:rPr>
      </w:pPr>
    </w:p>
    <w:p w:rsidR="00D556BE" w:rsidRPr="001C0EB4" w:rsidP="00635CA1">
      <w:pPr>
        <w:pStyle w:val="Default"/>
        <w:spacing w:after="120" w:line="360" w:lineRule="auto"/>
        <w:ind w:firstLine="1701"/>
        <w:jc w:val="both"/>
        <w:rPr>
          <w:rFonts w:ascii="Calibri" w:hAnsi="Calibri" w:cs="Calibri"/>
          <w:color w:val="auto"/>
        </w:rPr>
      </w:pPr>
      <w:r w:rsidRPr="001C0EB4">
        <w:rPr>
          <w:rFonts w:ascii="Calibri" w:hAnsi="Calibri" w:cs="Calibri"/>
          <w:color w:val="auto"/>
        </w:rPr>
        <w:t xml:space="preserve">No mesmo sentido </w:t>
      </w:r>
      <w:r w:rsidRPr="001C0EB4" w:rsidR="00FD4CCC">
        <w:rPr>
          <w:rFonts w:ascii="Calibri" w:hAnsi="Calibri" w:cs="Calibri"/>
          <w:color w:val="auto"/>
        </w:rPr>
        <w:t>encontramos recente</w:t>
      </w:r>
      <w:r w:rsidRPr="001C0EB4" w:rsidR="00D8209F">
        <w:rPr>
          <w:rFonts w:ascii="Calibri" w:hAnsi="Calibri" w:cs="Calibri"/>
          <w:color w:val="auto"/>
        </w:rPr>
        <w:t>s precedentes</w:t>
      </w:r>
      <w:r w:rsidRPr="001C0EB4" w:rsidR="00FD4CCC">
        <w:rPr>
          <w:rFonts w:ascii="Calibri" w:hAnsi="Calibri" w:cs="Calibri"/>
          <w:color w:val="auto"/>
        </w:rPr>
        <w:t xml:space="preserve"> d</w:t>
      </w:r>
      <w:r w:rsidRPr="001C0EB4">
        <w:rPr>
          <w:rFonts w:ascii="Calibri" w:hAnsi="Calibri" w:cs="Calibri"/>
          <w:color w:val="auto"/>
        </w:rPr>
        <w:t>o</w:t>
      </w:r>
      <w:r w:rsidRPr="001C0EB4">
        <w:rPr>
          <w:rFonts w:ascii="Calibri" w:hAnsi="Calibri" w:cs="Calibri"/>
          <w:color w:val="auto"/>
        </w:rPr>
        <w:t xml:space="preserve"> </w:t>
      </w:r>
      <w:r w:rsidRPr="001C0EB4" w:rsidR="00327543">
        <w:rPr>
          <w:rFonts w:ascii="Calibri" w:hAnsi="Calibri" w:cs="Calibri"/>
          <w:color w:val="auto"/>
        </w:rPr>
        <w:t xml:space="preserve">E. </w:t>
      </w:r>
      <w:r w:rsidRPr="001C0EB4">
        <w:rPr>
          <w:rFonts w:ascii="Calibri" w:hAnsi="Calibri" w:cs="Calibri"/>
          <w:color w:val="auto"/>
        </w:rPr>
        <w:t>Tribunal de Justiça do Estado de São Paulo:</w:t>
      </w:r>
    </w:p>
    <w:p w:rsidR="00A42800" w:rsidRPr="001C0EB4" w:rsidP="00BB6D5C">
      <w:pPr>
        <w:pStyle w:val="Default"/>
        <w:spacing w:line="264" w:lineRule="auto"/>
        <w:ind w:left="2268"/>
        <w:jc w:val="both"/>
        <w:rPr>
          <w:rFonts w:ascii="Calibri" w:eastAsia="Times New Roman" w:hAnsi="Calibri" w:cstheme="minorHAnsi"/>
          <w:i/>
          <w:color w:val="auto"/>
          <w:sz w:val="22"/>
          <w:szCs w:val="22"/>
        </w:rPr>
      </w:pPr>
      <w:r w:rsidRPr="001C0EB4">
        <w:rPr>
          <w:rFonts w:ascii="Calibri" w:eastAsia="Times New Roman" w:hAnsi="Calibri" w:cstheme="minorHAnsi"/>
          <w:i/>
          <w:color w:val="auto"/>
          <w:sz w:val="22"/>
          <w:szCs w:val="22"/>
        </w:rPr>
        <w:t xml:space="preserve">AÇÃO DIRETA DE INCONSTITUCIONALIDADE. LEIS DO MUNICÍPIO DE MOGI GUAÇU QUE DECLARAM DE UTILIDADE PÚBLICA DIVERSAS ENTIDADES LOCAIS. - </w:t>
      </w:r>
      <w:r w:rsidRPr="001C0EB4">
        <w:rPr>
          <w:rFonts w:ascii="Calibri" w:eastAsia="Times New Roman" w:hAnsi="Calibri" w:cstheme="minorHAnsi"/>
          <w:b/>
          <w:i/>
          <w:color w:val="auto"/>
          <w:sz w:val="22"/>
          <w:szCs w:val="22"/>
        </w:rPr>
        <w:t xml:space="preserve">Leis de iniciativa parlamentar que declarem de utilidade pública determinadas entidades interferem no juízo de conveniência e oportunidade do gestor público, afrontando o disposto no inciso XIV do art. 47 da Constituição paulista. - O STF, no julgamento da ADI 4.052, declarou a invalidade do item </w:t>
      </w:r>
      <w:r w:rsidRPr="001C0EB4">
        <w:rPr>
          <w:rFonts w:ascii="Calibri" w:eastAsia="Times New Roman" w:hAnsi="Calibri" w:cstheme="minorHAnsi"/>
          <w:b/>
          <w:i/>
          <w:color w:val="auto"/>
          <w:sz w:val="22"/>
          <w:szCs w:val="22"/>
        </w:rPr>
        <w:t>4</w:t>
      </w:r>
      <w:r w:rsidRPr="001C0EB4">
        <w:rPr>
          <w:rFonts w:ascii="Calibri" w:eastAsia="Times New Roman" w:hAnsi="Calibri" w:cstheme="minorHAnsi"/>
          <w:b/>
          <w:i/>
          <w:color w:val="auto"/>
          <w:sz w:val="22"/>
          <w:szCs w:val="22"/>
        </w:rPr>
        <w:t xml:space="preserve"> do §1º do </w:t>
      </w:r>
      <w:r w:rsidRPr="001C0EB4">
        <w:rPr>
          <w:rFonts w:ascii="Calibri" w:eastAsia="Times New Roman" w:hAnsi="Calibri" w:cstheme="minorHAnsi"/>
          <w:b/>
          <w:i/>
          <w:color w:val="auto"/>
          <w:sz w:val="22"/>
          <w:szCs w:val="22"/>
        </w:rPr>
        <w:t>art. 24 da Constituição do Estado de São Paulo. Ação direta de inconstitucionalidade procedente</w:t>
      </w:r>
      <w:r w:rsidRPr="001C0EB4">
        <w:rPr>
          <w:rFonts w:ascii="Calibri" w:eastAsia="Times New Roman" w:hAnsi="Calibri" w:cstheme="minorHAnsi"/>
          <w:i/>
          <w:color w:val="auto"/>
          <w:sz w:val="22"/>
          <w:szCs w:val="22"/>
        </w:rPr>
        <w:t xml:space="preserve">. </w:t>
      </w:r>
    </w:p>
    <w:p w:rsidR="00A42800" w:rsidRPr="001C0EB4" w:rsidP="00BB6D5C">
      <w:pPr>
        <w:pStyle w:val="Default"/>
        <w:pBdr>
          <w:bottom w:val="single" w:sz="12" w:space="1" w:color="auto"/>
        </w:pBdr>
        <w:ind w:left="2268"/>
        <w:jc w:val="both"/>
        <w:rPr>
          <w:rFonts w:ascii="Calibri" w:eastAsia="Times New Roman" w:hAnsi="Calibri" w:cstheme="minorHAnsi"/>
          <w:i/>
          <w:color w:val="auto"/>
          <w:sz w:val="20"/>
          <w:szCs w:val="20"/>
        </w:rPr>
      </w:pPr>
      <w:r w:rsidRPr="001C0EB4">
        <w:rPr>
          <w:rFonts w:ascii="Calibri" w:eastAsia="Times New Roman" w:hAnsi="Calibri" w:cstheme="minorHAnsi"/>
          <w:i/>
          <w:color w:val="auto"/>
          <w:sz w:val="20"/>
          <w:szCs w:val="20"/>
        </w:rPr>
        <w:t>(TJSP;</w:t>
      </w:r>
      <w:r w:rsidRPr="001C0EB4">
        <w:rPr>
          <w:rFonts w:ascii="Calibri" w:eastAsia="Times New Roman" w:hAnsi="Calibri" w:cstheme="minorHAnsi"/>
          <w:i/>
          <w:color w:val="auto"/>
          <w:sz w:val="20"/>
          <w:szCs w:val="20"/>
        </w:rPr>
        <w:t xml:space="preserve">  </w:t>
      </w:r>
      <w:r w:rsidRPr="001C0EB4">
        <w:rPr>
          <w:rFonts w:ascii="Calibri" w:eastAsia="Times New Roman" w:hAnsi="Calibri" w:cstheme="minorHAnsi"/>
          <w:i/>
          <w:color w:val="auto"/>
          <w:sz w:val="20"/>
          <w:szCs w:val="20"/>
        </w:rPr>
        <w:t xml:space="preserve">Direta de Inconstitucionalidade 2263571-87.2024.8.26.0000; Relator (a): Ricardo </w:t>
      </w:r>
      <w:r w:rsidRPr="001C0EB4">
        <w:rPr>
          <w:rFonts w:ascii="Calibri" w:eastAsia="Times New Roman" w:hAnsi="Calibri" w:cstheme="minorHAnsi"/>
          <w:i/>
          <w:color w:val="auto"/>
          <w:sz w:val="20"/>
          <w:szCs w:val="20"/>
        </w:rPr>
        <w:t>Dip</w:t>
      </w:r>
      <w:r w:rsidRPr="001C0EB4">
        <w:rPr>
          <w:rFonts w:ascii="Calibri" w:eastAsia="Times New Roman" w:hAnsi="Calibri" w:cstheme="minorHAnsi"/>
          <w:i/>
          <w:color w:val="auto"/>
          <w:sz w:val="20"/>
          <w:szCs w:val="20"/>
        </w:rPr>
        <w:t>; Órgão Julgador: Órgão Especial; Tribunal de Justiça de São Paulo - N/A; Data do Julgamento: 18/12/2024; Data de Registro: 19/12/2024)</w:t>
      </w:r>
    </w:p>
    <w:p w:rsidR="00A42800" w:rsidRPr="001C0EB4" w:rsidP="00A42800">
      <w:pPr>
        <w:pStyle w:val="Default"/>
        <w:spacing w:line="276" w:lineRule="auto"/>
        <w:ind w:left="2268"/>
        <w:jc w:val="both"/>
        <w:rPr>
          <w:rFonts w:ascii="Calibri" w:eastAsia="Times New Roman" w:hAnsi="Calibri" w:cstheme="minorHAnsi"/>
          <w:i/>
          <w:color w:val="auto"/>
          <w:sz w:val="22"/>
          <w:szCs w:val="22"/>
        </w:rPr>
      </w:pPr>
    </w:p>
    <w:p w:rsidR="005E61B5" w:rsidRPr="001C0EB4" w:rsidP="00D8209F">
      <w:pPr>
        <w:pStyle w:val="Default"/>
        <w:spacing w:line="276" w:lineRule="auto"/>
        <w:ind w:left="2268"/>
        <w:jc w:val="both"/>
        <w:rPr>
          <w:rFonts w:ascii="Calibri" w:eastAsia="Times New Roman" w:hAnsi="Calibri" w:cstheme="minorHAnsi"/>
          <w:i/>
          <w:color w:val="auto"/>
          <w:sz w:val="22"/>
          <w:szCs w:val="22"/>
        </w:rPr>
      </w:pPr>
      <w:r w:rsidRPr="001C0EB4">
        <w:rPr>
          <w:rFonts w:ascii="Calibri" w:eastAsia="Times New Roman" w:hAnsi="Calibri" w:cstheme="minorHAnsi"/>
          <w:i/>
          <w:color w:val="auto"/>
          <w:sz w:val="22"/>
          <w:szCs w:val="22"/>
        </w:rPr>
        <w:t xml:space="preserve">AÇÃO DIRETA DE INCONSTITUCIONALIDADE Lei Municipal nº 3.838, de 26 de maio de 2022, que </w:t>
      </w:r>
      <w:r w:rsidRPr="001C0EB4">
        <w:rPr>
          <w:rFonts w:ascii="Calibri" w:eastAsia="Times New Roman" w:hAnsi="Calibri" w:cstheme="minorHAnsi"/>
          <w:b/>
          <w:i/>
          <w:color w:val="auto"/>
          <w:sz w:val="22"/>
          <w:szCs w:val="22"/>
          <w:u w:val="single"/>
        </w:rPr>
        <w:t xml:space="preserve">declara a utilidade pública municipal a Associação </w:t>
      </w:r>
      <w:r w:rsidRPr="001C0EB4">
        <w:rPr>
          <w:rFonts w:ascii="Calibri" w:eastAsia="Times New Roman" w:hAnsi="Calibri" w:cstheme="minorHAnsi"/>
          <w:b/>
          <w:i/>
          <w:color w:val="auto"/>
          <w:sz w:val="22"/>
          <w:szCs w:val="22"/>
          <w:u w:val="single"/>
        </w:rPr>
        <w:t>Casabranquense</w:t>
      </w:r>
      <w:r w:rsidRPr="001C0EB4">
        <w:rPr>
          <w:rFonts w:ascii="Calibri" w:eastAsia="Times New Roman" w:hAnsi="Calibri" w:cstheme="minorHAnsi"/>
          <w:b/>
          <w:i/>
          <w:color w:val="auto"/>
          <w:sz w:val="22"/>
          <w:szCs w:val="22"/>
          <w:u w:val="single"/>
        </w:rPr>
        <w:t xml:space="preserve"> de Cultura </w:t>
      </w:r>
      <w:r w:rsidRPr="001C0EB4">
        <w:rPr>
          <w:rFonts w:ascii="Calibri" w:eastAsia="Times New Roman" w:hAnsi="Calibri" w:cstheme="minorHAnsi"/>
          <w:b/>
          <w:i/>
          <w:color w:val="auto"/>
          <w:sz w:val="22"/>
          <w:szCs w:val="22"/>
          <w:u w:val="single"/>
        </w:rPr>
        <w:t>Physica</w:t>
      </w:r>
      <w:r w:rsidRPr="001C0EB4">
        <w:rPr>
          <w:rFonts w:ascii="Calibri" w:eastAsia="Times New Roman" w:hAnsi="Calibri" w:cstheme="minorHAnsi"/>
          <w:b/>
          <w:i/>
          <w:color w:val="auto"/>
          <w:sz w:val="22"/>
          <w:szCs w:val="22"/>
          <w:u w:val="single"/>
        </w:rPr>
        <w:t xml:space="preserve"> e Esportes</w:t>
      </w:r>
      <w:r w:rsidRPr="001C0EB4">
        <w:rPr>
          <w:rFonts w:ascii="Calibri" w:eastAsia="Times New Roman" w:hAnsi="Calibri" w:cstheme="minorHAnsi"/>
          <w:i/>
          <w:color w:val="auto"/>
          <w:sz w:val="22"/>
          <w:szCs w:val="22"/>
        </w:rPr>
        <w:t xml:space="preserve">. </w:t>
      </w:r>
      <w:r w:rsidRPr="001C0EB4">
        <w:rPr>
          <w:rFonts w:ascii="Calibri" w:eastAsia="Times New Roman" w:hAnsi="Calibri" w:cstheme="minorHAnsi"/>
          <w:b/>
          <w:i/>
          <w:color w:val="auto"/>
          <w:sz w:val="22"/>
          <w:szCs w:val="22"/>
        </w:rPr>
        <w:t>Vício de iniciativa. Lei de iniciativa parlamentar interferindo diretamente nas atribuições do Poder Executivo. Violação ao princípio da separação de poderes. Ocorrência</w:t>
      </w:r>
      <w:r w:rsidRPr="001C0EB4">
        <w:rPr>
          <w:rFonts w:ascii="Calibri" w:eastAsia="Times New Roman" w:hAnsi="Calibri" w:cstheme="minorHAnsi"/>
          <w:i/>
          <w:color w:val="auto"/>
          <w:sz w:val="22"/>
          <w:szCs w:val="22"/>
        </w:rPr>
        <w:t xml:space="preserve">. Organização administrativa. Cabe ao Executivo a gestão administrativa. Declaração de utilidade pública a instituições e entidades </w:t>
      </w:r>
      <w:r w:rsidRPr="001C0EB4">
        <w:rPr>
          <w:rFonts w:ascii="Calibri" w:eastAsia="Times New Roman" w:hAnsi="Calibri" w:cstheme="minorHAnsi"/>
          <w:i/>
          <w:color w:val="auto"/>
          <w:sz w:val="22"/>
          <w:szCs w:val="22"/>
        </w:rPr>
        <w:t>privadas correspondente</w:t>
      </w:r>
      <w:r w:rsidRPr="001C0EB4">
        <w:rPr>
          <w:rFonts w:ascii="Calibri" w:eastAsia="Times New Roman" w:hAnsi="Calibri" w:cstheme="minorHAnsi"/>
          <w:i/>
          <w:color w:val="auto"/>
          <w:sz w:val="22"/>
          <w:szCs w:val="22"/>
        </w:rPr>
        <w:t xml:space="preserve"> a típica atividade administrativa, uma vez que a outorga desse título ou benefício pressupõe a verificação concreta do atendimento pelo solicitante dos requisitos e pressupostos definidos, abstratamente, em sede legislativa. </w:t>
      </w:r>
      <w:r w:rsidRPr="001C0EB4">
        <w:rPr>
          <w:rFonts w:ascii="Calibri" w:eastAsia="Times New Roman" w:hAnsi="Calibri" w:cstheme="minorHAnsi"/>
          <w:b/>
          <w:i/>
          <w:color w:val="auto"/>
          <w:sz w:val="22"/>
          <w:szCs w:val="22"/>
        </w:rPr>
        <w:t xml:space="preserve">Art. 24, §1º, item </w:t>
      </w:r>
      <w:r w:rsidRPr="001C0EB4">
        <w:rPr>
          <w:rFonts w:ascii="Calibri" w:eastAsia="Times New Roman" w:hAnsi="Calibri" w:cstheme="minorHAnsi"/>
          <w:b/>
          <w:i/>
          <w:color w:val="auto"/>
          <w:sz w:val="22"/>
          <w:szCs w:val="22"/>
        </w:rPr>
        <w:t>4</w:t>
      </w:r>
      <w:r w:rsidRPr="001C0EB4">
        <w:rPr>
          <w:rFonts w:ascii="Calibri" w:eastAsia="Times New Roman" w:hAnsi="Calibri" w:cstheme="minorHAnsi"/>
          <w:b/>
          <w:i/>
          <w:color w:val="auto"/>
          <w:sz w:val="22"/>
          <w:szCs w:val="22"/>
        </w:rPr>
        <w:t>, da Constituição Estadual declarado inconstitucional pelo STF no julgamento da ADI nº 4.052/SP.</w:t>
      </w:r>
      <w:r w:rsidRPr="001C0EB4">
        <w:rPr>
          <w:rFonts w:ascii="Calibri" w:eastAsia="Times New Roman" w:hAnsi="Calibri" w:cstheme="minorHAnsi"/>
          <w:i/>
          <w:color w:val="auto"/>
          <w:sz w:val="22"/>
          <w:szCs w:val="22"/>
        </w:rPr>
        <w:t xml:space="preserve"> Inconstitucionalidade. Ação procedente. </w:t>
      </w:r>
    </w:p>
    <w:p w:rsidR="00702880" w:rsidRPr="001C0EB4" w:rsidP="00D8209F">
      <w:pPr>
        <w:pStyle w:val="Default"/>
        <w:pBdr>
          <w:bottom w:val="single" w:sz="12" w:space="1" w:color="auto"/>
        </w:pBdr>
        <w:ind w:left="2268"/>
        <w:jc w:val="both"/>
        <w:rPr>
          <w:rFonts w:ascii="Calibri" w:eastAsia="Times New Roman" w:hAnsi="Calibri" w:cstheme="minorHAnsi"/>
          <w:i/>
          <w:color w:val="auto"/>
          <w:sz w:val="20"/>
          <w:szCs w:val="20"/>
        </w:rPr>
      </w:pPr>
      <w:r w:rsidRPr="001C0EB4">
        <w:rPr>
          <w:rFonts w:ascii="Calibri" w:eastAsia="Times New Roman" w:hAnsi="Calibri" w:cstheme="minorHAnsi"/>
          <w:i/>
          <w:color w:val="auto"/>
          <w:sz w:val="20"/>
          <w:szCs w:val="20"/>
        </w:rPr>
        <w:t>(TJSP;</w:t>
      </w:r>
      <w:r w:rsidRPr="001C0EB4">
        <w:rPr>
          <w:rFonts w:ascii="Calibri" w:eastAsia="Times New Roman" w:hAnsi="Calibri" w:cstheme="minorHAnsi"/>
          <w:i/>
          <w:color w:val="auto"/>
          <w:sz w:val="20"/>
          <w:szCs w:val="20"/>
        </w:rPr>
        <w:t xml:space="preserve">  </w:t>
      </w:r>
      <w:r w:rsidRPr="001C0EB4">
        <w:rPr>
          <w:rFonts w:ascii="Calibri" w:eastAsia="Times New Roman" w:hAnsi="Calibri" w:cstheme="minorHAnsi"/>
          <w:i/>
          <w:color w:val="auto"/>
          <w:sz w:val="20"/>
          <w:szCs w:val="20"/>
        </w:rPr>
        <w:t>Direta de Inconstitucionalidade 2178335-41.2022.8.26.0000; Relator (a): Evaristo dos Santos; Órgão Julgador: Órgão Especial; Tribunal de Justiça de São Paulo - N/A; Data do Julgamento: 16/08/2023; Data de Registro: 17/08/2023)</w:t>
      </w:r>
    </w:p>
    <w:p w:rsidR="00D8209F" w:rsidRPr="001C0EB4" w:rsidP="0053094D">
      <w:pPr>
        <w:pStyle w:val="Default"/>
        <w:spacing w:after="120"/>
        <w:ind w:left="2268"/>
        <w:jc w:val="both"/>
        <w:rPr>
          <w:rFonts w:ascii="Calibri" w:eastAsia="Times New Roman" w:hAnsi="Calibri" w:cstheme="minorHAnsi"/>
          <w:i/>
          <w:color w:val="auto"/>
          <w:sz w:val="4"/>
          <w:szCs w:val="4"/>
        </w:rPr>
      </w:pPr>
    </w:p>
    <w:p w:rsidR="00D8209F" w:rsidRPr="001C0EB4" w:rsidP="00D8209F">
      <w:pPr>
        <w:pStyle w:val="Default"/>
        <w:ind w:left="2268"/>
        <w:jc w:val="both"/>
        <w:rPr>
          <w:rFonts w:ascii="Calibri" w:eastAsia="Times New Roman" w:hAnsi="Calibri" w:cstheme="minorHAnsi"/>
          <w:i/>
          <w:color w:val="auto"/>
          <w:sz w:val="22"/>
          <w:szCs w:val="22"/>
        </w:rPr>
      </w:pPr>
      <w:r w:rsidRPr="001C0EB4">
        <w:rPr>
          <w:rFonts w:ascii="Calibri" w:eastAsia="Times New Roman" w:hAnsi="Calibri" w:cstheme="minorHAnsi"/>
          <w:i/>
          <w:color w:val="auto"/>
          <w:sz w:val="22"/>
          <w:szCs w:val="22"/>
        </w:rPr>
        <w:t xml:space="preserve">VOTO Nº 37127 </w:t>
      </w:r>
      <w:r w:rsidRPr="001C0EB4">
        <w:rPr>
          <w:rFonts w:ascii="Calibri" w:eastAsia="Times New Roman" w:hAnsi="Calibri" w:cstheme="minorHAnsi"/>
          <w:i/>
          <w:color w:val="auto"/>
          <w:sz w:val="22"/>
          <w:szCs w:val="22"/>
          <w:u w:val="single"/>
        </w:rPr>
        <w:t xml:space="preserve">AÇÃO DIRETA DE INCONSTITUCIONALIDADE. Lei Municipal de Catanduva n.º 5.643/15, </w:t>
      </w:r>
      <w:r w:rsidRPr="001C0EB4">
        <w:rPr>
          <w:rFonts w:ascii="Calibri" w:eastAsia="Times New Roman" w:hAnsi="Calibri" w:cstheme="minorHAnsi"/>
          <w:b/>
          <w:i/>
          <w:color w:val="auto"/>
          <w:sz w:val="22"/>
          <w:szCs w:val="22"/>
          <w:u w:val="single"/>
        </w:rPr>
        <w:t>que declara de utilidade pública a CAAB - Central das Associações Amigas de Bairro</w:t>
      </w:r>
      <w:r w:rsidRPr="001C0EB4">
        <w:rPr>
          <w:rFonts w:ascii="Calibri" w:eastAsia="Times New Roman" w:hAnsi="Calibri" w:cstheme="minorHAnsi"/>
          <w:i/>
          <w:color w:val="auto"/>
          <w:sz w:val="22"/>
          <w:szCs w:val="22"/>
        </w:rPr>
        <w:t>. Vício de iniciativa e violação à separação de Poderes. Inocorrência. Assunto de interesse local. Inteligência do art. 30, inc. I, da CF. Texto que não dispõe sobre a estrutura ou a atribuição dos órgãos da Administração, tampouco sobre o regime jurídico de servidores públicos. STF</w:t>
      </w:r>
      <w:r w:rsidRPr="001C0EB4">
        <w:rPr>
          <w:rFonts w:ascii="Calibri" w:eastAsia="Times New Roman" w:hAnsi="Calibri" w:cstheme="minorHAnsi"/>
          <w:i/>
          <w:color w:val="auto"/>
          <w:sz w:val="22"/>
          <w:szCs w:val="22"/>
        </w:rPr>
        <w:t>, ARE</w:t>
      </w:r>
      <w:r w:rsidRPr="001C0EB4">
        <w:rPr>
          <w:rFonts w:ascii="Calibri" w:eastAsia="Times New Roman" w:hAnsi="Calibri" w:cstheme="minorHAnsi"/>
          <w:i/>
          <w:color w:val="auto"/>
          <w:sz w:val="22"/>
          <w:szCs w:val="22"/>
        </w:rPr>
        <w:t xml:space="preserve"> 878.911-RJ, com repercussão geral. Todavia, </w:t>
      </w:r>
      <w:r w:rsidRPr="001C0EB4">
        <w:rPr>
          <w:rFonts w:ascii="Calibri" w:eastAsia="Times New Roman" w:hAnsi="Calibri" w:cstheme="minorHAnsi"/>
          <w:b/>
          <w:i/>
          <w:color w:val="auto"/>
          <w:sz w:val="22"/>
          <w:szCs w:val="22"/>
        </w:rPr>
        <w:t>texto que interfere em critérios de conveniência e oportunidade e determina a forma de execução da política pública. Violação à reserva da Administração. Exegese do art. 47, inc. II, da CE. Doutrina. STF, ADI 4.052-SP. Inconstitucionalidade. Ocorrência. Modulação. Inadmissibilidade. Inexistência de razões de segurança jurídica ou de excepcional interesse social. Precedentes deste C. Órgão Especial. Pedido procedente.</w:t>
      </w:r>
      <w:r w:rsidRPr="001C0EB4">
        <w:rPr>
          <w:rFonts w:ascii="Calibri" w:eastAsia="Times New Roman" w:hAnsi="Calibri" w:cstheme="minorHAnsi"/>
          <w:i/>
          <w:color w:val="auto"/>
          <w:sz w:val="22"/>
          <w:szCs w:val="22"/>
        </w:rPr>
        <w:t> </w:t>
      </w:r>
    </w:p>
    <w:p w:rsidR="00D8209F" w:rsidRPr="001C0EB4" w:rsidP="00D8209F">
      <w:pPr>
        <w:pStyle w:val="Default"/>
        <w:pBdr>
          <w:bottom w:val="single" w:sz="12" w:space="1" w:color="auto"/>
        </w:pBdr>
        <w:ind w:left="2268"/>
        <w:jc w:val="both"/>
        <w:rPr>
          <w:rFonts w:ascii="Calibri" w:eastAsia="Times New Roman" w:hAnsi="Calibri" w:cstheme="minorHAnsi"/>
          <w:i/>
          <w:color w:val="auto"/>
          <w:sz w:val="20"/>
          <w:szCs w:val="20"/>
        </w:rPr>
      </w:pPr>
      <w:r w:rsidRPr="001C0EB4">
        <w:rPr>
          <w:rFonts w:ascii="Calibri" w:eastAsia="Times New Roman" w:hAnsi="Calibri" w:cstheme="minorHAnsi"/>
          <w:i/>
          <w:color w:val="auto"/>
          <w:sz w:val="20"/>
          <w:szCs w:val="20"/>
        </w:rPr>
        <w:t>(TJSP;</w:t>
      </w:r>
      <w:r w:rsidRPr="001C0EB4">
        <w:rPr>
          <w:rFonts w:ascii="Calibri" w:eastAsia="Times New Roman" w:hAnsi="Calibri" w:cstheme="minorHAnsi"/>
          <w:i/>
          <w:color w:val="auto"/>
          <w:sz w:val="20"/>
          <w:szCs w:val="20"/>
        </w:rPr>
        <w:t xml:space="preserve">  </w:t>
      </w:r>
      <w:r w:rsidRPr="001C0EB4">
        <w:rPr>
          <w:rFonts w:ascii="Calibri" w:eastAsia="Times New Roman" w:hAnsi="Calibri" w:cstheme="minorHAnsi"/>
          <w:i/>
          <w:color w:val="auto"/>
          <w:sz w:val="20"/>
          <w:szCs w:val="20"/>
        </w:rPr>
        <w:t xml:space="preserve">Direta de Inconstitucionalidade 2241301-84.2015.8.26.0000; Relator (a): Tasso Duarte de Melo; Órgão Julgador: Órgão Especial; Tribunal de </w:t>
      </w:r>
      <w:r w:rsidRPr="001C0EB4">
        <w:rPr>
          <w:rFonts w:ascii="Calibri" w:eastAsia="Times New Roman" w:hAnsi="Calibri" w:cstheme="minorHAnsi"/>
          <w:i/>
          <w:color w:val="auto"/>
          <w:sz w:val="20"/>
          <w:szCs w:val="20"/>
        </w:rPr>
        <w:t>Justiça de São Paulo - N/A; Data do Julgamento: 26/07/2023; Data de Registro: 28/07/2023)</w:t>
      </w:r>
    </w:p>
    <w:p w:rsidR="00C47020" w:rsidRPr="001C0EB4" w:rsidP="00E31DF4">
      <w:pPr>
        <w:pStyle w:val="Default"/>
        <w:ind w:left="2268"/>
        <w:jc w:val="both"/>
        <w:rPr>
          <w:rFonts w:asciiTheme="minorHAnsi" w:hAnsiTheme="minorHAnsi"/>
          <w:i/>
          <w:color w:val="auto"/>
          <w:sz w:val="22"/>
          <w:szCs w:val="22"/>
          <w:shd w:val="clear" w:color="auto" w:fill="FFFFFF"/>
        </w:rPr>
      </w:pPr>
    </w:p>
    <w:p w:rsidR="00D8209F" w:rsidRPr="001C0EB4" w:rsidP="00E31DF4">
      <w:pPr>
        <w:pStyle w:val="Default"/>
        <w:ind w:left="2268"/>
        <w:jc w:val="both"/>
        <w:rPr>
          <w:rFonts w:asciiTheme="minorHAnsi" w:hAnsiTheme="minorHAnsi"/>
          <w:i/>
          <w:color w:val="auto"/>
          <w:sz w:val="22"/>
          <w:szCs w:val="22"/>
          <w:shd w:val="clear" w:color="auto" w:fill="FFFFFF"/>
        </w:rPr>
      </w:pPr>
      <w:r w:rsidRPr="001C0EB4">
        <w:rPr>
          <w:rFonts w:asciiTheme="minorHAnsi" w:hAnsiTheme="minorHAnsi"/>
          <w:i/>
          <w:color w:val="auto"/>
          <w:sz w:val="22"/>
          <w:szCs w:val="22"/>
          <w:shd w:val="clear" w:color="auto" w:fill="FFFFFF"/>
        </w:rPr>
        <w:t>Ação Direta de Inconstitucionalidade. Lei nº 3.839, de 26 de maio de 2022, do Município de Casa Branca, que "</w:t>
      </w:r>
      <w:r w:rsidRPr="001C0EB4">
        <w:rPr>
          <w:rFonts w:asciiTheme="minorHAnsi" w:hAnsiTheme="minorHAnsi"/>
          <w:b/>
          <w:i/>
          <w:color w:val="auto"/>
          <w:sz w:val="22"/>
          <w:szCs w:val="22"/>
          <w:shd w:val="clear" w:color="auto" w:fill="FFFFFF"/>
        </w:rPr>
        <w:t>declara de utilidade pública municipal a Sociedade Esportiva Palmeirinha</w:t>
      </w:r>
      <w:r w:rsidRPr="001C0EB4">
        <w:rPr>
          <w:rFonts w:asciiTheme="minorHAnsi" w:hAnsiTheme="minorHAnsi"/>
          <w:i/>
          <w:color w:val="auto"/>
          <w:sz w:val="22"/>
          <w:szCs w:val="22"/>
          <w:shd w:val="clear" w:color="auto" w:fill="FFFFFF"/>
        </w:rPr>
        <w:t xml:space="preserve">". Vício de iniciativa. </w:t>
      </w:r>
      <w:r w:rsidRPr="001C0EB4">
        <w:rPr>
          <w:rFonts w:asciiTheme="minorHAnsi" w:hAnsiTheme="minorHAnsi"/>
          <w:b/>
          <w:i/>
          <w:color w:val="auto"/>
          <w:sz w:val="22"/>
          <w:szCs w:val="22"/>
          <w:shd w:val="clear" w:color="auto" w:fill="FFFFFF"/>
        </w:rPr>
        <w:t>Matéria de competência privativa do Chefe do Poder Executivo. Violação ao princípio da separação de poderes</w:t>
      </w:r>
      <w:r w:rsidRPr="001C0EB4">
        <w:rPr>
          <w:rFonts w:asciiTheme="minorHAnsi" w:hAnsiTheme="minorHAnsi"/>
          <w:i/>
          <w:color w:val="auto"/>
          <w:sz w:val="22"/>
          <w:szCs w:val="22"/>
          <w:shd w:val="clear" w:color="auto" w:fill="FFFFFF"/>
        </w:rPr>
        <w:t xml:space="preserve">. Afronta ao princípio da reserva da administração (art. 47, inciso XIV, da Constituição Estadual). </w:t>
      </w:r>
      <w:r w:rsidRPr="001C0EB4">
        <w:rPr>
          <w:rFonts w:asciiTheme="minorHAnsi" w:hAnsiTheme="minorHAnsi"/>
          <w:b/>
          <w:i/>
          <w:color w:val="auto"/>
          <w:sz w:val="22"/>
          <w:szCs w:val="22"/>
          <w:shd w:val="clear" w:color="auto" w:fill="FFFFFF"/>
        </w:rPr>
        <w:t xml:space="preserve">Julgamento da ADI 4052/SP, com trânsito em julgado em 09.08.2022. Declarada a inconstitucionalidade do item </w:t>
      </w:r>
      <w:r w:rsidRPr="001C0EB4">
        <w:rPr>
          <w:rFonts w:asciiTheme="minorHAnsi" w:hAnsiTheme="minorHAnsi"/>
          <w:b/>
          <w:i/>
          <w:color w:val="auto"/>
          <w:sz w:val="22"/>
          <w:szCs w:val="22"/>
          <w:shd w:val="clear" w:color="auto" w:fill="FFFFFF"/>
        </w:rPr>
        <w:t>4</w:t>
      </w:r>
      <w:r w:rsidRPr="001C0EB4">
        <w:rPr>
          <w:rFonts w:asciiTheme="minorHAnsi" w:hAnsiTheme="minorHAnsi"/>
          <w:b/>
          <w:i/>
          <w:color w:val="auto"/>
          <w:sz w:val="22"/>
          <w:szCs w:val="22"/>
          <w:shd w:val="clear" w:color="auto" w:fill="FFFFFF"/>
        </w:rPr>
        <w:t xml:space="preserve"> do § 1º do art. 24 da Carta Paulista pelo C. STF. Efeito vinculante</w:t>
      </w:r>
      <w:r w:rsidRPr="001C0EB4">
        <w:rPr>
          <w:rFonts w:asciiTheme="minorHAnsi" w:hAnsiTheme="minorHAnsi"/>
          <w:i/>
          <w:color w:val="auto"/>
          <w:sz w:val="22"/>
          <w:szCs w:val="22"/>
          <w:shd w:val="clear" w:color="auto" w:fill="FFFFFF"/>
        </w:rPr>
        <w:t>. Ação julgada procedente, com efeitos "</w:t>
      </w:r>
      <w:r w:rsidRPr="001C0EB4">
        <w:rPr>
          <w:rFonts w:asciiTheme="minorHAnsi" w:hAnsiTheme="minorHAnsi"/>
          <w:i/>
          <w:color w:val="auto"/>
          <w:sz w:val="22"/>
          <w:szCs w:val="22"/>
          <w:shd w:val="clear" w:color="auto" w:fill="FFFFFF"/>
        </w:rPr>
        <w:t>ex</w:t>
      </w:r>
      <w:r w:rsidRPr="001C0EB4">
        <w:rPr>
          <w:rFonts w:asciiTheme="minorHAnsi" w:hAnsiTheme="minorHAnsi"/>
          <w:i/>
          <w:color w:val="auto"/>
          <w:sz w:val="22"/>
          <w:szCs w:val="22"/>
          <w:shd w:val="clear" w:color="auto" w:fill="FFFFFF"/>
        </w:rPr>
        <w:t xml:space="preserve"> </w:t>
      </w:r>
      <w:r w:rsidRPr="001C0EB4">
        <w:rPr>
          <w:rFonts w:asciiTheme="minorHAnsi" w:hAnsiTheme="minorHAnsi"/>
          <w:i/>
          <w:color w:val="auto"/>
          <w:sz w:val="22"/>
          <w:szCs w:val="22"/>
          <w:shd w:val="clear" w:color="auto" w:fill="FFFFFF"/>
        </w:rPr>
        <w:t>tunc</w:t>
      </w:r>
      <w:r w:rsidRPr="001C0EB4">
        <w:rPr>
          <w:rFonts w:asciiTheme="minorHAnsi" w:hAnsiTheme="minorHAnsi"/>
          <w:i/>
          <w:color w:val="auto"/>
          <w:sz w:val="22"/>
          <w:szCs w:val="22"/>
          <w:shd w:val="clear" w:color="auto" w:fill="FFFFFF"/>
        </w:rPr>
        <w:t>". </w:t>
      </w:r>
    </w:p>
    <w:p w:rsidR="00D8209F" w:rsidRPr="001C0EB4" w:rsidP="00E31DF4">
      <w:pPr>
        <w:pStyle w:val="Default"/>
        <w:ind w:left="2268"/>
        <w:jc w:val="both"/>
        <w:rPr>
          <w:rFonts w:eastAsia="Times New Roman" w:asciiTheme="minorHAnsi" w:hAnsiTheme="minorHAnsi" w:cstheme="minorHAnsi"/>
          <w:i/>
          <w:color w:val="auto"/>
          <w:sz w:val="20"/>
          <w:szCs w:val="20"/>
        </w:rPr>
      </w:pPr>
      <w:r w:rsidRPr="001C0EB4">
        <w:rPr>
          <w:rFonts w:asciiTheme="minorHAnsi" w:hAnsiTheme="minorHAnsi"/>
          <w:i/>
          <w:color w:val="auto"/>
          <w:sz w:val="20"/>
          <w:szCs w:val="20"/>
          <w:shd w:val="clear" w:color="auto" w:fill="FFFFFF"/>
        </w:rPr>
        <w:t>(TJSP;</w:t>
      </w:r>
      <w:r w:rsidRPr="001C0EB4">
        <w:rPr>
          <w:rFonts w:asciiTheme="minorHAnsi" w:hAnsiTheme="minorHAnsi"/>
          <w:i/>
          <w:color w:val="auto"/>
          <w:sz w:val="20"/>
          <w:szCs w:val="20"/>
          <w:shd w:val="clear" w:color="auto" w:fill="FFFFFF"/>
        </w:rPr>
        <w:t xml:space="preserve">  </w:t>
      </w:r>
      <w:r w:rsidRPr="001C0EB4">
        <w:rPr>
          <w:rFonts w:asciiTheme="minorHAnsi" w:hAnsiTheme="minorHAnsi"/>
          <w:i/>
          <w:color w:val="auto"/>
          <w:sz w:val="20"/>
          <w:szCs w:val="20"/>
          <w:shd w:val="clear" w:color="auto" w:fill="FFFFFF"/>
        </w:rPr>
        <w:t xml:space="preserve">Direta de Inconstitucionalidade 2178354-47.2022.8.26.0000; Relator (a): Aroldo </w:t>
      </w:r>
      <w:r w:rsidRPr="001C0EB4">
        <w:rPr>
          <w:rFonts w:asciiTheme="minorHAnsi" w:hAnsiTheme="minorHAnsi"/>
          <w:i/>
          <w:color w:val="auto"/>
          <w:sz w:val="20"/>
          <w:szCs w:val="20"/>
          <w:shd w:val="clear" w:color="auto" w:fill="FFFFFF"/>
        </w:rPr>
        <w:t>Viotti</w:t>
      </w:r>
      <w:r w:rsidRPr="001C0EB4">
        <w:rPr>
          <w:rFonts w:asciiTheme="minorHAnsi" w:hAnsiTheme="minorHAnsi"/>
          <w:i/>
          <w:color w:val="auto"/>
          <w:sz w:val="20"/>
          <w:szCs w:val="20"/>
          <w:shd w:val="clear" w:color="auto" w:fill="FFFFFF"/>
        </w:rPr>
        <w:t>; Órgão Julgador: Órgão Especial; Tribunal de Justiça de São Paulo - N/A; Data do Julgamento: 22/03/2023; Data de Registro: 24/03/2023)</w:t>
      </w:r>
    </w:p>
    <w:p w:rsidR="00D8209F" w:rsidRPr="001C0EB4" w:rsidP="0053094D">
      <w:pPr>
        <w:pStyle w:val="Default"/>
        <w:spacing w:after="120"/>
        <w:ind w:left="2268"/>
        <w:jc w:val="both"/>
        <w:rPr>
          <w:rFonts w:ascii="Calibri" w:eastAsia="Times New Roman" w:hAnsi="Calibri" w:cstheme="minorHAnsi"/>
          <w:i/>
          <w:color w:val="auto"/>
          <w:sz w:val="20"/>
          <w:szCs w:val="20"/>
        </w:rPr>
      </w:pPr>
    </w:p>
    <w:p w:rsidR="001C7F5B" w:rsidRPr="001C0EB4" w:rsidP="001C7F5B">
      <w:pPr>
        <w:spacing w:after="240" w:line="360" w:lineRule="auto"/>
        <w:ind w:firstLine="1701"/>
        <w:jc w:val="both"/>
        <w:rPr>
          <w:rFonts w:asciiTheme="minorHAnsi" w:hAnsiTheme="minorHAnsi" w:cstheme="minorHAnsi"/>
          <w:sz w:val="24"/>
          <w:szCs w:val="24"/>
        </w:rPr>
      </w:pPr>
      <w:r w:rsidRPr="001C0EB4">
        <w:rPr>
          <w:rFonts w:asciiTheme="minorHAnsi" w:hAnsiTheme="minorHAnsi" w:cstheme="minorHAnsi"/>
          <w:sz w:val="24"/>
          <w:szCs w:val="24"/>
        </w:rPr>
        <w:t>Destarte, sugere-se, respeitosamente, a adoção do procedimento estabelecido na Resolução nº 09/2013:</w:t>
      </w:r>
    </w:p>
    <w:p w:rsidR="001C7F5B" w:rsidRPr="001C0EB4" w:rsidP="00D8209F">
      <w:pPr>
        <w:autoSpaceDE w:val="0"/>
        <w:autoSpaceDN w:val="0"/>
        <w:adjustRightInd w:val="0"/>
        <w:spacing w:after="120" w:line="300" w:lineRule="auto"/>
        <w:ind w:left="2268"/>
        <w:jc w:val="both"/>
        <w:rPr>
          <w:rFonts w:ascii="Calibri" w:hAnsi="Calibri" w:cstheme="minorHAnsi"/>
          <w:b/>
          <w:i/>
          <w:sz w:val="22"/>
          <w:szCs w:val="22"/>
        </w:rPr>
      </w:pPr>
      <w:r w:rsidRPr="001C0EB4">
        <w:rPr>
          <w:rFonts w:ascii="Calibri" w:hAnsi="Calibri" w:cstheme="minorHAnsi"/>
          <w:sz w:val="22"/>
          <w:szCs w:val="22"/>
        </w:rPr>
        <w:t>“</w:t>
      </w:r>
      <w:r w:rsidRPr="001C0EB4">
        <w:rPr>
          <w:rFonts w:ascii="Calibri" w:hAnsi="Calibri" w:cstheme="minorHAnsi"/>
          <w:i/>
          <w:sz w:val="22"/>
          <w:szCs w:val="22"/>
        </w:rPr>
        <w:t>Art. 1º.</w:t>
      </w:r>
      <w:r w:rsidRPr="001C0EB4">
        <w:rPr>
          <w:rFonts w:ascii="Calibri" w:hAnsi="Calibri" w:cstheme="minorHAnsi"/>
          <w:i/>
          <w:sz w:val="22"/>
          <w:szCs w:val="22"/>
        </w:rPr>
        <w:t xml:space="preserve"> O Projeto de Lei de natureza autorizativa, </w:t>
      </w:r>
      <w:r w:rsidRPr="001C0EB4">
        <w:rPr>
          <w:rFonts w:ascii="Calibri" w:hAnsi="Calibri" w:cstheme="minorHAnsi"/>
          <w:b/>
          <w:i/>
          <w:sz w:val="22"/>
          <w:szCs w:val="22"/>
        </w:rPr>
        <w:t>que disponha sobre matéria que discipline atos administrativos ou atribuições inerentes ao Poder Executivo</w:t>
      </w:r>
      <w:r w:rsidRPr="001C0EB4">
        <w:rPr>
          <w:rFonts w:ascii="Calibri" w:hAnsi="Calibri" w:cstheme="minorHAnsi"/>
          <w:i/>
          <w:sz w:val="22"/>
          <w:szCs w:val="22"/>
        </w:rPr>
        <w:t xml:space="preserve">, ou ainda à estrutura ou organização administrativa deste, </w:t>
      </w:r>
      <w:r w:rsidRPr="001C0EB4">
        <w:rPr>
          <w:rFonts w:ascii="Calibri" w:hAnsi="Calibri" w:cstheme="minorHAnsi"/>
          <w:b/>
          <w:i/>
          <w:sz w:val="22"/>
          <w:szCs w:val="22"/>
        </w:rPr>
        <w:t>cuja iniciativa tenha sido da Câmara Municipal, por proposição de autoria de qualquer de seus Vereadores, em conjunto ou separadamente, obedecerá ao procedimento prescrito na presente Resolução.</w:t>
      </w:r>
    </w:p>
    <w:p w:rsidR="001C7F5B" w:rsidRPr="001C0EB4" w:rsidP="00D8209F">
      <w:pPr>
        <w:autoSpaceDE w:val="0"/>
        <w:autoSpaceDN w:val="0"/>
        <w:adjustRightInd w:val="0"/>
        <w:spacing w:after="120" w:line="300" w:lineRule="auto"/>
        <w:ind w:left="2268"/>
        <w:jc w:val="both"/>
        <w:rPr>
          <w:rFonts w:ascii="Calibri" w:hAnsi="Calibri" w:cstheme="minorHAnsi"/>
          <w:i/>
          <w:sz w:val="22"/>
          <w:szCs w:val="22"/>
        </w:rPr>
      </w:pPr>
      <w:r w:rsidRPr="001C0EB4">
        <w:rPr>
          <w:rFonts w:ascii="Calibri" w:hAnsi="Calibri" w:cstheme="minorHAnsi"/>
          <w:i/>
          <w:sz w:val="22"/>
          <w:szCs w:val="22"/>
        </w:rPr>
        <w:t xml:space="preserve">Art. 2º. </w:t>
      </w:r>
      <w:r w:rsidRPr="001C0EB4">
        <w:rPr>
          <w:rFonts w:ascii="Calibri" w:hAnsi="Calibri" w:cstheme="minorHAnsi"/>
          <w:b/>
          <w:i/>
          <w:sz w:val="22"/>
          <w:szCs w:val="22"/>
        </w:rPr>
        <w:t>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1C0EB4">
        <w:rPr>
          <w:rFonts w:ascii="Calibri" w:hAnsi="Calibri" w:cstheme="minorHAnsi"/>
          <w:i/>
          <w:sz w:val="22"/>
          <w:szCs w:val="22"/>
        </w:rPr>
        <w:t>.</w:t>
      </w:r>
      <w:r w:rsidRPr="001C0EB4">
        <w:rPr>
          <w:rFonts w:ascii="Calibri" w:hAnsi="Calibri" w:cstheme="minorHAnsi"/>
          <w:i/>
          <w:sz w:val="22"/>
          <w:szCs w:val="22"/>
        </w:rPr>
        <w:t>”</w:t>
      </w:r>
    </w:p>
    <w:p w:rsidR="001C7F5B" w:rsidRPr="001C0EB4" w:rsidP="001C7F5B">
      <w:pPr>
        <w:autoSpaceDE w:val="0"/>
        <w:autoSpaceDN w:val="0"/>
        <w:adjustRightInd w:val="0"/>
        <w:jc w:val="both"/>
        <w:rPr>
          <w:rFonts w:cstheme="minorHAnsi"/>
          <w:sz w:val="4"/>
          <w:szCs w:val="4"/>
        </w:rPr>
      </w:pPr>
    </w:p>
    <w:p w:rsidR="00702866" w:rsidRPr="001C0EB4" w:rsidP="001C7F5B">
      <w:pPr>
        <w:autoSpaceDE w:val="0"/>
        <w:autoSpaceDN w:val="0"/>
        <w:adjustRightInd w:val="0"/>
        <w:jc w:val="both"/>
        <w:rPr>
          <w:rFonts w:cstheme="minorHAnsi"/>
          <w:sz w:val="4"/>
          <w:szCs w:val="4"/>
        </w:rPr>
      </w:pPr>
    </w:p>
    <w:p w:rsidR="00702866" w:rsidRPr="001C0EB4" w:rsidP="001C7F5B">
      <w:pPr>
        <w:autoSpaceDE w:val="0"/>
        <w:autoSpaceDN w:val="0"/>
        <w:adjustRightInd w:val="0"/>
        <w:jc w:val="both"/>
        <w:rPr>
          <w:rFonts w:cstheme="minorHAnsi"/>
          <w:sz w:val="4"/>
          <w:szCs w:val="4"/>
        </w:rPr>
      </w:pPr>
    </w:p>
    <w:p w:rsidR="00FD4CCC" w:rsidRPr="001C0EB4" w:rsidP="001C7F5B">
      <w:pPr>
        <w:autoSpaceDE w:val="0"/>
        <w:autoSpaceDN w:val="0"/>
        <w:adjustRightInd w:val="0"/>
        <w:jc w:val="both"/>
        <w:rPr>
          <w:rFonts w:cstheme="minorHAnsi"/>
          <w:sz w:val="4"/>
          <w:szCs w:val="4"/>
        </w:rPr>
      </w:pPr>
    </w:p>
    <w:p w:rsidR="008E50ED" w:rsidRPr="001C0EB4" w:rsidP="001C7F5B">
      <w:pPr>
        <w:autoSpaceDE w:val="0"/>
        <w:autoSpaceDN w:val="0"/>
        <w:adjustRightInd w:val="0"/>
        <w:spacing w:after="240" w:line="360" w:lineRule="auto"/>
        <w:ind w:firstLine="1701"/>
        <w:jc w:val="both"/>
        <w:rPr>
          <w:rFonts w:ascii="Calibri" w:hAnsi="Calibri" w:cs="Calibri"/>
          <w:sz w:val="24"/>
          <w:szCs w:val="24"/>
          <w:shd w:val="clear" w:color="auto" w:fill="FFFFFF"/>
        </w:rPr>
      </w:pPr>
      <w:r w:rsidRPr="001C0EB4">
        <w:rPr>
          <w:rFonts w:ascii="Calibri" w:hAnsi="Calibri" w:cs="Calibri"/>
          <w:sz w:val="24"/>
          <w:szCs w:val="24"/>
        </w:rPr>
        <w:t>Ante o exposto, embora muito louvável a intenção do</w:t>
      </w:r>
      <w:r w:rsidRPr="001C0EB4" w:rsidR="004C4701">
        <w:rPr>
          <w:rFonts w:ascii="Calibri" w:hAnsi="Calibri" w:cs="Calibri"/>
          <w:sz w:val="24"/>
          <w:szCs w:val="24"/>
        </w:rPr>
        <w:t>s</w:t>
      </w:r>
      <w:r w:rsidRPr="001C0EB4">
        <w:rPr>
          <w:rFonts w:ascii="Calibri" w:hAnsi="Calibri" w:cs="Calibri"/>
          <w:sz w:val="24"/>
          <w:szCs w:val="24"/>
        </w:rPr>
        <w:t xml:space="preserve"> Nobre</w:t>
      </w:r>
      <w:r w:rsidRPr="001C0EB4" w:rsidR="004C4701">
        <w:rPr>
          <w:rFonts w:ascii="Calibri" w:hAnsi="Calibri" w:cs="Calibri"/>
          <w:sz w:val="24"/>
          <w:szCs w:val="24"/>
        </w:rPr>
        <w:t xml:space="preserve">s </w:t>
      </w:r>
      <w:r w:rsidRPr="001C0EB4" w:rsidR="004C4701">
        <w:rPr>
          <w:rFonts w:ascii="Calibri" w:hAnsi="Calibri" w:cs="Calibri"/>
          <w:sz w:val="24"/>
          <w:szCs w:val="24"/>
        </w:rPr>
        <w:t>Edis</w:t>
      </w:r>
      <w:r w:rsidRPr="001C0EB4">
        <w:rPr>
          <w:rFonts w:ascii="Calibri" w:hAnsi="Calibri" w:cs="Calibri"/>
          <w:sz w:val="24"/>
          <w:szCs w:val="24"/>
        </w:rPr>
        <w:t xml:space="preserve">, </w:t>
      </w:r>
      <w:r w:rsidRPr="001C0EB4" w:rsidR="00B449A9">
        <w:rPr>
          <w:rFonts w:ascii="Calibri" w:hAnsi="Calibri" w:cs="Calibri"/>
          <w:sz w:val="24"/>
          <w:szCs w:val="24"/>
        </w:rPr>
        <w:t>depreende-se</w:t>
      </w:r>
      <w:r w:rsidRPr="001C0EB4">
        <w:rPr>
          <w:rFonts w:ascii="Calibri" w:hAnsi="Calibri" w:cs="Calibri"/>
          <w:sz w:val="24"/>
          <w:szCs w:val="24"/>
        </w:rPr>
        <w:t xml:space="preserve"> dos precedentes jurisprudenciais </w:t>
      </w:r>
      <w:r w:rsidRPr="001C0EB4" w:rsidR="00B449A9">
        <w:rPr>
          <w:rFonts w:ascii="Calibri" w:hAnsi="Calibri" w:cs="Calibri"/>
          <w:sz w:val="24"/>
          <w:szCs w:val="24"/>
        </w:rPr>
        <w:t xml:space="preserve">supracitados </w:t>
      </w:r>
      <w:r w:rsidRPr="001C0EB4">
        <w:rPr>
          <w:rFonts w:ascii="Calibri" w:hAnsi="Calibri" w:cs="Calibri"/>
          <w:sz w:val="24"/>
          <w:szCs w:val="24"/>
        </w:rPr>
        <w:t xml:space="preserve">que compete ao Chefe do Poder Executivo deflagrar </w:t>
      </w:r>
      <w:r w:rsidRPr="001C0EB4" w:rsidR="00485380">
        <w:rPr>
          <w:rFonts w:ascii="Calibri" w:hAnsi="Calibri" w:cs="Calibri"/>
          <w:sz w:val="24"/>
          <w:szCs w:val="24"/>
        </w:rPr>
        <w:t xml:space="preserve">projeto de </w:t>
      </w:r>
      <w:r w:rsidRPr="001C0EB4">
        <w:rPr>
          <w:rFonts w:ascii="Calibri" w:hAnsi="Calibri" w:cs="Calibri"/>
          <w:sz w:val="24"/>
          <w:szCs w:val="24"/>
        </w:rPr>
        <w:t xml:space="preserve">lei sobre a matéria, de modo que, </w:t>
      </w:r>
      <w:r w:rsidRPr="001C0EB4">
        <w:rPr>
          <w:rFonts w:ascii="Calibri" w:hAnsi="Calibri" w:cs="Calibri"/>
          <w:sz w:val="24"/>
          <w:szCs w:val="24"/>
        </w:rPr>
        <w:t xml:space="preserve">respeitosamente, sugere-se a aplicação do procedimento da Resolução nº 09/2013. </w:t>
      </w:r>
      <w:r w:rsidRPr="001C0EB4" w:rsidR="00522BF7">
        <w:rPr>
          <w:rFonts w:ascii="Calibri" w:hAnsi="Calibri" w:cs="Calibri"/>
          <w:sz w:val="24"/>
          <w:szCs w:val="24"/>
        </w:rPr>
        <w:t>É o parecer, a superior consideração.</w:t>
      </w:r>
    </w:p>
    <w:p w:rsidR="00A437AA" w:rsidRPr="001C0EB4" w:rsidP="001C7F5B">
      <w:pPr>
        <w:pStyle w:val="BodyText"/>
        <w:spacing w:after="240" w:line="360" w:lineRule="auto"/>
        <w:ind w:firstLine="1701"/>
        <w:rPr>
          <w:rFonts w:ascii="Calibri" w:hAnsi="Calibri" w:cs="Calibri"/>
          <w:szCs w:val="24"/>
        </w:rPr>
      </w:pPr>
      <w:r w:rsidRPr="001C0EB4">
        <w:rPr>
          <w:rFonts w:ascii="Calibri" w:hAnsi="Calibri" w:cs="Calibri"/>
          <w:szCs w:val="24"/>
        </w:rPr>
        <w:t xml:space="preserve"> </w:t>
      </w:r>
      <w:r w:rsidRPr="001C0EB4" w:rsidR="0066475C">
        <w:rPr>
          <w:rFonts w:ascii="Calibri" w:hAnsi="Calibri" w:cs="Calibri"/>
          <w:szCs w:val="24"/>
        </w:rPr>
        <w:t>Procuradoria</w:t>
      </w:r>
      <w:r w:rsidRPr="001C0EB4" w:rsidR="004C4701">
        <w:rPr>
          <w:rFonts w:ascii="Calibri" w:hAnsi="Calibri" w:cs="Calibri"/>
          <w:szCs w:val="24"/>
        </w:rPr>
        <w:t xml:space="preserve">, aos </w:t>
      </w:r>
      <w:r w:rsidRPr="001C0EB4" w:rsidR="001C0EB4">
        <w:rPr>
          <w:rFonts w:ascii="Calibri" w:hAnsi="Calibri" w:cs="Calibri"/>
          <w:szCs w:val="24"/>
        </w:rPr>
        <w:t>27</w:t>
      </w:r>
      <w:r w:rsidRPr="001C0EB4" w:rsidR="00246D0B">
        <w:rPr>
          <w:rFonts w:ascii="Calibri" w:hAnsi="Calibri" w:cs="Calibri"/>
          <w:szCs w:val="24"/>
        </w:rPr>
        <w:t xml:space="preserve"> de </w:t>
      </w:r>
      <w:r w:rsidRPr="001C0EB4" w:rsidR="00EB072A">
        <w:rPr>
          <w:rFonts w:ascii="Calibri" w:hAnsi="Calibri" w:cs="Calibri"/>
          <w:szCs w:val="24"/>
        </w:rPr>
        <w:t>março</w:t>
      </w:r>
      <w:bookmarkStart w:id="0" w:name="_GoBack"/>
      <w:bookmarkEnd w:id="0"/>
      <w:r w:rsidRPr="001C0EB4" w:rsidR="00522BF7">
        <w:rPr>
          <w:rFonts w:ascii="Calibri" w:hAnsi="Calibri" w:cs="Calibri"/>
          <w:szCs w:val="24"/>
        </w:rPr>
        <w:t xml:space="preserve"> </w:t>
      </w:r>
      <w:r w:rsidRPr="001C0EB4" w:rsidR="008E50ED">
        <w:rPr>
          <w:rFonts w:ascii="Calibri" w:hAnsi="Calibri" w:cs="Calibri"/>
          <w:szCs w:val="24"/>
        </w:rPr>
        <w:t>de 20</w:t>
      </w:r>
      <w:r w:rsidRPr="001C0EB4" w:rsidR="0041009B">
        <w:rPr>
          <w:rFonts w:ascii="Calibri" w:hAnsi="Calibri" w:cs="Calibri"/>
          <w:szCs w:val="24"/>
        </w:rPr>
        <w:t>2</w:t>
      </w:r>
      <w:r w:rsidRPr="001C0EB4" w:rsidR="00EB072A">
        <w:rPr>
          <w:rFonts w:ascii="Calibri" w:hAnsi="Calibri" w:cs="Calibri"/>
          <w:szCs w:val="24"/>
        </w:rPr>
        <w:t>5</w:t>
      </w:r>
      <w:r w:rsidRPr="001C0EB4" w:rsidR="00482A80">
        <w:rPr>
          <w:rFonts w:ascii="Calibri" w:hAnsi="Calibri" w:cs="Calibri"/>
          <w:szCs w:val="24"/>
        </w:rPr>
        <w:t>.</w:t>
      </w:r>
    </w:p>
    <w:p w:rsidR="004C4701" w:rsidRPr="001C0EB4" w:rsidP="00C47020">
      <w:pPr>
        <w:pStyle w:val="BodyText"/>
        <w:tabs>
          <w:tab w:val="left" w:pos="3510"/>
        </w:tabs>
        <w:spacing w:after="0" w:line="360" w:lineRule="auto"/>
        <w:ind w:firstLine="1701"/>
        <w:rPr>
          <w:rFonts w:asciiTheme="minorHAnsi" w:hAnsiTheme="minorHAnsi" w:cstheme="minorHAnsi"/>
          <w:szCs w:val="24"/>
        </w:rPr>
      </w:pPr>
      <w:r w:rsidRPr="001C0EB4">
        <w:rPr>
          <w:rFonts w:ascii="Calibri" w:hAnsi="Calibri" w:cs="Calibri"/>
          <w:szCs w:val="24"/>
        </w:rPr>
        <w:tab/>
      </w:r>
    </w:p>
    <w:p w:rsidR="004C4701" w:rsidRPr="001C0EB4" w:rsidP="004C4701">
      <w:pPr>
        <w:tabs>
          <w:tab w:val="left" w:pos="2880"/>
        </w:tabs>
        <w:rPr>
          <w:rFonts w:asciiTheme="minorHAnsi" w:hAnsiTheme="minorHAnsi" w:cstheme="minorHAnsi"/>
          <w:b/>
          <w:sz w:val="24"/>
          <w:szCs w:val="24"/>
        </w:rPr>
      </w:pPr>
      <w:r w:rsidRPr="001C0EB4">
        <w:rPr>
          <w:rFonts w:asciiTheme="minorHAnsi" w:hAnsiTheme="minorHAnsi" w:cstheme="minorHAnsi"/>
          <w:b/>
          <w:sz w:val="24"/>
          <w:szCs w:val="24"/>
        </w:rPr>
        <w:t>Rosemeire de Souza Cardoso Barbosa                                    Tiago Fadel Malghosian</w:t>
      </w:r>
    </w:p>
    <w:p w:rsidR="004C4701" w:rsidRPr="001C0EB4" w:rsidP="004C4701">
      <w:pPr>
        <w:tabs>
          <w:tab w:val="left" w:pos="2880"/>
        </w:tabs>
        <w:jc w:val="center"/>
        <w:rPr>
          <w:rFonts w:asciiTheme="minorHAnsi" w:hAnsiTheme="minorHAnsi" w:cstheme="minorHAnsi"/>
          <w:b/>
          <w:sz w:val="24"/>
          <w:szCs w:val="24"/>
        </w:rPr>
      </w:pPr>
      <w:r w:rsidRPr="001C0EB4">
        <w:rPr>
          <w:rFonts w:asciiTheme="minorHAnsi" w:hAnsiTheme="minorHAnsi" w:cstheme="minorHAnsi"/>
          <w:b/>
          <w:sz w:val="24"/>
          <w:szCs w:val="24"/>
        </w:rPr>
        <w:t xml:space="preserve">   Procuradora - OAB/SP 308.298                                 Procurador - OAB/SP 319.159</w:t>
      </w:r>
    </w:p>
    <w:p w:rsidR="004C4701" w:rsidRPr="001C0EB4" w:rsidP="004C4701">
      <w:pPr>
        <w:tabs>
          <w:tab w:val="left" w:pos="2880"/>
        </w:tabs>
        <w:jc w:val="center"/>
      </w:pPr>
      <w:r w:rsidRPr="001C0EB4">
        <w:rPr>
          <w:rFonts w:asciiTheme="minorHAnsi" w:hAnsiTheme="minorHAnsi" w:cstheme="minorHAnsi"/>
          <w:sz w:val="24"/>
          <w:szCs w:val="24"/>
        </w:rPr>
        <w:t xml:space="preserve">   </w:t>
      </w:r>
      <w:r w:rsidRPr="001C0EB4">
        <w:rPr>
          <w:rFonts w:asciiTheme="minorHAnsi" w:hAnsiTheme="minorHAnsi" w:cstheme="minorHAnsi"/>
          <w:sz w:val="24"/>
          <w:szCs w:val="24"/>
        </w:rPr>
        <w:t>Assinatura eletrônica                                                  Assinatura eletrônica</w:t>
      </w:r>
    </w:p>
    <w:p w:rsidR="00473838" w:rsidRPr="001C0EB4" w:rsidP="004C4701">
      <w:pPr>
        <w:tabs>
          <w:tab w:val="left" w:pos="3402"/>
        </w:tabs>
        <w:jc w:val="center"/>
        <w:rPr>
          <w:rFonts w:asciiTheme="minorHAnsi" w:hAnsiTheme="minorHAnsi" w:cstheme="minorHAnsi"/>
          <w:sz w:val="24"/>
          <w:szCs w:val="24"/>
        </w:rPr>
      </w:pPr>
    </w:p>
    <w:sectPr w:rsidSect="004C4701">
      <w:headerReference w:type="default" r:id="rId6"/>
      <w:footerReference w:type="default" r:id="rId7"/>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D1145" w:rsidP="006D1008">
            <w:pPr>
              <w:pStyle w:val="Footer"/>
              <w:jc w:val="right"/>
              <w:rPr>
                <w:sz w:val="18"/>
                <w:lang w:val="pt-PT"/>
              </w:rPr>
            </w:pPr>
            <w:r>
              <w:rPr>
                <w:sz w:val="18"/>
                <w:lang w:val="pt-PT"/>
              </w:rPr>
              <w:t>________________________________________________________________________________________</w:t>
            </w:r>
          </w:p>
          <w:p w:rsidR="00DD114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D1145" w:rsidP="006D1008">
            <w:pPr>
              <w:pStyle w:val="Footer"/>
              <w:ind w:left="-1985" w:right="-313"/>
              <w:jc w:val="center"/>
              <w:rPr>
                <w:sz w:val="18"/>
                <w:lang w:val="pt-PT"/>
              </w:rPr>
            </w:pPr>
            <w:r>
              <w:rPr>
                <w:sz w:val="18"/>
                <w:lang w:val="pt-PT"/>
              </w:rPr>
              <w:t>site</w:t>
            </w:r>
            <w:r>
              <w:rPr>
                <w:sz w:val="18"/>
                <w:lang w:val="pt-PT"/>
              </w:rPr>
              <w:t>: www.camaravalinhos.sp.gov.br</w:t>
            </w:r>
          </w:p>
          <w:p w:rsidR="00DD114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1C0EB4">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1C0EB4">
              <w:rPr>
                <w:b/>
                <w:bCs/>
                <w:noProof/>
                <w:sz w:val="18"/>
                <w:szCs w:val="18"/>
              </w:rPr>
              <w:t>9</w:t>
            </w:r>
            <w:r w:rsidRPr="00F53BEF">
              <w:rPr>
                <w:b/>
                <w:bCs/>
                <w:sz w:val="18"/>
                <w:szCs w:val="18"/>
              </w:rPr>
              <w:fldChar w:fldCharType="end"/>
            </w:r>
          </w:p>
        </w:sdtContent>
      </w:sdt>
    </w:sdtContent>
  </w:sdt>
  <w:p w:rsidR="00DD114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2C96" w:rsidP="00CC028B">
      <w:r>
        <w:separator/>
      </w:r>
    </w:p>
  </w:footnote>
  <w:footnote w:type="continuationSeparator" w:id="1">
    <w:p w:rsidR="00BA2C96" w:rsidP="00CC028B">
      <w:r>
        <w:continuationSeparator/>
      </w:r>
    </w:p>
  </w:footnote>
  <w:footnote w:id="2">
    <w:p w:rsidR="00BA2C96" w:rsidRPr="00473838" w:rsidP="00C62AED">
      <w:pPr>
        <w:pStyle w:val="FootnoteText"/>
        <w:jc w:val="both"/>
      </w:pPr>
      <w:r w:rsidRPr="00473838">
        <w:rPr>
          <w:rStyle w:val="FootnoteReference"/>
        </w:rPr>
        <w:footnoteRef/>
      </w:r>
      <w:r w:rsidRPr="00473838">
        <w:t xml:space="preserve"> </w:t>
      </w:r>
      <w:r w:rsidRPr="00473838">
        <w:rPr>
          <w:i/>
        </w:rPr>
        <w:t xml:space="preserve">Art. 38. Compete à Comissão de Justiça e Redação manifestar-se sobre todos os assuntos entregues à sua apreciação, </w:t>
      </w:r>
      <w:r w:rsidRPr="00473838">
        <w:rPr>
          <w:b/>
          <w:i/>
        </w:rPr>
        <w:t xml:space="preserve">quanto ao seu aspecto constitucional, legal ou jurídico </w:t>
      </w:r>
      <w:r w:rsidRPr="00473838">
        <w:rPr>
          <w:i/>
        </w:rPr>
        <w:t xml:space="preserve">e quanto ao seu aspecto gramatical e lógico, quando solicitado o seu parecer por imposição regimental ou deliberação de um terço dos Vereadores da Câmara.§ 1º É obrigatória </w:t>
      </w:r>
      <w:r w:rsidRPr="00473838">
        <w:rPr>
          <w:i/>
        </w:rPr>
        <w:t>a</w:t>
      </w:r>
      <w:r w:rsidRPr="00473838">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473838">
        <w:rPr>
          <w:i/>
        </w:rPr>
        <w:t>G.n</w:t>
      </w:r>
      <w:r w:rsidRPr="00473838">
        <w:rPr>
          <w:i/>
        </w:rPr>
        <w:t>).</w:t>
      </w:r>
    </w:p>
  </w:footnote>
  <w:footnote w:id="3">
    <w:p w:rsidR="00C62AED" w:rsidRPr="00473838" w:rsidP="00C62AED">
      <w:pPr>
        <w:pStyle w:val="Default"/>
        <w:jc w:val="both"/>
        <w:rPr>
          <w:rFonts w:asciiTheme="minorHAnsi" w:hAnsiTheme="minorHAnsi"/>
          <w:sz w:val="20"/>
          <w:szCs w:val="20"/>
        </w:rPr>
      </w:pPr>
      <w:r w:rsidRPr="00473838">
        <w:rPr>
          <w:rStyle w:val="FootnoteReference"/>
          <w:rFonts w:asciiTheme="minorHAnsi" w:hAnsiTheme="minorHAnsi"/>
          <w:sz w:val="20"/>
          <w:szCs w:val="20"/>
        </w:rPr>
        <w:footnoteRef/>
      </w:r>
      <w:r w:rsidRPr="00473838">
        <w:rPr>
          <w:rFonts w:asciiTheme="minorHAnsi" w:hAnsiTheme="minorHAnsi"/>
          <w:sz w:val="20"/>
          <w:szCs w:val="20"/>
        </w:rPr>
        <w:t xml:space="preserve"> </w:t>
      </w:r>
      <w:r w:rsidRPr="00C62AED">
        <w:rPr>
          <w:rFonts w:asciiTheme="minorHAnsi" w:hAnsiTheme="minorHAnsi" w:cs="Calibri"/>
          <w:i/>
          <w:sz w:val="20"/>
          <w:szCs w:val="20"/>
        </w:rPr>
        <w:t>Nesse sentido é o entendimento do C. Supremo Tribunal Federal</w:t>
      </w:r>
      <w:r>
        <w:rPr>
          <w:rFonts w:asciiTheme="minorHAnsi" w:hAnsiTheme="minorHAnsi" w:cs="Calibri"/>
          <w:i/>
          <w:sz w:val="20"/>
          <w:szCs w:val="20"/>
        </w:rPr>
        <w:t>:</w:t>
      </w:r>
      <w:r w:rsidRPr="00473838">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473838">
        <w:rPr>
          <w:rFonts w:asciiTheme="minorHAnsi" w:hAnsiTheme="minorHAnsi" w:cs="Calibri"/>
          <w:i/>
          <w:sz w:val="20"/>
          <w:szCs w:val="20"/>
        </w:rPr>
        <w:t>ex</w:t>
      </w:r>
      <w:r w:rsidRPr="00473838">
        <w:rPr>
          <w:rFonts w:asciiTheme="minorHAnsi" w:hAnsiTheme="minorHAnsi" w:cs="Calibri"/>
          <w:i/>
          <w:sz w:val="20"/>
          <w:szCs w:val="20"/>
        </w:rPr>
        <w:t xml:space="preserve"> </w:t>
      </w:r>
      <w:r w:rsidRPr="00473838">
        <w:rPr>
          <w:rFonts w:asciiTheme="minorHAnsi" w:hAnsiTheme="minorHAnsi" w:cs="Calibri"/>
          <w:i/>
          <w:sz w:val="20"/>
          <w:szCs w:val="20"/>
        </w:rPr>
        <w:t>oficio</w:t>
      </w:r>
      <w:r w:rsidRPr="00473838">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145" w:rsidP="00496AE3">
    <w:pPr>
      <w:pStyle w:val="Header"/>
      <w:jc w:val="center"/>
      <w:rPr>
        <w:b/>
        <w:sz w:val="26"/>
        <w:lang w:val="pt-PT"/>
      </w:rPr>
    </w:pPr>
  </w:p>
  <w:p w:rsidR="00DD114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145" w:rsidP="00496AE3">
                          <w:r>
                            <w:rPr>
                              <w:noProof/>
                            </w:rPr>
                            <w:drawing>
                              <wp:inline distT="0" distB="0" distL="0" distR="0">
                                <wp:extent cx="876300" cy="850900"/>
                                <wp:effectExtent l="19050" t="0" r="0" b="0"/>
                                <wp:docPr id="101198718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4857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25pt" o:oleicon="f" o:ole="">
                                <v:imagedata r:id="rId2" o:title=""/>
                              </v:shape>
                              <o:OLEObject Type="Embed" ProgID="MSPhotoEd.3" ShapeID="_x0000_i2051" DrawAspect="Content" ObjectID="_180450528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D1145" w:rsidP="00496AE3">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5826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92589969" r:id="rId4"/>
                    </w:object>
                  </w:p>
                </w:txbxContent>
              </v:textbox>
              <w10:wrap type="square"/>
            </v:shape>
          </w:pict>
        </mc:Fallback>
      </mc:AlternateContent>
    </w:r>
  </w:p>
  <w:p w:rsidR="00DD1145" w:rsidP="00496AE3">
    <w:pPr>
      <w:pStyle w:val="Header"/>
      <w:jc w:val="center"/>
      <w:rPr>
        <w:b/>
        <w:sz w:val="28"/>
        <w:lang w:val="pt-PT"/>
      </w:rPr>
    </w:pPr>
    <w:r>
      <w:rPr>
        <w:b/>
        <w:sz w:val="28"/>
        <w:lang w:val="pt-PT"/>
      </w:rPr>
      <w:t>CÂMARA MUNICIPAL DE VALINHOS</w:t>
    </w:r>
  </w:p>
  <w:p w:rsidR="00DD1145" w:rsidP="00496AE3">
    <w:pPr>
      <w:pStyle w:val="Header"/>
      <w:jc w:val="center"/>
    </w:pPr>
    <w:r>
      <w:rPr>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A2"/>
    <w:rsid w:val="00067369"/>
    <w:rsid w:val="00095E5F"/>
    <w:rsid w:val="00096646"/>
    <w:rsid w:val="000A0685"/>
    <w:rsid w:val="000A3843"/>
    <w:rsid w:val="000A6807"/>
    <w:rsid w:val="000C1F19"/>
    <w:rsid w:val="000C4114"/>
    <w:rsid w:val="000C49F9"/>
    <w:rsid w:val="000D21C8"/>
    <w:rsid w:val="000E06BE"/>
    <w:rsid w:val="000E5C8F"/>
    <w:rsid w:val="000F467C"/>
    <w:rsid w:val="001112BD"/>
    <w:rsid w:val="001150A5"/>
    <w:rsid w:val="00125D63"/>
    <w:rsid w:val="001268DE"/>
    <w:rsid w:val="001449F7"/>
    <w:rsid w:val="00151F09"/>
    <w:rsid w:val="00156580"/>
    <w:rsid w:val="001819D4"/>
    <w:rsid w:val="00183BDD"/>
    <w:rsid w:val="00186D7C"/>
    <w:rsid w:val="001A1972"/>
    <w:rsid w:val="001A55CB"/>
    <w:rsid w:val="001B7C91"/>
    <w:rsid w:val="001C0EB4"/>
    <w:rsid w:val="001C248E"/>
    <w:rsid w:val="001C7F5B"/>
    <w:rsid w:val="001F0809"/>
    <w:rsid w:val="002221E3"/>
    <w:rsid w:val="002433C5"/>
    <w:rsid w:val="00245AC5"/>
    <w:rsid w:val="00246D0B"/>
    <w:rsid w:val="00254C63"/>
    <w:rsid w:val="00255B10"/>
    <w:rsid w:val="00273909"/>
    <w:rsid w:val="0028394D"/>
    <w:rsid w:val="00286430"/>
    <w:rsid w:val="002979AA"/>
    <w:rsid w:val="002A0B0D"/>
    <w:rsid w:val="002A609E"/>
    <w:rsid w:val="002B0AA8"/>
    <w:rsid w:val="002D051A"/>
    <w:rsid w:val="002F6577"/>
    <w:rsid w:val="00302F4E"/>
    <w:rsid w:val="00314CEB"/>
    <w:rsid w:val="00327543"/>
    <w:rsid w:val="0034202C"/>
    <w:rsid w:val="00353F00"/>
    <w:rsid w:val="00373FFA"/>
    <w:rsid w:val="003776CC"/>
    <w:rsid w:val="00386B56"/>
    <w:rsid w:val="003903BF"/>
    <w:rsid w:val="003A18FF"/>
    <w:rsid w:val="003C1F65"/>
    <w:rsid w:val="003C6236"/>
    <w:rsid w:val="003C7BDA"/>
    <w:rsid w:val="003D2A3F"/>
    <w:rsid w:val="003D6FBE"/>
    <w:rsid w:val="003E1301"/>
    <w:rsid w:val="00400E0A"/>
    <w:rsid w:val="0040292A"/>
    <w:rsid w:val="0041009B"/>
    <w:rsid w:val="00410687"/>
    <w:rsid w:val="00412B92"/>
    <w:rsid w:val="0042034E"/>
    <w:rsid w:val="00421447"/>
    <w:rsid w:val="00433F8A"/>
    <w:rsid w:val="00434A5E"/>
    <w:rsid w:val="00435166"/>
    <w:rsid w:val="00455454"/>
    <w:rsid w:val="00473838"/>
    <w:rsid w:val="00482A80"/>
    <w:rsid w:val="004847FE"/>
    <w:rsid w:val="00485380"/>
    <w:rsid w:val="004915DF"/>
    <w:rsid w:val="0049451E"/>
    <w:rsid w:val="00496AE3"/>
    <w:rsid w:val="004A372A"/>
    <w:rsid w:val="004B2A32"/>
    <w:rsid w:val="004C3CC5"/>
    <w:rsid w:val="004C4701"/>
    <w:rsid w:val="004E3A93"/>
    <w:rsid w:val="004E7B4B"/>
    <w:rsid w:val="00500BB5"/>
    <w:rsid w:val="005129EB"/>
    <w:rsid w:val="00516817"/>
    <w:rsid w:val="00522BF7"/>
    <w:rsid w:val="00523CB9"/>
    <w:rsid w:val="0053094D"/>
    <w:rsid w:val="00530CBE"/>
    <w:rsid w:val="00535BD2"/>
    <w:rsid w:val="005420BC"/>
    <w:rsid w:val="00546607"/>
    <w:rsid w:val="00551DFF"/>
    <w:rsid w:val="00552EDD"/>
    <w:rsid w:val="005574CC"/>
    <w:rsid w:val="0057217F"/>
    <w:rsid w:val="00575017"/>
    <w:rsid w:val="00575AB2"/>
    <w:rsid w:val="005867D9"/>
    <w:rsid w:val="00590F06"/>
    <w:rsid w:val="005949E3"/>
    <w:rsid w:val="005A6FBC"/>
    <w:rsid w:val="005B2225"/>
    <w:rsid w:val="005C08F0"/>
    <w:rsid w:val="005C59B5"/>
    <w:rsid w:val="005C5CC2"/>
    <w:rsid w:val="005C7E34"/>
    <w:rsid w:val="005D049F"/>
    <w:rsid w:val="005E033E"/>
    <w:rsid w:val="005E61B5"/>
    <w:rsid w:val="005F4B58"/>
    <w:rsid w:val="005F6E6B"/>
    <w:rsid w:val="006073D5"/>
    <w:rsid w:val="0061585E"/>
    <w:rsid w:val="00622B08"/>
    <w:rsid w:val="00622BE3"/>
    <w:rsid w:val="00624747"/>
    <w:rsid w:val="00635A5A"/>
    <w:rsid w:val="00635CA1"/>
    <w:rsid w:val="006406F9"/>
    <w:rsid w:val="0065392D"/>
    <w:rsid w:val="00662EF6"/>
    <w:rsid w:val="0066475C"/>
    <w:rsid w:val="00664FEF"/>
    <w:rsid w:val="00667FED"/>
    <w:rsid w:val="006714AD"/>
    <w:rsid w:val="00680E4F"/>
    <w:rsid w:val="00682754"/>
    <w:rsid w:val="00691219"/>
    <w:rsid w:val="006B11D0"/>
    <w:rsid w:val="006B2729"/>
    <w:rsid w:val="006B31D8"/>
    <w:rsid w:val="006C0A3E"/>
    <w:rsid w:val="006C0BBC"/>
    <w:rsid w:val="006D1008"/>
    <w:rsid w:val="006D2121"/>
    <w:rsid w:val="006E7726"/>
    <w:rsid w:val="007014B3"/>
    <w:rsid w:val="00702866"/>
    <w:rsid w:val="00702880"/>
    <w:rsid w:val="00704B2C"/>
    <w:rsid w:val="00710C65"/>
    <w:rsid w:val="007118B6"/>
    <w:rsid w:val="00717849"/>
    <w:rsid w:val="007229AD"/>
    <w:rsid w:val="0072578A"/>
    <w:rsid w:val="00726E9C"/>
    <w:rsid w:val="00730FB8"/>
    <w:rsid w:val="00731C1B"/>
    <w:rsid w:val="00732A1C"/>
    <w:rsid w:val="007419E3"/>
    <w:rsid w:val="00771721"/>
    <w:rsid w:val="00771C19"/>
    <w:rsid w:val="00775B6F"/>
    <w:rsid w:val="007B386F"/>
    <w:rsid w:val="007C2995"/>
    <w:rsid w:val="007C5C8F"/>
    <w:rsid w:val="008020B3"/>
    <w:rsid w:val="008025C2"/>
    <w:rsid w:val="0080484D"/>
    <w:rsid w:val="00821921"/>
    <w:rsid w:val="0082743E"/>
    <w:rsid w:val="00855D7D"/>
    <w:rsid w:val="00860C39"/>
    <w:rsid w:val="008C397B"/>
    <w:rsid w:val="008E50ED"/>
    <w:rsid w:val="008E5E61"/>
    <w:rsid w:val="008F13A6"/>
    <w:rsid w:val="008F2038"/>
    <w:rsid w:val="00900653"/>
    <w:rsid w:val="00900930"/>
    <w:rsid w:val="009042F0"/>
    <w:rsid w:val="00915084"/>
    <w:rsid w:val="00932658"/>
    <w:rsid w:val="00944BB5"/>
    <w:rsid w:val="009677C5"/>
    <w:rsid w:val="0097637C"/>
    <w:rsid w:val="00986304"/>
    <w:rsid w:val="009920BB"/>
    <w:rsid w:val="00992E4C"/>
    <w:rsid w:val="009939F4"/>
    <w:rsid w:val="00994E18"/>
    <w:rsid w:val="00996616"/>
    <w:rsid w:val="009B1CDD"/>
    <w:rsid w:val="009B5765"/>
    <w:rsid w:val="009C3469"/>
    <w:rsid w:val="009C7AB3"/>
    <w:rsid w:val="009F0462"/>
    <w:rsid w:val="00A11936"/>
    <w:rsid w:val="00A15846"/>
    <w:rsid w:val="00A15AF9"/>
    <w:rsid w:val="00A23088"/>
    <w:rsid w:val="00A3018E"/>
    <w:rsid w:val="00A42800"/>
    <w:rsid w:val="00A437AA"/>
    <w:rsid w:val="00A43C1C"/>
    <w:rsid w:val="00A83C10"/>
    <w:rsid w:val="00A8489A"/>
    <w:rsid w:val="00A979F1"/>
    <w:rsid w:val="00AA60D6"/>
    <w:rsid w:val="00AB0A8B"/>
    <w:rsid w:val="00AD607A"/>
    <w:rsid w:val="00AE03C5"/>
    <w:rsid w:val="00AE29DE"/>
    <w:rsid w:val="00AF1D24"/>
    <w:rsid w:val="00AF2964"/>
    <w:rsid w:val="00B00FC9"/>
    <w:rsid w:val="00B062A6"/>
    <w:rsid w:val="00B27054"/>
    <w:rsid w:val="00B449A9"/>
    <w:rsid w:val="00B57A3D"/>
    <w:rsid w:val="00B66DD0"/>
    <w:rsid w:val="00B75474"/>
    <w:rsid w:val="00B84B66"/>
    <w:rsid w:val="00B90759"/>
    <w:rsid w:val="00B97D9C"/>
    <w:rsid w:val="00BA151A"/>
    <w:rsid w:val="00BA2C96"/>
    <w:rsid w:val="00BA3641"/>
    <w:rsid w:val="00BB6D5C"/>
    <w:rsid w:val="00BC5CF8"/>
    <w:rsid w:val="00BD2FEF"/>
    <w:rsid w:val="00BD4BC1"/>
    <w:rsid w:val="00BE0C25"/>
    <w:rsid w:val="00BE1DFC"/>
    <w:rsid w:val="00BF44A7"/>
    <w:rsid w:val="00C01271"/>
    <w:rsid w:val="00C06D80"/>
    <w:rsid w:val="00C12760"/>
    <w:rsid w:val="00C16C04"/>
    <w:rsid w:val="00C2194B"/>
    <w:rsid w:val="00C32531"/>
    <w:rsid w:val="00C37118"/>
    <w:rsid w:val="00C47020"/>
    <w:rsid w:val="00C5204E"/>
    <w:rsid w:val="00C5282F"/>
    <w:rsid w:val="00C62AED"/>
    <w:rsid w:val="00C66F24"/>
    <w:rsid w:val="00C85A56"/>
    <w:rsid w:val="00CA1744"/>
    <w:rsid w:val="00CA4B95"/>
    <w:rsid w:val="00CA4E3B"/>
    <w:rsid w:val="00CC028B"/>
    <w:rsid w:val="00CE21D6"/>
    <w:rsid w:val="00CF36F6"/>
    <w:rsid w:val="00D20B1C"/>
    <w:rsid w:val="00D21A4F"/>
    <w:rsid w:val="00D246A2"/>
    <w:rsid w:val="00D266A2"/>
    <w:rsid w:val="00D4342F"/>
    <w:rsid w:val="00D5148D"/>
    <w:rsid w:val="00D55060"/>
    <w:rsid w:val="00D55585"/>
    <w:rsid w:val="00D556BE"/>
    <w:rsid w:val="00D562F5"/>
    <w:rsid w:val="00D661B6"/>
    <w:rsid w:val="00D6631B"/>
    <w:rsid w:val="00D732F8"/>
    <w:rsid w:val="00D8209F"/>
    <w:rsid w:val="00D90E8A"/>
    <w:rsid w:val="00D92FB6"/>
    <w:rsid w:val="00DA2378"/>
    <w:rsid w:val="00DB0715"/>
    <w:rsid w:val="00DB7441"/>
    <w:rsid w:val="00DD1145"/>
    <w:rsid w:val="00DD7502"/>
    <w:rsid w:val="00DE46E9"/>
    <w:rsid w:val="00DF2BD1"/>
    <w:rsid w:val="00DF3B19"/>
    <w:rsid w:val="00E04EC9"/>
    <w:rsid w:val="00E3102C"/>
    <w:rsid w:val="00E31DF4"/>
    <w:rsid w:val="00E33723"/>
    <w:rsid w:val="00E43A2E"/>
    <w:rsid w:val="00E45F7C"/>
    <w:rsid w:val="00E55930"/>
    <w:rsid w:val="00E55AEB"/>
    <w:rsid w:val="00E5667B"/>
    <w:rsid w:val="00E74446"/>
    <w:rsid w:val="00E80F25"/>
    <w:rsid w:val="00E9574F"/>
    <w:rsid w:val="00EB072A"/>
    <w:rsid w:val="00EC0103"/>
    <w:rsid w:val="00ED2377"/>
    <w:rsid w:val="00EE5F14"/>
    <w:rsid w:val="00EF1B1C"/>
    <w:rsid w:val="00F02C9C"/>
    <w:rsid w:val="00F16140"/>
    <w:rsid w:val="00F25EA3"/>
    <w:rsid w:val="00F26D56"/>
    <w:rsid w:val="00F42D26"/>
    <w:rsid w:val="00F45A73"/>
    <w:rsid w:val="00F469AD"/>
    <w:rsid w:val="00F46B61"/>
    <w:rsid w:val="00F53BEF"/>
    <w:rsid w:val="00F74EA4"/>
    <w:rsid w:val="00F8633B"/>
    <w:rsid w:val="00F92D54"/>
    <w:rsid w:val="00FA0B01"/>
    <w:rsid w:val="00FA2477"/>
    <w:rsid w:val="00FA4280"/>
    <w:rsid w:val="00FC724E"/>
    <w:rsid w:val="00FD4CCC"/>
    <w:rsid w:val="00FF467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A2"/>
    <w:pPr>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Ttulo1Char"/>
    <w:uiPriority w:val="9"/>
    <w:qFormat/>
    <w:rsid w:val="00A979F1"/>
    <w:pPr>
      <w:keepNext/>
      <w:tabs>
        <w:tab w:val="num" w:pos="360"/>
        <w:tab w:val="left" w:pos="2268"/>
      </w:tabs>
      <w:suppressAutoHyphens/>
      <w:jc w:val="both"/>
      <w:outlineLvl w:val="0"/>
    </w:pPr>
    <w:rPr>
      <w:rFonts w:ascii="Bookman Old Style" w:hAnsi="Bookman Old Style" w:cs="Bookman Old Style"/>
      <w:sz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6A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D266A2"/>
    <w:pPr>
      <w:spacing w:after="120"/>
    </w:pPr>
    <w:rPr>
      <w:rFonts w:ascii="Arial" w:hAnsi="Arial"/>
      <w:sz w:val="24"/>
    </w:rPr>
  </w:style>
  <w:style w:type="character" w:customStyle="1" w:styleId="CorpodetextoChar">
    <w:name w:val="Corpo de texto Char"/>
    <w:basedOn w:val="DefaultParagraphFont"/>
    <w:link w:val="BodyText"/>
    <w:uiPriority w:val="99"/>
    <w:rsid w:val="00D266A2"/>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732A1C"/>
    <w:rPr>
      <w:rFonts w:ascii="Tahoma" w:hAnsi="Tahoma" w:cs="Tahoma"/>
      <w:sz w:val="16"/>
      <w:szCs w:val="16"/>
    </w:rPr>
  </w:style>
  <w:style w:type="character" w:customStyle="1" w:styleId="TextodebaloChar">
    <w:name w:val="Texto de balão Char"/>
    <w:basedOn w:val="DefaultParagraphFont"/>
    <w:link w:val="BalloonText"/>
    <w:uiPriority w:val="99"/>
    <w:semiHidden/>
    <w:rsid w:val="00732A1C"/>
    <w:rPr>
      <w:rFonts w:ascii="Tahoma" w:eastAsia="Times New Roman" w:hAnsi="Tahoma" w:cs="Tahoma"/>
      <w:sz w:val="16"/>
      <w:szCs w:val="16"/>
      <w:lang w:eastAsia="pt-BR"/>
    </w:rPr>
  </w:style>
  <w:style w:type="paragraph" w:styleId="NormalWeb">
    <w:name w:val="Normal (Web)"/>
    <w:basedOn w:val="Normal"/>
    <w:uiPriority w:val="99"/>
    <w:unhideWhenUsed/>
    <w:rsid w:val="005B2225"/>
    <w:pPr>
      <w:spacing w:before="100" w:beforeAutospacing="1" w:after="100" w:afterAutospacing="1"/>
    </w:pPr>
    <w:rPr>
      <w:sz w:val="24"/>
      <w:szCs w:val="24"/>
    </w:rPr>
  </w:style>
  <w:style w:type="paragraph" w:styleId="Header">
    <w:name w:val="header"/>
    <w:basedOn w:val="Normal"/>
    <w:link w:val="CabealhoChar"/>
    <w:unhideWhenUsed/>
    <w:rsid w:val="00CC028B"/>
    <w:pPr>
      <w:tabs>
        <w:tab w:val="center" w:pos="4252"/>
        <w:tab w:val="right" w:pos="8504"/>
      </w:tabs>
    </w:pPr>
  </w:style>
  <w:style w:type="character" w:customStyle="1" w:styleId="CabealhoChar">
    <w:name w:val="Cabeçalho Char"/>
    <w:basedOn w:val="DefaultParagraphFont"/>
    <w:link w:val="Header"/>
    <w:rsid w:val="00CC028B"/>
    <w:rPr>
      <w:rFonts w:ascii="Times New Roman" w:eastAsia="Times New Roman" w:hAnsi="Times New Roman" w:cs="Times New Roman"/>
      <w:sz w:val="20"/>
      <w:szCs w:val="20"/>
      <w:lang w:eastAsia="pt-BR"/>
    </w:rPr>
  </w:style>
  <w:style w:type="paragraph" w:styleId="Footer">
    <w:name w:val="footer"/>
    <w:basedOn w:val="Normal"/>
    <w:link w:val="RodapChar"/>
    <w:unhideWhenUsed/>
    <w:rsid w:val="00CC028B"/>
    <w:pPr>
      <w:tabs>
        <w:tab w:val="center" w:pos="4252"/>
        <w:tab w:val="right" w:pos="8504"/>
      </w:tabs>
    </w:pPr>
  </w:style>
  <w:style w:type="character" w:customStyle="1" w:styleId="RodapChar">
    <w:name w:val="Rodapé Char"/>
    <w:basedOn w:val="DefaultParagraphFont"/>
    <w:link w:val="Footer"/>
    <w:rsid w:val="00CC028B"/>
    <w:rPr>
      <w:rFonts w:ascii="Times New Roman" w:eastAsia="Times New Roman" w:hAnsi="Times New Roman" w:cs="Times New Roman"/>
      <w:sz w:val="20"/>
      <w:szCs w:val="20"/>
      <w:lang w:eastAsia="pt-BR"/>
    </w:rPr>
  </w:style>
  <w:style w:type="character" w:styleId="Strong">
    <w:name w:val="Strong"/>
    <w:basedOn w:val="DefaultParagraphFont"/>
    <w:uiPriority w:val="22"/>
    <w:qFormat/>
    <w:rsid w:val="00AA60D6"/>
    <w:rPr>
      <w:b/>
      <w:bCs/>
    </w:rPr>
  </w:style>
  <w:style w:type="character" w:customStyle="1" w:styleId="Ttulo1Char">
    <w:name w:val="Título 1 Char"/>
    <w:basedOn w:val="DefaultParagraphFont"/>
    <w:link w:val="Heading1"/>
    <w:uiPriority w:val="9"/>
    <w:rsid w:val="00A979F1"/>
    <w:rPr>
      <w:rFonts w:ascii="Bookman Old Style" w:eastAsia="Times New Roman" w:hAnsi="Bookman Old Style" w:cs="Bookman Old Style"/>
      <w:sz w:val="28"/>
      <w:szCs w:val="20"/>
      <w:lang w:val="x-none" w:eastAsia="zh-CN"/>
    </w:rPr>
  </w:style>
  <w:style w:type="paragraph" w:customStyle="1" w:styleId="paragrafo">
    <w:name w:val="paragrafo"/>
    <w:basedOn w:val="Normal"/>
    <w:rsid w:val="004E7B4B"/>
    <w:pPr>
      <w:spacing w:before="100" w:beforeAutospacing="1" w:after="100" w:afterAutospacing="1"/>
    </w:pPr>
    <w:rPr>
      <w:sz w:val="24"/>
      <w:szCs w:val="24"/>
    </w:rPr>
  </w:style>
  <w:style w:type="paragraph" w:customStyle="1" w:styleId="item">
    <w:name w:val="item"/>
    <w:basedOn w:val="Normal"/>
    <w:rsid w:val="004E7B4B"/>
    <w:pPr>
      <w:spacing w:before="100" w:beforeAutospacing="1" w:after="100" w:afterAutospacing="1"/>
    </w:pPr>
    <w:rPr>
      <w:sz w:val="24"/>
      <w:szCs w:val="24"/>
    </w:rPr>
  </w:style>
  <w:style w:type="character" w:customStyle="1" w:styleId="apple-converted-space">
    <w:name w:val="apple-converted-space"/>
    <w:basedOn w:val="DefaultParagraphFont"/>
    <w:rsid w:val="004E7B4B"/>
  </w:style>
  <w:style w:type="paragraph" w:styleId="FootnoteText">
    <w:name w:val="footnote text"/>
    <w:basedOn w:val="Normal"/>
    <w:link w:val="TextodenotaderodapChar"/>
    <w:uiPriority w:val="99"/>
    <w:semiHidden/>
    <w:unhideWhenUsed/>
    <w:rsid w:val="004E3A93"/>
    <w:rPr>
      <w:rFonts w:asciiTheme="minorHAnsi" w:eastAsiaTheme="minorHAnsi" w:hAnsiTheme="minorHAnsi" w:cstheme="minorBidi"/>
      <w:lang w:eastAsia="en-US"/>
    </w:rPr>
  </w:style>
  <w:style w:type="character" w:customStyle="1" w:styleId="TextodenotaderodapChar">
    <w:name w:val="Texto de nota de rodapé Char"/>
    <w:basedOn w:val="DefaultParagraphFont"/>
    <w:link w:val="FootnoteText"/>
    <w:uiPriority w:val="99"/>
    <w:semiHidden/>
    <w:rsid w:val="004E3A93"/>
    <w:rPr>
      <w:sz w:val="20"/>
      <w:szCs w:val="20"/>
    </w:rPr>
  </w:style>
  <w:style w:type="character" w:styleId="FootnoteReference">
    <w:name w:val="footnote reference"/>
    <w:basedOn w:val="DefaultParagraphFont"/>
    <w:uiPriority w:val="99"/>
    <w:semiHidden/>
    <w:unhideWhenUsed/>
    <w:rsid w:val="004E3A93"/>
    <w:rPr>
      <w:vertAlign w:val="superscript"/>
    </w:rPr>
  </w:style>
  <w:style w:type="character" w:styleId="Hyperlink">
    <w:name w:val="Hyperlink"/>
    <w:basedOn w:val="DefaultParagraphFont"/>
    <w:uiPriority w:val="99"/>
    <w:unhideWhenUsed/>
    <w:rsid w:val="00E9574F"/>
    <w:rPr>
      <w:color w:val="0000FF" w:themeColor="hyperlink"/>
      <w:u w:val="single"/>
    </w:rPr>
  </w:style>
  <w:style w:type="character" w:styleId="Emphasis">
    <w:name w:val="Emphasis"/>
    <w:basedOn w:val="DefaultParagraphFont"/>
    <w:uiPriority w:val="20"/>
    <w:qFormat/>
    <w:rsid w:val="00D21A4F"/>
    <w:rPr>
      <w:i/>
      <w:iCs/>
    </w:rPr>
  </w:style>
  <w:style w:type="paragraph" w:styleId="ListParagraph">
    <w:name w:val="List Paragraph"/>
    <w:basedOn w:val="Normal"/>
    <w:uiPriority w:val="34"/>
    <w:qFormat/>
    <w:rsid w:val="0099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8C02-7E72-4F70-9C27-38E8A021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2771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14</cp:revision>
  <cp:lastPrinted>2021-09-01T14:14:00Z</cp:lastPrinted>
  <dcterms:created xsi:type="dcterms:W3CDTF">2025-03-24T21:55:00Z</dcterms:created>
  <dcterms:modified xsi:type="dcterms:W3CDTF">2025-03-26T17:42:00Z</dcterms:modified>
</cp:coreProperties>
</file>