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03833" w:rsidRPr="000A13F6" w:rsidP="00A26518">
      <w:pPr>
        <w:pStyle w:val="Default"/>
        <w:jc w:val="both"/>
        <w:rPr>
          <w:rFonts w:asciiTheme="minorHAnsi" w:hAnsiTheme="minorHAnsi" w:cs="Calibri"/>
          <w:b/>
          <w:color w:val="auto"/>
        </w:rPr>
      </w:pPr>
      <w:r w:rsidRPr="000A13F6">
        <w:rPr>
          <w:rFonts w:asciiTheme="minorHAnsi" w:hAnsiTheme="minorHAnsi" w:cs="Calibri"/>
          <w:b/>
          <w:color w:val="auto"/>
        </w:rPr>
        <w:t xml:space="preserve">Parecer </w:t>
      </w:r>
      <w:r w:rsidRPr="000A13F6">
        <w:rPr>
          <w:rFonts w:asciiTheme="minorHAnsi" w:hAnsiTheme="minorHAnsi" w:cs="Calibri"/>
          <w:b/>
          <w:color w:val="auto"/>
        </w:rPr>
        <w:t>J</w:t>
      </w:r>
      <w:r w:rsidRPr="000A13F6">
        <w:rPr>
          <w:rFonts w:asciiTheme="minorHAnsi" w:hAnsiTheme="minorHAnsi" w:cs="Calibri"/>
          <w:b/>
          <w:color w:val="auto"/>
        </w:rPr>
        <w:t>urídico</w:t>
      </w:r>
      <w:r w:rsidRPr="000A13F6">
        <w:rPr>
          <w:rFonts w:asciiTheme="minorHAnsi" w:hAnsiTheme="minorHAnsi" w:cs="Calibri"/>
          <w:b/>
          <w:color w:val="auto"/>
        </w:rPr>
        <w:t xml:space="preserve"> nº </w:t>
      </w:r>
      <w:r w:rsidRPr="000A13F6" w:rsidR="00A94E00">
        <w:rPr>
          <w:rFonts w:asciiTheme="minorHAnsi" w:hAnsiTheme="minorHAnsi" w:cs="Calibri"/>
          <w:b/>
          <w:color w:val="auto"/>
        </w:rPr>
        <w:t>72</w:t>
      </w:r>
      <w:r w:rsidRPr="000A13F6">
        <w:rPr>
          <w:rFonts w:asciiTheme="minorHAnsi" w:hAnsiTheme="minorHAnsi" w:cs="Calibri"/>
          <w:b/>
          <w:color w:val="auto"/>
        </w:rPr>
        <w:t>/202</w:t>
      </w:r>
      <w:r w:rsidRPr="000A13F6" w:rsidR="00ED079E">
        <w:rPr>
          <w:rFonts w:asciiTheme="minorHAnsi" w:hAnsiTheme="minorHAnsi" w:cs="Calibri"/>
          <w:b/>
          <w:color w:val="auto"/>
        </w:rPr>
        <w:t>5</w:t>
      </w:r>
      <w:r w:rsidRPr="000A13F6">
        <w:rPr>
          <w:rFonts w:asciiTheme="minorHAnsi" w:hAnsiTheme="minorHAnsi" w:cs="Calibri"/>
          <w:b/>
          <w:color w:val="auto"/>
        </w:rPr>
        <w:t>.</w:t>
      </w:r>
    </w:p>
    <w:p w:rsidR="00465199" w:rsidRPr="000A13F6" w:rsidP="00A26518">
      <w:pPr>
        <w:pStyle w:val="Default"/>
        <w:jc w:val="both"/>
        <w:rPr>
          <w:rFonts w:asciiTheme="minorHAnsi" w:hAnsiTheme="minorHAnsi" w:cs="Calibri"/>
          <w:b/>
          <w:color w:val="auto"/>
        </w:rPr>
      </w:pPr>
      <w:r w:rsidRPr="000A13F6">
        <w:rPr>
          <w:rFonts w:asciiTheme="minorHAnsi" w:hAnsiTheme="minorHAnsi" w:cs="Calibri"/>
          <w:b/>
          <w:color w:val="auto"/>
        </w:rPr>
        <w:t>Processo Legislativo nº</w:t>
      </w:r>
      <w:r w:rsidRPr="000A13F6" w:rsidR="005F0FAA">
        <w:rPr>
          <w:rFonts w:asciiTheme="minorHAnsi" w:hAnsiTheme="minorHAnsi" w:cs="Calibri"/>
          <w:b/>
          <w:color w:val="auto"/>
        </w:rPr>
        <w:t xml:space="preserve"> 1266</w:t>
      </w:r>
      <w:r w:rsidRPr="000A13F6">
        <w:rPr>
          <w:rFonts w:asciiTheme="minorHAnsi" w:hAnsiTheme="minorHAnsi" w:cs="Calibri"/>
          <w:b/>
          <w:color w:val="auto"/>
        </w:rPr>
        <w:t>/2025</w:t>
      </w:r>
      <w:r w:rsidRPr="000A13F6" w:rsidR="001F77FB">
        <w:rPr>
          <w:rFonts w:asciiTheme="minorHAnsi" w:hAnsiTheme="minorHAnsi" w:cs="Calibri"/>
          <w:b/>
          <w:color w:val="auto"/>
        </w:rPr>
        <w:t>.</w:t>
      </w:r>
    </w:p>
    <w:p w:rsidR="005F0FAA" w:rsidRPr="000A13F6" w:rsidP="00761C61">
      <w:pPr>
        <w:spacing w:after="0" w:line="240" w:lineRule="auto"/>
        <w:jc w:val="both"/>
        <w:rPr>
          <w:rFonts w:asciiTheme="minorHAnsi" w:hAnsiTheme="minorHAnsi" w:cs="Calibri"/>
        </w:rPr>
      </w:pPr>
      <w:r w:rsidRPr="000A13F6">
        <w:rPr>
          <w:rFonts w:asciiTheme="minorHAnsi" w:hAnsiTheme="minorHAnsi" w:cs="Calibri"/>
          <w:b/>
          <w:bCs/>
        </w:rPr>
        <w:t xml:space="preserve">Assunto: </w:t>
      </w:r>
      <w:r w:rsidRPr="000A13F6">
        <w:rPr>
          <w:rFonts w:asciiTheme="minorHAnsi" w:hAnsiTheme="minorHAnsi" w:cs="Calibri"/>
          <w:b/>
        </w:rPr>
        <w:t xml:space="preserve">Projeto de Lei nº </w:t>
      </w:r>
      <w:r w:rsidRPr="000A13F6">
        <w:rPr>
          <w:rFonts w:asciiTheme="minorHAnsi" w:hAnsiTheme="minorHAnsi" w:cs="Calibri"/>
          <w:b/>
        </w:rPr>
        <w:t>61</w:t>
      </w:r>
      <w:r w:rsidRPr="000A13F6">
        <w:rPr>
          <w:rFonts w:asciiTheme="minorHAnsi" w:hAnsiTheme="minorHAnsi" w:cs="Calibri"/>
          <w:b/>
        </w:rPr>
        <w:t>/202</w:t>
      </w:r>
      <w:r w:rsidRPr="000A13F6" w:rsidR="00ED079E">
        <w:rPr>
          <w:rFonts w:asciiTheme="minorHAnsi" w:hAnsiTheme="minorHAnsi" w:cs="Calibri"/>
          <w:b/>
        </w:rPr>
        <w:t>5</w:t>
      </w:r>
      <w:r w:rsidRPr="000A13F6" w:rsidR="00D92B43">
        <w:rPr>
          <w:rFonts w:asciiTheme="minorHAnsi" w:hAnsiTheme="minorHAnsi" w:cs="Calibri"/>
          <w:b/>
        </w:rPr>
        <w:t xml:space="preserve"> </w:t>
      </w:r>
      <w:r w:rsidRPr="000A13F6" w:rsidR="00194B36">
        <w:rPr>
          <w:rFonts w:asciiTheme="minorHAnsi" w:hAnsiTheme="minorHAnsi" w:cs="Calibri"/>
        </w:rPr>
        <w:t>–</w:t>
      </w:r>
      <w:r w:rsidRPr="000A13F6">
        <w:rPr>
          <w:rFonts w:asciiTheme="minorHAnsi" w:hAnsiTheme="minorHAnsi" w:cs="Calibri"/>
        </w:rPr>
        <w:t xml:space="preserve"> </w:t>
      </w:r>
      <w:r w:rsidR="000E515E">
        <w:rPr>
          <w:rFonts w:asciiTheme="minorHAnsi" w:hAnsiTheme="minorHAnsi" w:cs="Calibri"/>
        </w:rPr>
        <w:t>“</w:t>
      </w:r>
      <w:r w:rsidRPr="000A13F6">
        <w:rPr>
          <w:rFonts w:asciiTheme="minorHAnsi" w:hAnsiTheme="minorHAnsi" w:cs="Calibri"/>
        </w:rPr>
        <w:t>Revoga o inciso IV do artigo 27 da Lei nº 6.574, de 29 de dezembro de 2023, que ‘dispõe sobre a Lei de Uso e Ocupação do Solo de Va</w:t>
      </w:r>
      <w:r w:rsidR="000E515E">
        <w:rPr>
          <w:rFonts w:asciiTheme="minorHAnsi" w:hAnsiTheme="minorHAnsi" w:cs="Calibri"/>
        </w:rPr>
        <w:t>linhos e dá outras providências’”</w:t>
      </w:r>
      <w:r w:rsidRPr="000A13F6">
        <w:rPr>
          <w:rFonts w:asciiTheme="minorHAnsi" w:hAnsiTheme="minorHAnsi" w:cs="Calibri"/>
        </w:rPr>
        <w:t>.</w:t>
      </w:r>
    </w:p>
    <w:p w:rsidR="00761C61" w:rsidRPr="000A13F6" w:rsidP="00761C61">
      <w:pPr>
        <w:spacing w:after="0" w:line="240" w:lineRule="auto"/>
        <w:jc w:val="both"/>
        <w:rPr>
          <w:rFonts w:asciiTheme="minorHAnsi" w:hAnsiTheme="minorHAnsi" w:cs="Calibri"/>
          <w:b/>
        </w:rPr>
      </w:pPr>
      <w:r w:rsidRPr="000A13F6">
        <w:rPr>
          <w:rFonts w:asciiTheme="minorHAnsi" w:hAnsiTheme="minorHAnsi" w:cs="Calibri"/>
          <w:b/>
        </w:rPr>
        <w:t>Autoria do Vereador</w:t>
      </w:r>
      <w:r w:rsidRPr="000A13F6" w:rsidR="009A1D9A">
        <w:rPr>
          <w:rFonts w:asciiTheme="minorHAnsi" w:hAnsiTheme="minorHAnsi" w:cs="Calibri"/>
          <w:b/>
        </w:rPr>
        <w:t>:</w:t>
      </w:r>
      <w:r w:rsidRPr="000A13F6" w:rsidR="00ED079E">
        <w:rPr>
          <w:rFonts w:asciiTheme="minorHAnsi" w:hAnsiTheme="minorHAnsi" w:cs="Calibri"/>
          <w:b/>
        </w:rPr>
        <w:t xml:space="preserve"> Aldemar Veiga Junior</w:t>
      </w:r>
      <w:r w:rsidRPr="000A13F6">
        <w:rPr>
          <w:rFonts w:asciiTheme="minorHAnsi" w:hAnsiTheme="minorHAnsi" w:cs="Calibri"/>
          <w:b/>
        </w:rPr>
        <w:t>.</w:t>
      </w:r>
    </w:p>
    <w:p w:rsidR="00761C61" w:rsidRPr="000A13F6" w:rsidP="00761C61">
      <w:pPr>
        <w:spacing w:after="0" w:line="240" w:lineRule="auto"/>
        <w:jc w:val="both"/>
        <w:rPr>
          <w:rFonts w:asciiTheme="minorHAnsi" w:hAnsiTheme="minorHAnsi" w:cs="Calibri"/>
          <w:b/>
          <w:szCs w:val="24"/>
        </w:rPr>
      </w:pPr>
    </w:p>
    <w:p w:rsidR="003114AB" w:rsidRPr="000A13F6" w:rsidP="00761C61">
      <w:pPr>
        <w:spacing w:after="0" w:line="240" w:lineRule="auto"/>
        <w:jc w:val="both"/>
        <w:rPr>
          <w:rFonts w:asciiTheme="minorHAnsi" w:hAnsiTheme="minorHAnsi" w:cs="Calibri"/>
          <w:b/>
          <w:szCs w:val="24"/>
        </w:rPr>
      </w:pPr>
    </w:p>
    <w:p w:rsidR="001F26AC" w:rsidRPr="000A13F6" w:rsidP="00761C61">
      <w:pPr>
        <w:spacing w:after="0" w:line="240" w:lineRule="auto"/>
        <w:jc w:val="both"/>
        <w:rPr>
          <w:rFonts w:asciiTheme="minorHAnsi" w:hAnsiTheme="minorHAnsi" w:cs="Calibri"/>
          <w:b/>
          <w:szCs w:val="24"/>
        </w:rPr>
      </w:pPr>
    </w:p>
    <w:p w:rsidR="00ED079E" w:rsidRPr="000A13F6" w:rsidP="00ED079E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0A13F6">
        <w:rPr>
          <w:rFonts w:eastAsia="Calibri" w:asciiTheme="minorHAnsi" w:hAnsiTheme="minorHAnsi" w:cstheme="minorHAnsi"/>
          <w:b/>
          <w:szCs w:val="24"/>
        </w:rPr>
        <w:t>À Comissão de Justiça e Redação,</w:t>
      </w:r>
    </w:p>
    <w:p w:rsidR="00ED079E" w:rsidRPr="000A13F6" w:rsidP="00ED079E">
      <w:pPr>
        <w:spacing w:after="0" w:line="240" w:lineRule="auto"/>
        <w:jc w:val="both"/>
        <w:rPr>
          <w:rFonts w:eastAsia="Calibri" w:asciiTheme="minorHAnsi" w:hAnsiTheme="minorHAnsi" w:cstheme="minorHAnsi"/>
          <w:b/>
          <w:szCs w:val="24"/>
        </w:rPr>
      </w:pPr>
      <w:r w:rsidRPr="000A13F6">
        <w:rPr>
          <w:rFonts w:eastAsia="Calibri" w:asciiTheme="minorHAnsi" w:hAnsiTheme="minorHAnsi" w:cstheme="minorHAnsi"/>
          <w:b/>
          <w:szCs w:val="24"/>
        </w:rPr>
        <w:t xml:space="preserve">Exmo. Presidente Vereador José </w:t>
      </w:r>
      <w:bookmarkStart w:id="0" w:name="_GoBack"/>
      <w:bookmarkEnd w:id="0"/>
      <w:r w:rsidRPr="000A13F6">
        <w:rPr>
          <w:rFonts w:eastAsia="Calibri" w:asciiTheme="minorHAnsi" w:hAnsiTheme="minorHAnsi" w:cstheme="minorHAnsi"/>
          <w:b/>
          <w:szCs w:val="24"/>
        </w:rPr>
        <w:t>Osvaldo Cavalcante Beloni (Kiko Beloni).</w:t>
      </w:r>
    </w:p>
    <w:p w:rsidR="003114AB" w:rsidRPr="000A13F6" w:rsidP="00703833">
      <w:pPr>
        <w:pStyle w:val="Default"/>
        <w:spacing w:after="240" w:line="360" w:lineRule="auto"/>
        <w:jc w:val="both"/>
        <w:rPr>
          <w:rFonts w:asciiTheme="minorHAnsi" w:hAnsiTheme="minorHAnsi" w:cs="Calibri"/>
          <w:color w:val="auto"/>
        </w:rPr>
      </w:pPr>
    </w:p>
    <w:p w:rsidR="00A70C4D" w:rsidRPr="000A13F6" w:rsidP="00703833">
      <w:pPr>
        <w:pStyle w:val="Default"/>
        <w:spacing w:after="240" w:line="360" w:lineRule="auto"/>
        <w:jc w:val="both"/>
        <w:rPr>
          <w:rFonts w:asciiTheme="minorHAnsi" w:hAnsiTheme="minorHAnsi" w:cs="Calibri"/>
          <w:color w:val="auto"/>
          <w:sz w:val="4"/>
          <w:szCs w:val="4"/>
        </w:rPr>
      </w:pPr>
    </w:p>
    <w:p w:rsidR="00A70C4D" w:rsidRPr="000A13F6" w:rsidP="00703833">
      <w:pPr>
        <w:pStyle w:val="Default"/>
        <w:spacing w:after="240" w:line="360" w:lineRule="auto"/>
        <w:jc w:val="both"/>
        <w:rPr>
          <w:rFonts w:asciiTheme="minorHAnsi" w:hAnsiTheme="minorHAnsi" w:cs="Calibri"/>
          <w:color w:val="auto"/>
          <w:sz w:val="4"/>
          <w:szCs w:val="4"/>
        </w:rPr>
      </w:pPr>
    </w:p>
    <w:p w:rsidR="00CC281C" w:rsidRPr="000A13F6" w:rsidP="005F0FAA">
      <w:pPr>
        <w:spacing w:after="240" w:line="360" w:lineRule="auto"/>
        <w:ind w:firstLine="1701"/>
        <w:jc w:val="both"/>
        <w:rPr>
          <w:rFonts w:asciiTheme="minorHAnsi" w:hAnsiTheme="minorHAnsi" w:cs="Calibri"/>
        </w:rPr>
      </w:pPr>
      <w:r w:rsidRPr="000A13F6">
        <w:rPr>
          <w:rFonts w:asciiTheme="minorHAnsi" w:hAnsiTheme="minorHAnsi" w:cs="Calibri"/>
        </w:rPr>
        <w:t>Trata-se de parecer jurídico relativo ao projeto em epígrafe</w:t>
      </w:r>
      <w:r w:rsidRPr="000A13F6">
        <w:rPr>
          <w:rFonts w:asciiTheme="minorHAnsi" w:hAnsiTheme="minorHAnsi" w:cs="Calibri"/>
          <w:b/>
          <w:bCs/>
        </w:rPr>
        <w:t xml:space="preserve"> </w:t>
      </w:r>
      <w:r w:rsidRPr="000A13F6" w:rsidR="00194B36">
        <w:rPr>
          <w:rFonts w:asciiTheme="minorHAnsi" w:hAnsiTheme="minorHAnsi" w:cs="Calibri"/>
          <w:bCs/>
        </w:rPr>
        <w:t>que</w:t>
      </w:r>
      <w:r w:rsidRPr="000A13F6" w:rsidR="00ED079E">
        <w:rPr>
          <w:rFonts w:asciiTheme="minorHAnsi" w:hAnsiTheme="minorHAnsi" w:cs="Calibri"/>
          <w:bCs/>
        </w:rPr>
        <w:t xml:space="preserve"> </w:t>
      </w:r>
      <w:r w:rsidRPr="000A13F6" w:rsidR="005F0FAA">
        <w:rPr>
          <w:rFonts w:asciiTheme="minorHAnsi" w:hAnsiTheme="minorHAnsi" w:cs="Calibri"/>
          <w:bCs/>
        </w:rPr>
        <w:t>tenciona r</w:t>
      </w:r>
      <w:r w:rsidRPr="000A13F6" w:rsidR="005F0FAA">
        <w:rPr>
          <w:rFonts w:asciiTheme="minorHAnsi" w:hAnsiTheme="minorHAnsi" w:cs="Calibri"/>
        </w:rPr>
        <w:t>evogar o inciso IV do artigo 27 da Lei nº 6.574, de 29 de dezembro de 2023, que</w:t>
      </w:r>
      <w:r w:rsidRPr="000A13F6" w:rsidR="005F0FAA">
        <w:rPr>
          <w:rFonts w:asciiTheme="minorHAnsi" w:hAnsiTheme="minorHAnsi" w:cs="Calibri"/>
          <w:i/>
        </w:rPr>
        <w:t xml:space="preserve"> ‘dispõe sobre a Lei de Uso e Ocupação do Solo de Valinhos e dá outras providências’, </w:t>
      </w:r>
      <w:r w:rsidRPr="000A13F6" w:rsidR="005F0FAA">
        <w:rPr>
          <w:rFonts w:asciiTheme="minorHAnsi" w:hAnsiTheme="minorHAnsi" w:cs="Calibri"/>
        </w:rPr>
        <w:t>nos seguintes termos:</w:t>
      </w:r>
    </w:p>
    <w:tbl>
      <w:tblPr>
        <w:tblStyle w:val="TableGrid"/>
        <w:tblW w:w="0" w:type="auto"/>
        <w:tblLayout w:type="fixed"/>
        <w:tblLook w:val="04A0"/>
      </w:tblPr>
      <w:tblGrid>
        <w:gridCol w:w="4361"/>
        <w:gridCol w:w="4359"/>
      </w:tblGrid>
      <w:tr w:rsidTr="00064494">
        <w:tblPrEx>
          <w:tblW w:w="0" w:type="auto"/>
          <w:tblLayout w:type="fixed"/>
          <w:tblLook w:val="04A0"/>
        </w:tblPrEx>
        <w:trPr>
          <w:trHeight w:val="322"/>
        </w:trPr>
        <w:tc>
          <w:tcPr>
            <w:tcW w:w="4361" w:type="dxa"/>
            <w:shd w:val="clear" w:color="auto" w:fill="B8CCE4" w:themeFill="accent1" w:themeFillTint="66"/>
          </w:tcPr>
          <w:p w:rsidR="00F32192" w:rsidRPr="000A13F6" w:rsidP="0006449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32192" w:rsidRPr="000A13F6" w:rsidP="0006449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13F6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Lei nº 6.574/2023 </w:t>
            </w:r>
          </w:p>
          <w:p w:rsidR="00F32192" w:rsidRPr="000A13F6" w:rsidP="0006449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59" w:type="dxa"/>
            <w:shd w:val="clear" w:color="auto" w:fill="B8CCE4" w:themeFill="accent1" w:themeFillTint="66"/>
          </w:tcPr>
          <w:p w:rsidR="00F32192" w:rsidRPr="000A13F6" w:rsidP="0006449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:rsidR="00F32192" w:rsidRPr="000A13F6" w:rsidP="00064494">
            <w:pPr>
              <w:pStyle w:val="Default"/>
              <w:jc w:val="center"/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0A13F6">
              <w:rPr>
                <w:rFonts w:eastAsia="Times New Roman"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Projeto de Lei nº 61/2025</w:t>
            </w:r>
          </w:p>
        </w:tc>
      </w:tr>
      <w:tr w:rsidTr="00064494">
        <w:tblPrEx>
          <w:tblW w:w="0" w:type="auto"/>
          <w:tblLayout w:type="fixed"/>
          <w:tblLook w:val="04A0"/>
        </w:tblPrEx>
        <w:trPr>
          <w:trHeight w:val="115"/>
        </w:trPr>
        <w:tc>
          <w:tcPr>
            <w:tcW w:w="4361" w:type="dxa"/>
          </w:tcPr>
          <w:p w:rsidR="00F32192" w:rsidRPr="000A13F6" w:rsidP="0006449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</w:p>
          <w:p w:rsidR="00F32192" w:rsidRPr="000A13F6" w:rsidP="0006449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 w:rsidRPr="000A13F6">
              <w:rPr>
                <w:rFonts w:eastAsia="Calibri" w:asciiTheme="minorHAnsi" w:hAnsiTheme="minorHAnsi"/>
                <w:sz w:val="22"/>
                <w:szCs w:val="22"/>
              </w:rPr>
              <w:t>Art. 27. Para pedido de Diretrizes Urbanísticas o interessado deverá protocolar pedido na Prefeitura Municipal contendo, no mínimo:</w:t>
            </w:r>
          </w:p>
          <w:p w:rsidR="00F32192" w:rsidRPr="000A13F6" w:rsidP="0006449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eastAsia="Calibri" w:asciiTheme="minorHAnsi" w:hAnsiTheme="minorHAnsi"/>
                <w:sz w:val="22"/>
                <w:szCs w:val="22"/>
              </w:rPr>
            </w:pPr>
            <w:r w:rsidRPr="000A13F6">
              <w:rPr>
                <w:rFonts w:eastAsia="Calibri" w:asciiTheme="minorHAnsi" w:hAnsiTheme="minorHAnsi"/>
                <w:sz w:val="22"/>
                <w:szCs w:val="22"/>
              </w:rPr>
              <w:t>(...)</w:t>
            </w:r>
          </w:p>
          <w:p w:rsidR="00F32192" w:rsidRPr="000A13F6" w:rsidP="0006449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0A13F6">
              <w:rPr>
                <w:rFonts w:eastAsia="Calibri" w:asciiTheme="minorHAnsi" w:hAnsiTheme="minorHAnsi"/>
                <w:b/>
                <w:sz w:val="22"/>
                <w:szCs w:val="22"/>
              </w:rPr>
              <w:t>IV - Certidão Negativa de Débitos Imobiliários;</w:t>
            </w:r>
          </w:p>
        </w:tc>
        <w:tc>
          <w:tcPr>
            <w:tcW w:w="4359" w:type="dxa"/>
          </w:tcPr>
          <w:p w:rsidR="00F32192" w:rsidRPr="000A13F6" w:rsidP="0006449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  <w:p w:rsidR="00F32192" w:rsidRPr="000A13F6" w:rsidP="0006449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A13F6">
              <w:rPr>
                <w:rFonts w:asciiTheme="minorHAnsi" w:hAnsiTheme="minorHAnsi"/>
                <w:color w:val="auto"/>
                <w:sz w:val="22"/>
                <w:szCs w:val="22"/>
              </w:rPr>
              <w:t>Art. 1º. É revogado o inciso IV, do artigo 27, da Lei nº 6.574/2023.</w:t>
            </w:r>
          </w:p>
          <w:p w:rsidR="00F32192" w:rsidRPr="000A13F6" w:rsidP="0006449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  <w:tr w:rsidTr="00064494">
        <w:tblPrEx>
          <w:tblW w:w="0" w:type="auto"/>
          <w:tblLayout w:type="fixed"/>
          <w:tblLook w:val="04A0"/>
        </w:tblPrEx>
        <w:trPr>
          <w:trHeight w:val="115"/>
        </w:trPr>
        <w:tc>
          <w:tcPr>
            <w:tcW w:w="4361" w:type="dxa"/>
          </w:tcPr>
          <w:p w:rsidR="00F32192" w:rsidRPr="000A13F6" w:rsidP="00064494">
            <w:pPr>
              <w:widowControl w:val="0"/>
              <w:tabs>
                <w:tab w:val="left" w:pos="567"/>
                <w:tab w:val="left" w:pos="2693"/>
                <w:tab w:val="left" w:leader="dot" w:pos="6803"/>
                <w:tab w:val="right" w:pos="9071"/>
                <w:tab w:val="left" w:pos="9354"/>
              </w:tabs>
              <w:ind w:left="284"/>
              <w:jc w:val="both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59" w:type="dxa"/>
          </w:tcPr>
          <w:p w:rsidR="00F32192" w:rsidRPr="000A13F6" w:rsidP="0006449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0A13F6">
              <w:rPr>
                <w:rFonts w:asciiTheme="minorHAnsi" w:hAnsiTheme="minorHAnsi"/>
                <w:color w:val="auto"/>
                <w:sz w:val="22"/>
                <w:szCs w:val="22"/>
              </w:rPr>
              <w:t>Art. 2º. Esta Lei entra em vigor a partir da data de sua publicação.</w:t>
            </w:r>
          </w:p>
          <w:p w:rsidR="00F32192" w:rsidRPr="000A13F6" w:rsidP="00064494">
            <w:pPr>
              <w:pStyle w:val="Default"/>
              <w:tabs>
                <w:tab w:val="left" w:pos="1185"/>
              </w:tabs>
              <w:ind w:left="317" w:right="206"/>
              <w:jc w:val="both"/>
              <w:rPr>
                <w:rFonts w:asciiTheme="minorHAnsi" w:hAnsiTheme="minorHAnsi"/>
                <w:color w:val="auto"/>
                <w:sz w:val="22"/>
                <w:szCs w:val="22"/>
              </w:rPr>
            </w:pPr>
          </w:p>
        </w:tc>
      </w:tr>
    </w:tbl>
    <w:p w:rsidR="00F32192" w:rsidRPr="000A13F6" w:rsidP="005F0FAA">
      <w:pPr>
        <w:spacing w:after="240" w:line="360" w:lineRule="auto"/>
        <w:ind w:firstLine="1701"/>
        <w:jc w:val="both"/>
        <w:rPr>
          <w:rFonts w:asciiTheme="minorHAnsi" w:hAnsiTheme="minorHAnsi" w:cs="Calibri"/>
          <w:sz w:val="4"/>
          <w:szCs w:val="4"/>
        </w:rPr>
      </w:pPr>
    </w:p>
    <w:p w:rsidR="003114AB" w:rsidRPr="000A13F6" w:rsidP="003114AB">
      <w:pPr>
        <w:spacing w:after="240" w:line="360" w:lineRule="auto"/>
        <w:ind w:firstLine="1701"/>
        <w:jc w:val="both"/>
        <w:rPr>
          <w:rFonts w:asciiTheme="minorHAnsi" w:hAnsiTheme="minorHAnsi" w:cs="Calibri"/>
          <w:bCs/>
        </w:rPr>
      </w:pPr>
      <w:r w:rsidRPr="000A13F6">
        <w:rPr>
          <w:rFonts w:asciiTheme="minorHAnsi" w:hAnsiTheme="minorHAnsi" w:cs="Calibri"/>
          <w:bCs/>
        </w:rPr>
        <w:t>De proêmio, cumpre destacar a competência regimental da Comissão de Justiça e Redação estabelecida no artigo 38.</w:t>
      </w:r>
    </w:p>
    <w:p w:rsidR="00C743D9" w:rsidRPr="000A13F6" w:rsidP="003114AB">
      <w:pPr>
        <w:spacing w:after="240" w:line="360" w:lineRule="auto"/>
        <w:ind w:firstLine="1701"/>
        <w:jc w:val="both"/>
        <w:rPr>
          <w:rFonts w:asciiTheme="minorHAnsi" w:hAnsiTheme="minorHAnsi" w:cstheme="minorHAnsi"/>
        </w:rPr>
      </w:pPr>
      <w:r w:rsidRPr="000A13F6">
        <w:rPr>
          <w:rFonts w:asciiTheme="minorHAnsi" w:hAnsiTheme="minorHAnsi" w:cstheme="minorHAnsi"/>
        </w:rPr>
        <w:t>R</w:t>
      </w:r>
      <w:r w:rsidRPr="000A13F6">
        <w:rPr>
          <w:rFonts w:asciiTheme="minorHAnsi" w:hAnsiTheme="minorHAnsi" w:cstheme="minorHAnsi"/>
        </w:rPr>
        <w:t>essalta-se</w:t>
      </w:r>
      <w:r w:rsidRPr="000A13F6" w:rsidR="003114AB">
        <w:rPr>
          <w:rFonts w:asciiTheme="minorHAnsi" w:hAnsiTheme="minorHAnsi" w:cstheme="minorHAnsi"/>
        </w:rPr>
        <w:t>, ainda,</w:t>
      </w:r>
      <w:r w:rsidRPr="000A13F6">
        <w:rPr>
          <w:rFonts w:asciiTheme="minorHAnsi" w:hAnsiTheme="minorHAnsi" w:cstheme="minorHAnsi"/>
        </w:rPr>
        <w:t xml:space="preserve"> que a opinião jurídica exarada neste parecer não tem força vinculante, sendo meramente opinativo</w:t>
      </w:r>
      <w:r>
        <w:rPr>
          <w:rStyle w:val="FootnoteReference"/>
          <w:rFonts w:asciiTheme="minorHAnsi" w:hAnsiTheme="minorHAnsi" w:cstheme="minorHAnsi"/>
        </w:rPr>
        <w:footnoteReference w:id="2"/>
      </w:r>
      <w:r w:rsidRPr="000A13F6">
        <w:rPr>
          <w:rFonts w:asciiTheme="minorHAnsi" w:hAnsiTheme="minorHAnsi" w:cstheme="minorHAnsi"/>
        </w:rPr>
        <w:t xml:space="preserve"> não fundamentando decisão proferida pelas comissões e/ou nobres vereadores. </w:t>
      </w:r>
    </w:p>
    <w:p w:rsidR="00703833" w:rsidRPr="000A13F6" w:rsidP="00F67111">
      <w:pPr>
        <w:spacing w:after="0" w:line="360" w:lineRule="auto"/>
        <w:ind w:firstLine="1701"/>
        <w:jc w:val="both"/>
        <w:rPr>
          <w:rFonts w:asciiTheme="minorHAnsi" w:hAnsiTheme="minorHAnsi" w:cs="Calibri"/>
          <w:bCs/>
        </w:rPr>
      </w:pPr>
      <w:r w:rsidRPr="000A13F6">
        <w:rPr>
          <w:rFonts w:asciiTheme="minorHAnsi" w:hAnsiTheme="minorHAnsi" w:cs="Calibri"/>
          <w:bCs/>
        </w:rPr>
        <w:t>Nessa perspectiva, passamos à análise técnica do projeto em epígrafe solicitado.</w:t>
      </w:r>
    </w:p>
    <w:p w:rsidR="00815289" w:rsidRPr="000A13F6" w:rsidP="00815289">
      <w:pPr>
        <w:spacing w:after="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0A13F6">
        <w:rPr>
          <w:rFonts w:asciiTheme="minorHAnsi" w:hAnsiTheme="minorHAnsi" w:cs="Calibri"/>
          <w:szCs w:val="24"/>
        </w:rPr>
        <w:t>No que se refere à matéria verificamos que se amolda à Constituição Federal, pois aos Municípios foi atribuída competência para promover o adequado ordenamento territorial, vejamos o inciso VIII, do art. 30:</w:t>
      </w:r>
    </w:p>
    <w:p w:rsidR="00815289" w:rsidRPr="000A13F6" w:rsidP="0081528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0A13F6">
        <w:rPr>
          <w:rFonts w:asciiTheme="minorHAnsi" w:hAnsiTheme="minorHAnsi" w:cs="Calibri"/>
          <w:i/>
          <w:sz w:val="22"/>
          <w:szCs w:val="22"/>
        </w:rPr>
        <w:t>Art. 30. Compete aos Municípios:</w:t>
      </w:r>
    </w:p>
    <w:p w:rsidR="00815289" w:rsidRPr="000A13F6" w:rsidP="0081528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0A13F6">
        <w:rPr>
          <w:rFonts w:asciiTheme="minorHAnsi" w:hAnsiTheme="minorHAnsi" w:cs="Calibri"/>
          <w:i/>
          <w:sz w:val="22"/>
          <w:szCs w:val="22"/>
        </w:rPr>
        <w:t>(...)</w:t>
      </w:r>
    </w:p>
    <w:p w:rsidR="00815289" w:rsidRPr="000A13F6" w:rsidP="00815289">
      <w:pPr>
        <w:pStyle w:val="NormalWeb"/>
        <w:shd w:val="clear" w:color="auto" w:fill="FFFFFF"/>
        <w:spacing w:before="0" w:beforeAutospacing="0" w:after="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bookmarkStart w:id="1" w:name="art30i"/>
      <w:bookmarkStart w:id="2" w:name="art30iii"/>
      <w:bookmarkStart w:id="3" w:name="art30viii"/>
      <w:bookmarkEnd w:id="1"/>
      <w:bookmarkEnd w:id="2"/>
      <w:bookmarkEnd w:id="3"/>
      <w:r w:rsidRPr="000A13F6">
        <w:rPr>
          <w:rFonts w:asciiTheme="minorHAnsi" w:hAnsiTheme="minorHAnsi" w:cs="Calibri"/>
          <w:i/>
          <w:sz w:val="22"/>
          <w:szCs w:val="22"/>
        </w:rPr>
        <w:t xml:space="preserve">VIII - promover, no que </w:t>
      </w:r>
      <w:r w:rsidRPr="000A13F6">
        <w:rPr>
          <w:rFonts w:asciiTheme="minorHAnsi" w:hAnsiTheme="minorHAnsi" w:cs="Calibri"/>
          <w:i/>
          <w:sz w:val="22"/>
          <w:szCs w:val="22"/>
        </w:rPr>
        <w:t>couber,</w:t>
      </w:r>
      <w:r w:rsidRPr="000A13F6">
        <w:rPr>
          <w:rFonts w:asciiTheme="minorHAnsi" w:hAnsiTheme="minorHAnsi" w:cs="Calibri"/>
          <w:i/>
          <w:sz w:val="22"/>
          <w:szCs w:val="22"/>
        </w:rPr>
        <w:t xml:space="preserve"> adequado ordenamento territorial, mediante planejamento e controle do uso, do parcelamento e da ocupação do solo urbano;”</w:t>
      </w:r>
    </w:p>
    <w:p w:rsidR="00815289" w:rsidRPr="000A13F6" w:rsidP="00815289">
      <w:pPr>
        <w:pStyle w:val="NormalWeb"/>
        <w:shd w:val="clear" w:color="auto" w:fill="FFFFFF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</w:p>
    <w:p w:rsidR="00815289" w:rsidRPr="000A13F6" w:rsidP="00815289">
      <w:pPr>
        <w:pStyle w:val="tj"/>
        <w:spacing w:before="0" w:beforeAutospacing="0" w:after="240" w:afterAutospacing="0" w:line="360" w:lineRule="auto"/>
        <w:ind w:firstLine="1701"/>
        <w:jc w:val="both"/>
        <w:rPr>
          <w:rFonts w:asciiTheme="minorHAnsi" w:hAnsiTheme="minorHAnsi" w:cs="Calibri"/>
        </w:rPr>
      </w:pPr>
      <w:bookmarkStart w:id="4" w:name="art30ix"/>
      <w:bookmarkEnd w:id="4"/>
      <w:r w:rsidRPr="000A13F6">
        <w:rPr>
          <w:rFonts w:asciiTheme="minorHAnsi" w:hAnsiTheme="minorHAnsi" w:cs="Calibri"/>
        </w:rPr>
        <w:t>Nesse passo, a Lei Orgânica do Município de Valinhos (LOM) segue o mandamento constitucional:</w:t>
      </w:r>
    </w:p>
    <w:p w:rsidR="00815289" w:rsidRPr="000A13F6" w:rsidP="00815289">
      <w:pPr>
        <w:pStyle w:val="tj"/>
        <w:spacing w:before="0" w:beforeAutospacing="0" w:after="12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0A13F6">
        <w:rPr>
          <w:rFonts w:asciiTheme="minorHAnsi" w:hAnsiTheme="minorHAnsi" w:cs="Calibri"/>
          <w:i/>
          <w:sz w:val="22"/>
          <w:szCs w:val="22"/>
        </w:rPr>
        <w:t>“Art.</w:t>
      </w:r>
      <w:r w:rsidRPr="000A13F6">
        <w:rPr>
          <w:rFonts w:asciiTheme="minorHAnsi" w:hAnsiTheme="minorHAnsi" w:cs="Calibri"/>
          <w:i/>
          <w:sz w:val="22"/>
          <w:szCs w:val="22"/>
        </w:rPr>
        <w:t xml:space="preserve"> 5º Compete ao Município, no exercício de sua autonomia, legislar sobre tudo quanto respeite ao interesse local, tendo como objetivo o pleno desenvolvimento de suas funções sociais e garantir o bem-estar de seus habitantes, cabendo-lhe privativamente, entre outras, as seguintes atribuições:</w:t>
      </w:r>
    </w:p>
    <w:p w:rsidR="00815289" w:rsidRPr="000A13F6" w:rsidP="00815289">
      <w:pPr>
        <w:pStyle w:val="tj"/>
        <w:tabs>
          <w:tab w:val="left" w:pos="4365"/>
        </w:tabs>
        <w:spacing w:before="0" w:beforeAutospacing="0" w:after="12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0A13F6">
        <w:rPr>
          <w:rFonts w:asciiTheme="minorHAnsi" w:hAnsiTheme="minorHAnsi" w:cs="Calibri"/>
          <w:i/>
          <w:sz w:val="22"/>
          <w:szCs w:val="22"/>
        </w:rPr>
        <w:t>(...</w:t>
      </w:r>
      <w:r w:rsidRPr="000A13F6">
        <w:rPr>
          <w:rFonts w:asciiTheme="minorHAnsi" w:hAnsiTheme="minorHAnsi" w:cs="Calibri"/>
          <w:i/>
          <w:sz w:val="22"/>
          <w:szCs w:val="22"/>
        </w:rPr>
        <w:t>)</w:t>
      </w:r>
      <w:r w:rsidRPr="000A13F6">
        <w:rPr>
          <w:rFonts w:asciiTheme="minorHAnsi" w:hAnsiTheme="minorHAnsi" w:cs="Calibri"/>
          <w:i/>
          <w:sz w:val="22"/>
          <w:szCs w:val="22"/>
        </w:rPr>
        <w:tab/>
      </w:r>
    </w:p>
    <w:p w:rsidR="00815289" w:rsidRPr="000A13F6" w:rsidP="00815289">
      <w:pPr>
        <w:pStyle w:val="tj"/>
        <w:spacing w:before="0" w:beforeAutospacing="0" w:after="240" w:afterAutospacing="0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0A13F6">
        <w:rPr>
          <w:rFonts w:asciiTheme="minorHAnsi" w:hAnsiTheme="minorHAnsi" w:cs="Calibri"/>
          <w:i/>
          <w:sz w:val="22"/>
          <w:szCs w:val="22"/>
        </w:rPr>
        <w:t>IX - promover adequado ordenamento territorial, mediante planejamento e controle quer do uso como do parcelamento e ocupação do solo, estabelecendo normas de edificações, de loteamento e arruamento;”</w:t>
      </w:r>
    </w:p>
    <w:p w:rsidR="00815289" w:rsidRPr="000A13F6" w:rsidP="00815289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0A13F6">
        <w:rPr>
          <w:rFonts w:asciiTheme="minorHAnsi" w:hAnsiTheme="minorHAnsi" w:cs="Calibri"/>
          <w:szCs w:val="24"/>
        </w:rPr>
        <w:t>No mesmo sentido, o projeto observa o art. 30, I, da CF, reproduzido no art. 8º, inciso I, da LOM:</w:t>
      </w:r>
    </w:p>
    <w:p w:rsidR="00815289" w:rsidRPr="000A13F6" w:rsidP="00815289">
      <w:pPr>
        <w:shd w:val="clear" w:color="auto" w:fill="FFFFFF"/>
        <w:spacing w:after="120" w:line="240" w:lineRule="auto"/>
        <w:ind w:left="2268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0A13F6">
        <w:rPr>
          <w:rFonts w:asciiTheme="minorHAnsi" w:hAnsiTheme="minorHAnsi" w:cs="Calibri"/>
          <w:i/>
          <w:iCs/>
          <w:sz w:val="22"/>
          <w:szCs w:val="22"/>
        </w:rPr>
        <w:t>“Art. 30.</w:t>
      </w:r>
      <w:r w:rsidRPr="000A13F6">
        <w:rPr>
          <w:rFonts w:asciiTheme="minorHAnsi" w:hAnsiTheme="minorHAnsi" w:cs="Calibri"/>
          <w:i/>
          <w:iCs/>
          <w:sz w:val="22"/>
          <w:szCs w:val="22"/>
        </w:rPr>
        <w:t xml:space="preserve"> Compete aos Municípios:</w:t>
      </w:r>
    </w:p>
    <w:p w:rsidR="00815289" w:rsidRPr="000A13F6" w:rsidP="00815289">
      <w:pPr>
        <w:shd w:val="clear" w:color="auto" w:fill="FFFFFF"/>
        <w:spacing w:after="120" w:line="240" w:lineRule="auto"/>
        <w:ind w:left="2268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0A13F6">
        <w:rPr>
          <w:rFonts w:asciiTheme="minorHAnsi" w:hAnsiTheme="minorHAnsi" w:cs="Calibri"/>
          <w:i/>
          <w:iCs/>
          <w:sz w:val="22"/>
          <w:szCs w:val="22"/>
        </w:rPr>
        <w:t>I - legislar sobre assuntos de interesse local;”</w:t>
      </w:r>
    </w:p>
    <w:p w:rsidR="00815289" w:rsidRPr="000A13F6" w:rsidP="00815289">
      <w:pPr>
        <w:pStyle w:val="Default"/>
        <w:spacing w:after="120"/>
        <w:ind w:left="2268"/>
        <w:jc w:val="both"/>
        <w:rPr>
          <w:rFonts w:asciiTheme="minorHAnsi" w:hAnsiTheme="minorHAnsi" w:cs="Calibri"/>
          <w:i/>
          <w:iCs/>
          <w:color w:val="auto"/>
          <w:sz w:val="22"/>
          <w:szCs w:val="22"/>
        </w:rPr>
      </w:pPr>
    </w:p>
    <w:p w:rsidR="00815289" w:rsidRPr="000A13F6" w:rsidP="00815289">
      <w:pPr>
        <w:pStyle w:val="Default"/>
        <w:spacing w:after="120"/>
        <w:ind w:left="2268"/>
        <w:jc w:val="both"/>
        <w:rPr>
          <w:rFonts w:asciiTheme="minorHAnsi" w:hAnsiTheme="minorHAnsi" w:cs="Calibri"/>
          <w:i/>
          <w:iCs/>
          <w:color w:val="auto"/>
          <w:sz w:val="22"/>
          <w:szCs w:val="22"/>
        </w:rPr>
      </w:pPr>
      <w:r w:rsidRPr="000A13F6">
        <w:rPr>
          <w:rFonts w:asciiTheme="minorHAnsi" w:hAnsiTheme="minorHAnsi" w:cs="Calibri"/>
          <w:i/>
          <w:iCs/>
          <w:color w:val="auto"/>
          <w:sz w:val="22"/>
          <w:szCs w:val="22"/>
        </w:rPr>
        <w:t>“Artigo</w:t>
      </w:r>
      <w:r w:rsidRPr="000A13F6">
        <w:rPr>
          <w:rFonts w:asciiTheme="minorHAnsi" w:hAnsiTheme="minorHAnsi" w:cs="Calibri"/>
          <w:i/>
          <w:iCs/>
          <w:color w:val="auto"/>
          <w:sz w:val="22"/>
          <w:szCs w:val="22"/>
        </w:rPr>
        <w:t xml:space="preserve"> 8º -</w:t>
      </w:r>
      <w:r w:rsidRPr="000A13F6">
        <w:rPr>
          <w:rFonts w:asciiTheme="minorHAnsi" w:hAnsiTheme="minorHAnsi" w:cs="Calibri"/>
          <w:b/>
          <w:bCs/>
          <w:i/>
          <w:iCs/>
          <w:color w:val="auto"/>
          <w:sz w:val="22"/>
          <w:szCs w:val="22"/>
        </w:rPr>
        <w:t xml:space="preserve"> </w:t>
      </w:r>
      <w:r w:rsidRPr="000A13F6">
        <w:rPr>
          <w:rFonts w:asciiTheme="minorHAnsi" w:hAnsiTheme="minorHAnsi" w:cs="Calibri"/>
          <w:i/>
          <w:iCs/>
          <w:color w:val="auto"/>
          <w:sz w:val="22"/>
          <w:szCs w:val="22"/>
        </w:rPr>
        <w:t>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</w:t>
      </w:r>
    </w:p>
    <w:p w:rsidR="00815289" w:rsidRPr="000A13F6" w:rsidP="00815289">
      <w:pPr>
        <w:spacing w:after="120" w:line="240" w:lineRule="auto"/>
        <w:ind w:left="2268"/>
        <w:jc w:val="both"/>
        <w:rPr>
          <w:rFonts w:asciiTheme="minorHAnsi" w:hAnsiTheme="minorHAnsi" w:cs="Calibri"/>
          <w:i/>
          <w:iCs/>
          <w:sz w:val="22"/>
          <w:szCs w:val="22"/>
        </w:rPr>
      </w:pPr>
      <w:r w:rsidRPr="000A13F6">
        <w:rPr>
          <w:rFonts w:asciiTheme="minorHAnsi" w:hAnsiTheme="minorHAnsi" w:cs="Calibri"/>
          <w:i/>
          <w:iCs/>
          <w:sz w:val="22"/>
          <w:szCs w:val="22"/>
        </w:rPr>
        <w:t>I - legislar sobre assuntos de interesse local;”</w:t>
      </w:r>
    </w:p>
    <w:p w:rsidR="00815289" w:rsidRPr="000A13F6" w:rsidP="00815289">
      <w:pPr>
        <w:spacing w:before="360" w:after="120"/>
        <w:ind w:left="2835"/>
        <w:jc w:val="both"/>
        <w:rPr>
          <w:rFonts w:asciiTheme="minorHAnsi" w:hAnsiTheme="minorHAnsi" w:cs="Calibri"/>
          <w:i/>
          <w:iCs/>
          <w:sz w:val="4"/>
          <w:szCs w:val="4"/>
        </w:rPr>
      </w:pPr>
    </w:p>
    <w:p w:rsidR="00815289" w:rsidRPr="000A13F6" w:rsidP="00815289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0A13F6">
        <w:rPr>
          <w:rFonts w:asciiTheme="minorHAnsi" w:hAnsiTheme="minorHAnsi" w:cs="Calibri"/>
          <w:szCs w:val="24"/>
        </w:rPr>
        <w:t xml:space="preserve">Na doutrina encontramos o conceito de interesse local: </w:t>
      </w:r>
    </w:p>
    <w:p w:rsidR="00815289" w:rsidRPr="000A13F6" w:rsidP="00815289">
      <w:pPr>
        <w:spacing w:after="240" w:line="240" w:lineRule="auto"/>
        <w:ind w:left="2268"/>
        <w:jc w:val="both"/>
        <w:rPr>
          <w:rFonts w:asciiTheme="minorHAnsi" w:hAnsiTheme="minorHAnsi" w:cs="Calibri"/>
          <w:i/>
          <w:sz w:val="22"/>
          <w:szCs w:val="22"/>
        </w:rPr>
      </w:pPr>
      <w:r w:rsidRPr="000A13F6">
        <w:rPr>
          <w:rFonts w:asciiTheme="minorHAnsi" w:hAnsiTheme="minorHAnsi" w:cs="Calibri"/>
          <w:i/>
          <w:sz w:val="22"/>
          <w:szCs w:val="22"/>
        </w:rPr>
        <w:t xml:space="preserve">“Interesse local não é interesse exclusivo do Município; não é interesse privativo da localidade; não é interesse único dos munícipes. Se se exigisse essa exclusividade, essa </w:t>
      </w:r>
      <w:r w:rsidRPr="000A13F6">
        <w:rPr>
          <w:rFonts w:asciiTheme="minorHAnsi" w:hAnsiTheme="minorHAnsi" w:cs="Calibri"/>
          <w:i/>
          <w:sz w:val="22"/>
          <w:szCs w:val="22"/>
        </w:rPr>
        <w:t>privatividade</w:t>
      </w:r>
      <w:r w:rsidRPr="000A13F6">
        <w:rPr>
          <w:rFonts w:asciiTheme="minorHAnsi" w:hAnsiTheme="minorHAnsi" w:cs="Calibri"/>
          <w:i/>
          <w:sz w:val="22"/>
          <w:szCs w:val="22"/>
        </w:rPr>
        <w:t xml:space="preserve">, essa unicidade, bem reduzido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O que define e caracteriza o ‘interesse local’, inscrito como dogma constitucional, é a predominância do interesse do Município sobre o do Estado ou da União. (...) Concluindo, podemos dizer que tudo quanto repercutir direta e indiretamente na vida municipal é de interesse peculiar do Município, embora possa interessar também indireta e mediatamente ao Estado-membro e à União. O provimento de tais negócios cabe exclusivamente Município interessado, não sendo lícita a ingerência de poderes estranhos sem ofensa à autonomia local.” </w:t>
      </w:r>
      <w:r w:rsidRPr="000A13F6">
        <w:rPr>
          <w:rFonts w:asciiTheme="minorHAnsi" w:hAnsiTheme="minorHAnsi" w:cs="Calibri"/>
          <w:sz w:val="22"/>
          <w:szCs w:val="22"/>
        </w:rPr>
        <w:t xml:space="preserve">(MEIRELLES, Hely Lopes, Direito Municipal Brasileiro, 16ª </w:t>
      </w:r>
      <w:r w:rsidRPr="000A13F6">
        <w:rPr>
          <w:rFonts w:asciiTheme="minorHAnsi" w:hAnsiTheme="minorHAnsi" w:cs="Calibri"/>
          <w:sz w:val="22"/>
          <w:szCs w:val="22"/>
        </w:rPr>
        <w:t>ed</w:t>
      </w:r>
      <w:r w:rsidRPr="000A13F6">
        <w:rPr>
          <w:rFonts w:asciiTheme="minorHAnsi" w:hAnsiTheme="minorHAnsi" w:cs="Calibri"/>
          <w:sz w:val="22"/>
          <w:szCs w:val="22"/>
        </w:rPr>
        <w:t>, Malheiros Editores, p. 111)</w:t>
      </w:r>
    </w:p>
    <w:p w:rsidR="00815289" w:rsidRPr="000A13F6" w:rsidP="00815289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eastAsia="Calibri" w:asciiTheme="minorHAnsi" w:hAnsiTheme="minorHAnsi" w:cstheme="minorHAnsi"/>
          <w:szCs w:val="24"/>
        </w:rPr>
      </w:pPr>
      <w:r w:rsidRPr="000A13F6">
        <w:rPr>
          <w:rFonts w:eastAsia="Calibri" w:asciiTheme="minorHAnsi" w:hAnsiTheme="minorHAnsi" w:cstheme="minorHAnsi"/>
          <w:szCs w:val="24"/>
        </w:rPr>
        <w:t xml:space="preserve">No tocante à </w:t>
      </w:r>
      <w:r w:rsidRPr="000A13F6">
        <w:rPr>
          <w:rFonts w:eastAsia="Calibri" w:asciiTheme="minorHAnsi" w:hAnsiTheme="minorHAnsi" w:cstheme="minorHAnsi"/>
          <w:b/>
          <w:szCs w:val="24"/>
        </w:rPr>
        <w:t>competência para deflagrar o processo legislativo</w:t>
      </w:r>
      <w:r w:rsidRPr="000A13F6">
        <w:rPr>
          <w:rFonts w:eastAsia="Calibri" w:asciiTheme="minorHAnsi" w:hAnsiTheme="minorHAnsi" w:cstheme="minorHAnsi"/>
          <w:szCs w:val="24"/>
        </w:rPr>
        <w:t xml:space="preserve"> destacamos que não se trata de matéria de inciativa privativa do Prefeito, conforme </w:t>
      </w:r>
      <w:r w:rsidRPr="000A13F6">
        <w:rPr>
          <w:rFonts w:eastAsia="Calibri" w:asciiTheme="minorHAnsi" w:hAnsiTheme="minorHAnsi" w:cstheme="minorHAnsi"/>
          <w:szCs w:val="24"/>
        </w:rPr>
        <w:t>art. 48 da Lei Orgânica do Município e art. 24, § 2º Constituição Bandeirante, logo, o projeto neste aspecto atende os preceitos legais em relação à regra de iniciativa:</w:t>
      </w:r>
    </w:p>
    <w:p w:rsidR="00815289" w:rsidRPr="000A13F6" w:rsidP="00815289">
      <w:pPr>
        <w:pStyle w:val="ListParagraph"/>
        <w:numPr>
          <w:ilvl w:val="0"/>
          <w:numId w:val="3"/>
        </w:numPr>
        <w:spacing w:before="120" w:after="0" w:line="240" w:lineRule="auto"/>
        <w:ind w:left="2268" w:firstLine="0"/>
        <w:jc w:val="both"/>
        <w:rPr>
          <w:rFonts w:eastAsia="Calibri" w:asciiTheme="minorHAnsi" w:hAnsiTheme="minorHAnsi" w:cstheme="minorHAnsi"/>
          <w:b/>
        </w:rPr>
      </w:pPr>
      <w:r w:rsidRPr="000A13F6">
        <w:rPr>
          <w:rFonts w:eastAsia="Calibri" w:asciiTheme="minorHAnsi" w:hAnsiTheme="minorHAnsi" w:cstheme="minorHAnsi"/>
          <w:b/>
        </w:rPr>
        <w:t>Lei Orgânica do Município</w:t>
      </w:r>
    </w:p>
    <w:p w:rsidR="00815289" w:rsidRPr="000A13F6" w:rsidP="00815289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b/>
          <w:i/>
          <w:sz w:val="22"/>
          <w:szCs w:val="22"/>
        </w:rPr>
        <w:t>Art. 48.</w:t>
      </w:r>
      <w:r w:rsidRPr="000A13F6">
        <w:rPr>
          <w:rFonts w:eastAsia="Calibri" w:asciiTheme="minorHAnsi" w:hAnsiTheme="minorHAnsi"/>
          <w:i/>
          <w:sz w:val="22"/>
          <w:szCs w:val="22"/>
        </w:rPr>
        <w:t xml:space="preserve"> Compete, exclusivamente, ao Prefeito a iniciativa dos projetos de lei que disponham sobre:</w:t>
      </w:r>
    </w:p>
    <w:p w:rsidR="00815289" w:rsidRPr="000A13F6" w:rsidP="00815289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15289" w:rsidRPr="000A13F6" w:rsidP="00815289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II - criação, estruturação e atribuições das Secretarias Municipais e órgãos da administração pública;</w:t>
      </w:r>
    </w:p>
    <w:p w:rsidR="00815289" w:rsidRPr="000A13F6" w:rsidP="00815289">
      <w:pPr>
        <w:autoSpaceDE w:val="0"/>
        <w:autoSpaceDN w:val="0"/>
        <w:adjustRightInd w:val="0"/>
        <w:spacing w:before="80" w:after="0" w:line="240" w:lineRule="auto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III - servidores públicos do Município, seu regime jurídico, provimento de cargos, estabilidade e aposentadoria;</w:t>
      </w:r>
    </w:p>
    <w:p w:rsidR="00815289" w:rsidRPr="000A13F6" w:rsidP="00815289">
      <w:pPr>
        <w:pStyle w:val="Default"/>
        <w:spacing w:before="80"/>
        <w:ind w:left="2268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A13F6">
        <w:rPr>
          <w:rFonts w:asciiTheme="minorHAnsi" w:hAnsiTheme="minorHAnsi"/>
          <w:i/>
          <w:color w:val="auto"/>
          <w:sz w:val="22"/>
          <w:szCs w:val="22"/>
        </w:rPr>
        <w:t>IV - abertura de créditos adicionais.</w:t>
      </w:r>
    </w:p>
    <w:p w:rsidR="00815289" w:rsidRPr="000A13F6" w:rsidP="00815289">
      <w:pPr>
        <w:pStyle w:val="Default"/>
        <w:spacing w:before="80"/>
        <w:ind w:left="2268"/>
        <w:jc w:val="both"/>
        <w:rPr>
          <w:rFonts w:asciiTheme="minorHAnsi" w:hAnsiTheme="minorHAnsi"/>
          <w:i/>
          <w:color w:val="auto"/>
          <w:sz w:val="12"/>
          <w:szCs w:val="12"/>
        </w:rPr>
      </w:pPr>
    </w:p>
    <w:p w:rsidR="00815289" w:rsidRPr="000A13F6" w:rsidP="00815289">
      <w:pPr>
        <w:pStyle w:val="Default"/>
        <w:numPr>
          <w:ilvl w:val="0"/>
          <w:numId w:val="3"/>
        </w:numPr>
        <w:spacing w:before="80"/>
        <w:ind w:left="2268" w:firstLine="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0A13F6">
        <w:rPr>
          <w:rFonts w:asciiTheme="minorHAnsi" w:hAnsiTheme="minorHAnsi" w:cstheme="minorHAnsi"/>
          <w:b/>
          <w:color w:val="auto"/>
          <w:sz w:val="22"/>
          <w:szCs w:val="22"/>
        </w:rPr>
        <w:t>Constituição do Estado de São Paulo</w:t>
      </w:r>
    </w:p>
    <w:p w:rsidR="00815289" w:rsidRPr="000A13F6" w:rsidP="00815289">
      <w:pPr>
        <w:pStyle w:val="Default"/>
        <w:spacing w:before="80"/>
        <w:ind w:left="2268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0A13F6">
        <w:rPr>
          <w:rFonts w:asciiTheme="minorHAnsi" w:hAnsiTheme="minorHAnsi"/>
          <w:b/>
          <w:bCs/>
          <w:i/>
          <w:color w:val="auto"/>
          <w:sz w:val="22"/>
          <w:szCs w:val="22"/>
        </w:rPr>
        <w:t>Artigo 24</w:t>
      </w:r>
      <w:r w:rsidRPr="000A13F6">
        <w:rPr>
          <w:rFonts w:asciiTheme="minorHAnsi" w:hAnsiTheme="minorHAnsi"/>
          <w:i/>
          <w:color w:val="auto"/>
          <w:sz w:val="22"/>
          <w:szCs w:val="22"/>
        </w:rPr>
        <w:t xml:space="preserve"> - A iniciativa das leis complementares e ordinárias cabe a qualquer membro ou comissão da Assembléia Legislativa, ao Governador do Estado, ao Tribunal de Justiça, ao Procurador-Geral de Justiça e aos cidadãos, na forma e nos casos previstos nesta Constituição.</w:t>
      </w:r>
    </w:p>
    <w:p w:rsidR="00815289" w:rsidRPr="000A13F6" w:rsidP="00815289">
      <w:pPr>
        <w:pStyle w:val="Default"/>
        <w:spacing w:before="80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A13F6">
        <w:rPr>
          <w:rFonts w:asciiTheme="minorHAnsi" w:hAnsiTheme="minorHAnsi"/>
          <w:b/>
          <w:bCs/>
          <w:i/>
          <w:color w:val="auto"/>
          <w:sz w:val="22"/>
          <w:szCs w:val="22"/>
        </w:rPr>
        <w:t>(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>...)</w:t>
      </w:r>
    </w:p>
    <w:p w:rsidR="00815289" w:rsidRPr="000A13F6" w:rsidP="00815289">
      <w:pPr>
        <w:pStyle w:val="paragrafo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b/>
          <w:i/>
          <w:sz w:val="22"/>
          <w:szCs w:val="22"/>
        </w:rPr>
        <w:t>§ 2º</w:t>
      </w:r>
      <w:r w:rsidRPr="000A13F6">
        <w:rPr>
          <w:rFonts w:eastAsia="Calibri" w:asciiTheme="minorHAnsi" w:hAnsiTheme="minorHAnsi"/>
          <w:i/>
          <w:sz w:val="22"/>
          <w:szCs w:val="22"/>
        </w:rPr>
        <w:t xml:space="preserve"> - Compete, exclusivamente, ao Governador do Estado a iniciativa das leis que disponham sobre:</w:t>
      </w:r>
    </w:p>
    <w:p w:rsidR="00815289" w:rsidRPr="000A13F6" w:rsidP="00815289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1 - criação e extinção de cargos, funções ou empregos públicos na administração direta e autárquica, bem como a fixação da respectiva remuneração;</w:t>
      </w:r>
    </w:p>
    <w:p w:rsidR="00815289" w:rsidRPr="000A13F6" w:rsidP="00815289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2 - criação e extinção das Secretarias de Estado e órgãos da administração pública, observado o disposto no art. 47, XIX; (NR) - Redação dada pela Emenda Constitucional nº 21, de 14/2/2006.</w:t>
      </w:r>
    </w:p>
    <w:p w:rsidR="00815289" w:rsidRPr="000A13F6" w:rsidP="00815289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3 - organização da Procuradoria Geral do Estado e da Defensoria Pública do Estado, observadas as normas gerais da União;</w:t>
      </w:r>
    </w:p>
    <w:p w:rsidR="00815289" w:rsidRPr="000A13F6" w:rsidP="00815289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4 - servidores públicos do Estado, seu regime jurídico, provimento de cargos, estabilidade e aposentadoria; (NR) - Redação dada pela Emenda Constitucional nº 21, de 14/2/2006.</w:t>
      </w:r>
    </w:p>
    <w:p w:rsidR="00815289" w:rsidRPr="000A13F6" w:rsidP="00815289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 xml:space="preserve">5 - militares, seu regime jurídico, provimento de cargos, promoções, estabilidade, remuneração, reforma e transferência para inatividade, </w:t>
      </w:r>
      <w:r w:rsidRPr="000A13F6">
        <w:rPr>
          <w:rFonts w:eastAsia="Calibri" w:asciiTheme="minorHAnsi" w:hAnsiTheme="minorHAnsi"/>
          <w:i/>
          <w:sz w:val="22"/>
          <w:szCs w:val="22"/>
        </w:rPr>
        <w:t>bem como fixação ou alteração do efetivo da Polícia Militar; (NR) - Redação dada pela Emenda Constitucional nº 21, de 14/2/2006.</w:t>
      </w:r>
    </w:p>
    <w:p w:rsidR="00815289" w:rsidRPr="000A13F6" w:rsidP="00815289">
      <w:pPr>
        <w:pStyle w:val="item"/>
        <w:spacing w:before="80" w:beforeAutospacing="0" w:after="0" w:afterAutospacing="0"/>
        <w:ind w:left="2268"/>
        <w:jc w:val="both"/>
        <w:rPr>
          <w:rFonts w:eastAsia="Calibri" w:asciiTheme="minorHAnsi" w:hAnsiTheme="minorHAnsi"/>
          <w:i/>
          <w:sz w:val="22"/>
          <w:szCs w:val="22"/>
        </w:rPr>
      </w:pPr>
      <w:r w:rsidRPr="000A13F6">
        <w:rPr>
          <w:rFonts w:eastAsia="Calibri" w:asciiTheme="minorHAnsi" w:hAnsiTheme="minorHAnsi"/>
          <w:i/>
          <w:sz w:val="22"/>
          <w:szCs w:val="22"/>
        </w:rPr>
        <w:t>6 - criação</w:t>
      </w:r>
      <w:r w:rsidRPr="000A13F6">
        <w:rPr>
          <w:rFonts w:eastAsia="Calibri" w:asciiTheme="minorHAnsi" w:hAnsiTheme="minorHAnsi"/>
          <w:i/>
          <w:sz w:val="22"/>
          <w:szCs w:val="22"/>
        </w:rPr>
        <w:t>, alteração ou supressão de cartórios notariais e de registros públicos</w:t>
      </w:r>
    </w:p>
    <w:p w:rsidR="00815289" w:rsidRPr="000A13F6" w:rsidP="00815289">
      <w:pPr>
        <w:spacing w:after="240" w:line="360" w:lineRule="auto"/>
        <w:ind w:firstLine="1701"/>
        <w:jc w:val="both"/>
        <w:rPr>
          <w:rFonts w:asciiTheme="minorHAnsi" w:hAnsiTheme="minorHAnsi" w:cs="Calibri"/>
          <w:sz w:val="4"/>
          <w:szCs w:val="4"/>
        </w:rPr>
      </w:pPr>
    </w:p>
    <w:p w:rsidR="00815289" w:rsidRPr="000A13F6" w:rsidP="00815289">
      <w:pPr>
        <w:spacing w:after="240" w:line="360" w:lineRule="auto"/>
        <w:ind w:firstLine="1701"/>
        <w:jc w:val="both"/>
        <w:rPr>
          <w:rFonts w:asciiTheme="minorHAnsi" w:hAnsiTheme="minorHAnsi" w:cs="Calibri"/>
          <w:szCs w:val="24"/>
        </w:rPr>
      </w:pPr>
      <w:r w:rsidRPr="000A13F6">
        <w:rPr>
          <w:rFonts w:asciiTheme="minorHAnsi" w:hAnsiTheme="minorHAnsi" w:cs="Calibri"/>
          <w:szCs w:val="24"/>
        </w:rPr>
        <w:t>Nessa ordem de ideias, a princípio, no que tange à competência para deflagração, infere-se que a matéria disciplinada no projeto não se encontra no restrito rol de matérias de iniciativa privativa do Chefe do Executivo.</w:t>
      </w:r>
    </w:p>
    <w:p w:rsidR="00815289" w:rsidRPr="000A13F6" w:rsidP="00815289">
      <w:pPr>
        <w:spacing w:after="240" w:line="360" w:lineRule="auto"/>
        <w:ind w:firstLine="1701"/>
        <w:jc w:val="both"/>
        <w:rPr>
          <w:rFonts w:asciiTheme="minorHAnsi" w:hAnsiTheme="minorHAnsi" w:cs="Calibri"/>
          <w:u w:val="single"/>
        </w:rPr>
      </w:pPr>
      <w:r w:rsidRPr="000A13F6">
        <w:rPr>
          <w:rFonts w:asciiTheme="minorHAnsi" w:hAnsiTheme="minorHAnsi" w:cs="Calibri"/>
        </w:rPr>
        <w:t>Aliás, acerca dos limites da competência legislativa municipal dos membros do Poder Legislativo destacamos</w:t>
      </w:r>
      <w:r w:rsidRPr="000A13F6">
        <w:rPr>
          <w:rFonts w:asciiTheme="minorHAnsi" w:hAnsiTheme="minorHAnsi" w:cs="Calibri"/>
          <w:b/>
        </w:rPr>
        <w:t xml:space="preserve"> </w:t>
      </w:r>
      <w:r w:rsidRPr="000A13F6">
        <w:rPr>
          <w:rFonts w:asciiTheme="minorHAnsi" w:hAnsiTheme="minorHAnsi" w:cs="Calibri"/>
          <w:u w:val="single"/>
        </w:rPr>
        <w:t xml:space="preserve">decisão do Colendo Supremo Tribunal Federal que forneceu paradigma na arbitragem dos limites da competência legislativa entre o Chefe do Poder Executivo Municipal e os Membros do Poder Legislativo desta esfera federativa. </w:t>
      </w:r>
    </w:p>
    <w:p w:rsidR="00815289" w:rsidRPr="000A13F6" w:rsidP="00815289">
      <w:pPr>
        <w:pStyle w:val="Default"/>
        <w:tabs>
          <w:tab w:val="left" w:pos="1701"/>
        </w:tabs>
        <w:spacing w:after="120" w:line="360" w:lineRule="auto"/>
        <w:jc w:val="both"/>
        <w:rPr>
          <w:rFonts w:asciiTheme="minorHAnsi" w:hAnsiTheme="minorHAnsi" w:cs="Calibri"/>
          <w:b/>
          <w:color w:val="auto"/>
        </w:rPr>
      </w:pPr>
      <w:r w:rsidRPr="000A13F6">
        <w:rPr>
          <w:rFonts w:asciiTheme="minorHAnsi" w:hAnsiTheme="minorHAnsi" w:cs="Calibri"/>
          <w:color w:val="auto"/>
        </w:rPr>
        <w:t xml:space="preserve"> </w:t>
      </w:r>
      <w:r w:rsidRPr="000A13F6">
        <w:rPr>
          <w:rFonts w:asciiTheme="minorHAnsi" w:hAnsiTheme="minorHAnsi" w:cs="Calibri"/>
          <w:color w:val="auto"/>
        </w:rPr>
        <w:tab/>
        <w:t xml:space="preserve">Trata-se do </w:t>
      </w:r>
      <w:r w:rsidRPr="000A13F6">
        <w:rPr>
          <w:rFonts w:asciiTheme="minorHAnsi" w:hAnsiTheme="minorHAnsi" w:cs="Calibri"/>
          <w:b/>
          <w:color w:val="auto"/>
        </w:rPr>
        <w:t>tema nº 917 de Repercussão geral (Paradigma ARE 878911)</w:t>
      </w:r>
      <w:r w:rsidRPr="000A13F6">
        <w:rPr>
          <w:rFonts w:asciiTheme="minorHAnsi" w:hAnsiTheme="minorHAnsi" w:cs="Calibri"/>
          <w:color w:val="auto"/>
        </w:rPr>
        <w:t xml:space="preserve"> que recebeu a seguinte redação:</w:t>
      </w:r>
    </w:p>
    <w:p w:rsidR="00815289" w:rsidRPr="000A13F6" w:rsidP="00A70C4D">
      <w:pPr>
        <w:pStyle w:val="Default"/>
        <w:spacing w:after="120" w:line="288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15289" w:rsidRPr="000A13F6" w:rsidP="00A70C4D">
      <w:pPr>
        <w:pStyle w:val="Default"/>
        <w:spacing w:line="288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0A13F6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0A13F6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0A13F6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</w:t>
      </w:r>
      <w:r w:rsidRPr="000A13F6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Repercussão geral reconhecida com reafirmação da jurisprudência desta Corte. 5. Recurso extraordinário provido. </w:t>
      </w:r>
    </w:p>
    <w:p w:rsidR="00815289" w:rsidRPr="000A13F6" w:rsidP="00815289">
      <w:pPr>
        <w:pStyle w:val="Default"/>
        <w:spacing w:line="264" w:lineRule="auto"/>
        <w:ind w:left="2268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 w:rsidRPr="000A13F6">
        <w:rPr>
          <w:rFonts w:asciiTheme="minorHAnsi" w:hAnsiTheme="minorHAnsi" w:cstheme="minorHAnsi"/>
          <w:i/>
          <w:color w:val="auto"/>
          <w:sz w:val="20"/>
          <w:szCs w:val="20"/>
        </w:rPr>
        <w:t xml:space="preserve">(ARE 878911 RG, </w:t>
      </w:r>
      <w:r w:rsidRPr="000A13F6">
        <w:rPr>
          <w:rFonts w:asciiTheme="minorHAnsi" w:hAnsiTheme="minorHAnsi" w:cstheme="minorHAnsi"/>
          <w:i/>
          <w:color w:val="auto"/>
          <w:sz w:val="20"/>
          <w:szCs w:val="20"/>
        </w:rPr>
        <w:t>Relator(</w:t>
      </w:r>
      <w:r w:rsidRPr="000A13F6">
        <w:rPr>
          <w:rFonts w:asciiTheme="minorHAnsi" w:hAnsiTheme="minorHAnsi" w:cstheme="minorHAnsi"/>
          <w:i/>
          <w:color w:val="auto"/>
          <w:sz w:val="20"/>
          <w:szCs w:val="20"/>
        </w:rPr>
        <w:t xml:space="preserve">a): Min. GILMAR MENDES, julgado em 29/09/2016, PROCESSO ELETRÔNICO REPERCUSSÃO GERAL - MÉRITO DJe-217 DIVULG 10-10-2016 PUBLIC 11-10-2016 ) </w:t>
      </w:r>
    </w:p>
    <w:p w:rsidR="00815289" w:rsidRPr="000A13F6" w:rsidP="00815289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0A13F6">
        <w:rPr>
          <w:rFonts w:asciiTheme="minorHAnsi" w:hAnsiTheme="minorHAnsi" w:cstheme="minorHAnsi"/>
          <w:color w:val="auto"/>
        </w:rPr>
        <w:t xml:space="preserve">Assim, consoante entendimento da Suprema Corte (Tema nº917 Repercussão Geral) a iniciativa dos vereadores </w:t>
      </w:r>
      <w:r w:rsidRPr="000A13F6">
        <w:rPr>
          <w:rFonts w:asciiTheme="minorHAnsi" w:hAnsiTheme="minorHAnsi" w:cstheme="minorHAnsi"/>
          <w:color w:val="auto"/>
        </w:rPr>
        <w:t>é</w:t>
      </w:r>
      <w:r w:rsidRPr="000A13F6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da Administração Pública; a atribuição de seus órgãos e o regime jurídico de servidores públicos, ainda que as propostas legislativas impliquem em criação de despesas.</w:t>
      </w:r>
    </w:p>
    <w:p w:rsidR="00815289" w:rsidRPr="000A13F6" w:rsidP="00815289">
      <w:pPr>
        <w:pStyle w:val="NormalWeb"/>
        <w:spacing w:line="360" w:lineRule="auto"/>
        <w:ind w:firstLine="1701"/>
        <w:jc w:val="both"/>
        <w:rPr>
          <w:rFonts w:asciiTheme="minorHAnsi" w:hAnsiTheme="minorHAnsi" w:cstheme="minorHAnsi"/>
        </w:rPr>
      </w:pPr>
      <w:r w:rsidRPr="000A13F6">
        <w:rPr>
          <w:rFonts w:asciiTheme="minorHAnsi" w:hAnsiTheme="minorHAnsi" w:cstheme="minorHAnsi"/>
        </w:rPr>
        <w:t>Noutro aspecto, cumpre observar que o projeto visa impedir a chamada “</w:t>
      </w:r>
      <w:r w:rsidRPr="000A13F6">
        <w:rPr>
          <w:rFonts w:asciiTheme="minorHAnsi" w:hAnsiTheme="minorHAnsi" w:cstheme="minorHAnsi"/>
          <w:i/>
        </w:rPr>
        <w:t>sanção política</w:t>
      </w:r>
      <w:r w:rsidRPr="000A13F6">
        <w:rPr>
          <w:rFonts w:asciiTheme="minorHAnsi" w:hAnsiTheme="minorHAnsi" w:cstheme="minorHAnsi"/>
        </w:rPr>
        <w:t>”, em outras palavras tenciona coibir meio indireto coercitivo de cobrança, no caso a exigência de certidão negativa de débitos fiscais municipais para obtenção de licença de obra.</w:t>
      </w:r>
    </w:p>
    <w:p w:rsidR="00815289" w:rsidRPr="000A13F6" w:rsidP="00815289">
      <w:pPr>
        <w:pStyle w:val="NormalWeb"/>
        <w:spacing w:before="0" w:beforeAutospacing="0" w:after="120" w:afterAutospacing="0"/>
        <w:ind w:firstLine="1701"/>
        <w:jc w:val="both"/>
        <w:rPr>
          <w:rFonts w:asciiTheme="minorHAnsi" w:hAnsiTheme="minorHAnsi" w:cstheme="minorHAnsi"/>
        </w:rPr>
      </w:pPr>
      <w:r w:rsidRPr="000A13F6">
        <w:rPr>
          <w:rFonts w:asciiTheme="minorHAnsi" w:hAnsiTheme="minorHAnsi" w:cstheme="minorHAnsi"/>
        </w:rPr>
        <w:t>A esse respeito, colacionamos entendimento do C. Supremo Tribunal Federal:</w:t>
      </w: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sz w:val="22"/>
          <w:szCs w:val="22"/>
        </w:rPr>
        <w:t xml:space="preserve">Tema 856 </w:t>
      </w: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sz w:val="22"/>
          <w:szCs w:val="22"/>
        </w:rPr>
        <w:t>(...)</w:t>
      </w:r>
    </w:p>
    <w:p w:rsidR="00815289" w:rsidRPr="000A13F6" w:rsidP="00815289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13F6">
        <w:rPr>
          <w:rFonts w:asciiTheme="minorHAnsi" w:hAnsiTheme="minorHAnsi" w:cstheme="minorHAnsi"/>
          <w:i/>
          <w:sz w:val="22"/>
          <w:szCs w:val="22"/>
        </w:rPr>
        <w:t>II - É inconstitucional a restrição ilegítima ao livre exercício de atividade econômica ou profissional, quando imposta como meio de cobrança indireta de tributos.</w:t>
      </w:r>
    </w:p>
    <w:p w:rsidR="00A70C4D" w:rsidRPr="000A13F6" w:rsidP="00815289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sz w:val="22"/>
          <w:szCs w:val="22"/>
        </w:rPr>
        <w:t>Súmula 547</w:t>
      </w: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sz w:val="22"/>
          <w:szCs w:val="22"/>
        </w:rPr>
        <w:t>Enunciado</w:t>
      </w:r>
    </w:p>
    <w:p w:rsidR="00815289" w:rsidRPr="000A13F6" w:rsidP="00815289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13F6">
        <w:rPr>
          <w:rFonts w:asciiTheme="minorHAnsi" w:hAnsiTheme="minorHAnsi" w:cstheme="minorHAnsi"/>
          <w:i/>
          <w:sz w:val="22"/>
          <w:szCs w:val="22"/>
        </w:rPr>
        <w:t>Não é lícito à autoridade proibir que o contribuinte em débito adquira estampilhas, despache mercadorias nas alfândegas e exerça suas atividades profissionais.</w:t>
      </w: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sz w:val="22"/>
          <w:szCs w:val="22"/>
        </w:rPr>
        <w:t>Súmula 323</w:t>
      </w:r>
    </w:p>
    <w:p w:rsidR="00815289" w:rsidRPr="000A13F6" w:rsidP="00815289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13F6">
        <w:rPr>
          <w:rFonts w:asciiTheme="minorHAnsi" w:hAnsiTheme="minorHAnsi" w:cstheme="minorHAnsi"/>
          <w:i/>
          <w:sz w:val="22"/>
          <w:szCs w:val="22"/>
        </w:rPr>
        <w:t>É inadmissível a apreensão de mercadorias como meio coercitivo para pagamento de tributos.</w:t>
      </w:r>
    </w:p>
    <w:p w:rsidR="00815289" w:rsidRPr="000A13F6" w:rsidP="00815289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sz w:val="22"/>
          <w:szCs w:val="22"/>
        </w:rPr>
        <w:t>Súmula 70</w:t>
      </w:r>
    </w:p>
    <w:p w:rsidR="00815289" w:rsidRPr="000A13F6" w:rsidP="00815289">
      <w:pPr>
        <w:pStyle w:val="NormalWeb"/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0A13F6">
        <w:rPr>
          <w:rFonts w:asciiTheme="minorHAnsi" w:hAnsiTheme="minorHAnsi" w:cstheme="minorHAnsi"/>
          <w:b/>
          <w:i/>
          <w:sz w:val="22"/>
          <w:szCs w:val="22"/>
        </w:rPr>
        <w:t>Enunciado</w:t>
      </w:r>
    </w:p>
    <w:p w:rsidR="00815289" w:rsidRPr="000A13F6" w:rsidP="00815289">
      <w:pPr>
        <w:pStyle w:val="NormalWeb"/>
        <w:pBdr>
          <w:bottom w:val="single" w:sz="12" w:space="1" w:color="auto"/>
        </w:pBdr>
        <w:spacing w:before="0" w:beforeAutospacing="0" w:after="12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13F6">
        <w:rPr>
          <w:rFonts w:asciiTheme="minorHAnsi" w:hAnsiTheme="minorHAnsi" w:cstheme="minorHAnsi"/>
          <w:i/>
          <w:sz w:val="22"/>
          <w:szCs w:val="22"/>
        </w:rPr>
        <w:t>É inadmissível a interdição de estabelecimento como meio coercitivo para cobrança de tributo.</w:t>
      </w:r>
    </w:p>
    <w:p w:rsidR="00815289" w:rsidRPr="000A13F6" w:rsidP="00815289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815289" w:rsidRPr="000A13F6" w:rsidP="00815289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15289" w:rsidRPr="000A13F6" w:rsidP="00815289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"EMENTA: AGRAVO REGIMENTAL NO RECURSO EXTRAORDINÁRIO COM AGRAVO. DIREITO TRIBUTÁRIO. 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NECESSIDADE DE RECOLHIMENTO DE ISS-QN PARA LIBERAÇÃO DE "HABITE-SE" DE IMÓVEL. SANÇÃO POLÍTICA. IMPOSSIBILIDADE DO USO DE MEIOS COERCITIVOS PARA COMPELIR AO PAGAMENTO DE TRIBUTOS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. PRECEDENTES. NATUREZA JURÍDICA DO "HABITE-SE": SÚMULA N. 280 DO SUPREMO TRIBUNAL FEDERAL. AGRAVO REGIMENTAL AO QUAL SE NEGA PROVIMENTO".</w:t>
      </w:r>
      <w:r w:rsidRPr="000A13F6">
        <w:rPr>
          <w:rFonts w:asciiTheme="minorHAnsi" w:hAnsiTheme="minorHAnsi" w:cstheme="minorHAnsi"/>
          <w:i/>
          <w:sz w:val="22"/>
          <w:szCs w:val="22"/>
        </w:rPr>
        <w:t xml:space="preserve"> (STF, ARE 1181820 </w:t>
      </w:r>
      <w:r w:rsidRPr="000A13F6">
        <w:rPr>
          <w:rFonts w:asciiTheme="minorHAnsi" w:hAnsiTheme="minorHAnsi" w:cstheme="minorHAnsi"/>
          <w:i/>
          <w:sz w:val="22"/>
          <w:szCs w:val="22"/>
        </w:rPr>
        <w:t>AgR</w:t>
      </w:r>
      <w:r w:rsidRPr="000A13F6">
        <w:rPr>
          <w:rFonts w:asciiTheme="minorHAnsi" w:hAnsiTheme="minorHAnsi" w:cstheme="minorHAnsi"/>
          <w:i/>
          <w:sz w:val="22"/>
          <w:szCs w:val="22"/>
        </w:rPr>
        <w:t xml:space="preserve">-terceiro, relator(a): </w:t>
      </w:r>
      <w:r w:rsidRPr="000A13F6">
        <w:rPr>
          <w:rFonts w:asciiTheme="minorHAnsi" w:hAnsiTheme="minorHAnsi" w:cstheme="minorHAnsi"/>
          <w:i/>
          <w:sz w:val="22"/>
          <w:szCs w:val="22"/>
        </w:rPr>
        <w:t>Cármen</w:t>
      </w:r>
      <w:r w:rsidRPr="000A13F6">
        <w:rPr>
          <w:rFonts w:asciiTheme="minorHAnsi" w:hAnsiTheme="minorHAnsi" w:cstheme="minorHAnsi"/>
          <w:i/>
          <w:sz w:val="22"/>
          <w:szCs w:val="22"/>
        </w:rPr>
        <w:t xml:space="preserve"> Lúcia, 2ª Turma, julgado em 05/11/2019, Processo Eletrônico DJe-256  DIVULG 22-11-2019  PUBLIC 25-11-2019).</w:t>
      </w:r>
    </w:p>
    <w:p w:rsidR="00815289" w:rsidRPr="000A13F6" w:rsidP="00815289">
      <w:pPr>
        <w:pStyle w:val="NormalWeb"/>
        <w:spacing w:before="0" w:beforeAutospacing="0" w:after="0" w:afterAutospacing="0" w:line="264" w:lineRule="auto"/>
        <w:ind w:left="2268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815289" w:rsidRPr="000A13F6" w:rsidP="00815289">
      <w:pPr>
        <w:pStyle w:val="NormalWeb"/>
        <w:spacing w:before="0" w:beforeAutospacing="0" w:after="0" w:afterAutospacing="0" w:line="360" w:lineRule="auto"/>
        <w:ind w:firstLine="1701"/>
        <w:jc w:val="both"/>
        <w:rPr>
          <w:rFonts w:asciiTheme="minorHAnsi" w:hAnsiTheme="minorHAnsi" w:cstheme="minorHAnsi"/>
        </w:rPr>
      </w:pPr>
      <w:r w:rsidRPr="000A13F6">
        <w:rPr>
          <w:rFonts w:asciiTheme="minorHAnsi" w:hAnsiTheme="minorHAnsi" w:cstheme="minorHAnsi"/>
        </w:rPr>
        <w:t>No mesmo sentido, colacionamos decisões do E. Tribunal de Justiça do Estado de São Paulo:</w:t>
      </w:r>
    </w:p>
    <w:p w:rsidR="00815289" w:rsidRPr="000A13F6" w:rsidP="00A70C4D">
      <w:pPr>
        <w:pStyle w:val="NormalWeb"/>
        <w:spacing w:before="0" w:beforeAutospacing="0" w:after="0" w:afterAutospacing="0" w:line="300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INCIDENTE DE ARGUIÇÃO DE INCONSTITUCIONALIDADE – Artigos 8º, inciso III, 'c', 14 e 15 da Lei nº 13.558, de 14 de abril de 2003, que 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>exigem a comprovação de quitação do ISS – Imposto sobre Serviços, para a regularização de edificação e concessão de "habite-se"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no Município de São Paulo – 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Meio de coação ao pagamento da dívida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- 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Ofensa aos artigos 5º, incisos XIII, LIV, LV, e 170, parágrafo único, da Constituição Federal, bem como aos artigos 111 e 144 da Constituição Bandeirante – Violação dos princípios da razoabilidade e proporcionalidade -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Incidente acolhido, com a consequente declaração de inconstitucionalidade dos artigos 8º, inciso III, 'c', 14 e 15 da Lei nº 13.558/2003</w:t>
      </w:r>
      <w:r w:rsidRPr="000A13F6" w:rsidR="00A70C4D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(TJSP;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 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Incidente De Arguição de 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Inconstitucionalidade Cível 0038938-06.2019.8.26.0000; Relator (a): 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Elcio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Trujillo; Órgão Julgador: Órgão Especial; Tribunal de Justiça de São Paulo - N/A; Data do Julgamento: 10/06/2020; Data de Registro: 11/06/2020)</w:t>
      </w:r>
    </w:p>
    <w:p w:rsidR="00815289" w:rsidRPr="000A13F6" w:rsidP="00815289">
      <w:pPr>
        <w:pStyle w:val="NormalWeb"/>
        <w:pBdr>
          <w:bottom w:val="single" w:sz="12" w:space="1" w:color="auto"/>
        </w:pBdr>
        <w:spacing w:before="0" w:beforeAutospacing="0" w:after="0" w:afterAutospacing="0"/>
        <w:ind w:left="2268"/>
        <w:jc w:val="both"/>
        <w:rPr>
          <w:rFonts w:ascii="Verdana" w:hAnsi="Verdana"/>
          <w:sz w:val="17"/>
          <w:szCs w:val="17"/>
          <w:shd w:val="clear" w:color="auto" w:fill="FFFFFF"/>
        </w:rPr>
      </w:pPr>
    </w:p>
    <w:p w:rsidR="00815289" w:rsidRPr="000A13F6" w:rsidP="00815289">
      <w:pPr>
        <w:pStyle w:val="NormalWeb"/>
        <w:pBdr>
          <w:bottom w:val="single" w:sz="6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sz w:val="22"/>
          <w:szCs w:val="22"/>
        </w:rPr>
      </w:pPr>
    </w:p>
    <w:p w:rsidR="00815289" w:rsidRPr="000A13F6" w:rsidP="00815289">
      <w:pPr>
        <w:pStyle w:val="NormalWeb"/>
        <w:pBdr>
          <w:bottom w:val="single" w:sz="6" w:space="1" w:color="auto"/>
        </w:pBdr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13F6">
        <w:rPr>
          <w:rFonts w:asciiTheme="minorHAnsi" w:hAnsiTheme="minorHAnsi" w:cstheme="minorHAnsi"/>
          <w:sz w:val="22"/>
          <w:szCs w:val="22"/>
        </w:rPr>
        <w:t>"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AGRAVO DE INSTRUMENTO — 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Decisão que indeferiu pedido de liminar que pretendia que a análise do processo de emissão de 'habite-se' ao empreendimento 'Parque Joinville' se desse independentemente da apresentação da certidão negativa de débitos (CND) exigida pelo artigo 88 da Lei Complementar nº 5/1992 da Municipalidade de Jundiaí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— Administração Pública que tem à sua disposição medidas judiciais e extrajudiciais próprias à cobrança direta dos valores a ela devidos, no bojo das quais se asseguram os meios necessários à satisfação dos débitos em face dela constituídos ao mesmo tempo em que se preservam os direitos e as garantias do contribuinte — 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Recurso provido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". </w:t>
      </w:r>
    </w:p>
    <w:p w:rsidR="00815289" w:rsidRPr="000A13F6" w:rsidP="00815289">
      <w:pPr>
        <w:pStyle w:val="NormalWeb"/>
        <w:pBdr>
          <w:bottom w:val="single" w:sz="6" w:space="1" w:color="auto"/>
        </w:pBdr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(TJSP; Agravo de Instrumento 2012625-03.2021.8.26.0000; relator (a): 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Aliende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Ribeiro; Órgão Julgador: 1ª Câmara de Direito Público; Foro de Jacareí – Vara da Fazenda Pública; Data do Julgamento: 05/02/2021; Data de Registro: 05/02/2021).</w:t>
      </w:r>
    </w:p>
    <w:p w:rsidR="00815289" w:rsidRPr="000A13F6" w:rsidP="00815289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:rsidR="00815289" w:rsidRPr="000A13F6" w:rsidP="00815289">
      <w:pPr>
        <w:pStyle w:val="NormalWeb"/>
        <w:spacing w:before="0" w:beforeAutospacing="0" w:after="0" w:afterAutospacing="0" w:line="276" w:lineRule="auto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ARGUIÇÃO DE INCONSTITUCIONALIDADE – Artigo 6º, inciso IV, da Lei nº 4.261, de 04 de novembro de 2015, do Município de Guarujá que 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exige a apresentação da certidão de tributos do imóvel, emitida pela Prefeitura Municipal de Guarujá, para obtenção do Alvará de Regularização Imobiliária e da Carta de "Habite-se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" – Afirmação da Câmara suscitante, de que referido dispositivo padece de vício de inconstitucionalidade, pois a 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exigência de condicionamento do pagamento de tributo para a expedição de alvará e "habite-se" é uma forma indireta de se cobrar tri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butos sem a garantia do contraditório, da ampla defesa e do devido processo legal, nos termos do artigo 5º, incisos LIV e LV, da Constituição Federal – </w:t>
      </w:r>
      <w:r w:rsidRPr="000A13F6">
        <w:rPr>
          <w:rFonts w:asciiTheme="minorHAnsi" w:hAnsiTheme="minorHAnsi" w:cstheme="minorHAnsi"/>
          <w:b/>
          <w:i/>
          <w:iCs/>
          <w:sz w:val="22"/>
          <w:szCs w:val="22"/>
        </w:rPr>
        <w:t>Meio coercitivo indireto de cobrança, também chamado de sanção política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– Inconstitucionalidade – Precedentes da Suprema Corte e deste Colendo Órgão Especial – Ofensa aos artigos 5º, incisos XIII, LIV, LV, e 170, parágrafo único, da Constituição Federal – Arguição 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acolhida. Acolhe-se a arguição para declarar a inconstitucionalidade do artigo 6º, inciso IV, da Lei nº 4.261, de 04 de novembro de 2015, do Município de Guarujá. </w:t>
      </w:r>
    </w:p>
    <w:p w:rsidR="00815289" w:rsidRPr="000A13F6" w:rsidP="00815289">
      <w:pPr>
        <w:pStyle w:val="NormalWeb"/>
        <w:spacing w:before="0" w:beforeAutospacing="0" w:after="0" w:afterAutospacing="0"/>
        <w:ind w:left="226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0A13F6">
        <w:rPr>
          <w:rFonts w:asciiTheme="minorHAnsi" w:hAnsiTheme="minorHAnsi" w:cstheme="minorHAnsi"/>
          <w:i/>
          <w:iCs/>
          <w:sz w:val="22"/>
          <w:szCs w:val="22"/>
        </w:rPr>
        <w:t>(TJSP;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 xml:space="preserve">  </w:t>
      </w:r>
      <w:r w:rsidRPr="000A13F6">
        <w:rPr>
          <w:rFonts w:asciiTheme="minorHAnsi" w:hAnsiTheme="minorHAnsi" w:cstheme="minorHAnsi"/>
          <w:i/>
          <w:iCs/>
          <w:sz w:val="22"/>
          <w:szCs w:val="22"/>
        </w:rPr>
        <w:t>Incidente De Arguição de Inconstitucionalidade Cível 0015110-15.2018.8.26.0000; Relator (a): Ricardo Anafe; Órgão Julgador: Órgão Especial; Foro de Guarujá - Vara da Fazenda Pública; Data do Julgamento: 01/08/2018; Data de Registro: 03/08/2018)</w:t>
      </w:r>
    </w:p>
    <w:p w:rsidR="00815289" w:rsidRPr="000A13F6" w:rsidP="00815289">
      <w:pPr>
        <w:pStyle w:val="NormalWeb"/>
        <w:spacing w:line="360" w:lineRule="auto"/>
        <w:ind w:firstLine="1701"/>
        <w:jc w:val="both"/>
        <w:rPr>
          <w:rFonts w:asciiTheme="minorHAnsi" w:hAnsiTheme="minorHAnsi" w:cs="Calibri"/>
        </w:rPr>
      </w:pPr>
      <w:r w:rsidRPr="000A13F6">
        <w:rPr>
          <w:rFonts w:asciiTheme="minorHAnsi" w:hAnsiTheme="minorHAnsi" w:cs="Calibri"/>
        </w:rPr>
        <w:t>Por fim, quanto ao aspecto gramatical e lógico o projeto atende aos preceitos da Lei Complementar nº 95/98 que dispõe sobre a elaboração, a redação, a alteração e a consolidação das leis.</w:t>
      </w:r>
    </w:p>
    <w:p w:rsidR="00815289" w:rsidRPr="000A13F6" w:rsidP="00815289">
      <w:pPr>
        <w:pStyle w:val="BodyText"/>
        <w:spacing w:after="240" w:line="360" w:lineRule="auto"/>
        <w:ind w:firstLine="1701"/>
        <w:jc w:val="both"/>
        <w:rPr>
          <w:rFonts w:asciiTheme="minorHAnsi" w:hAnsiTheme="minorHAnsi" w:cs="Calibri"/>
          <w:b/>
          <w:szCs w:val="24"/>
        </w:rPr>
      </w:pPr>
      <w:r w:rsidRPr="000A13F6">
        <w:rPr>
          <w:rFonts w:asciiTheme="minorHAnsi" w:hAnsiTheme="minorHAnsi" w:cs="Calibri"/>
          <w:szCs w:val="24"/>
        </w:rPr>
        <w:t>Ante todo o exposto, opinamos pela constitucionalidade e legalidade do projeto</w:t>
      </w:r>
      <w:r w:rsidRPr="000A13F6">
        <w:rPr>
          <w:rFonts w:asciiTheme="minorHAnsi" w:hAnsiTheme="minorHAnsi" w:cs="Calibri"/>
        </w:rPr>
        <w:t>.</w:t>
      </w:r>
      <w:r w:rsidRPr="000A13F6">
        <w:rPr>
          <w:rFonts w:asciiTheme="minorHAnsi" w:hAnsiTheme="minorHAnsi" w:cs="Calibri"/>
          <w:szCs w:val="24"/>
        </w:rPr>
        <w:t xml:space="preserve"> No exame do mérito, o Plenário é soberano.</w:t>
      </w:r>
    </w:p>
    <w:p w:rsidR="00815289" w:rsidRPr="000A13F6" w:rsidP="00815289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0A13F6">
        <w:rPr>
          <w:rFonts w:asciiTheme="minorHAnsi" w:hAnsiTheme="minorHAnsi" w:cstheme="minorHAnsi"/>
          <w:szCs w:val="24"/>
        </w:rPr>
        <w:t>É o parecer, a superior consideração.</w:t>
      </w:r>
    </w:p>
    <w:p w:rsidR="00815289" w:rsidRPr="000A13F6" w:rsidP="00815289">
      <w:pPr>
        <w:spacing w:after="0" w:line="360" w:lineRule="auto"/>
        <w:ind w:firstLine="1701"/>
        <w:jc w:val="both"/>
        <w:rPr>
          <w:rFonts w:asciiTheme="minorHAnsi" w:hAnsiTheme="minorHAnsi" w:cs="Tahoma"/>
          <w:iCs/>
          <w:szCs w:val="24"/>
        </w:rPr>
      </w:pPr>
      <w:r w:rsidRPr="000A13F6">
        <w:rPr>
          <w:rFonts w:asciiTheme="minorHAnsi" w:hAnsiTheme="minorHAnsi" w:cs="Tahoma"/>
          <w:iCs/>
          <w:szCs w:val="24"/>
        </w:rPr>
        <w:t>Procuradoria, aos 14 de março de 2025.</w:t>
      </w:r>
    </w:p>
    <w:p w:rsidR="00815289" w:rsidRPr="000A13F6" w:rsidP="00815289">
      <w:pPr>
        <w:tabs>
          <w:tab w:val="left" w:pos="5130"/>
        </w:tabs>
        <w:spacing w:after="0" w:line="360" w:lineRule="auto"/>
        <w:rPr>
          <w:rFonts w:asciiTheme="minorHAnsi" w:hAnsiTheme="minorHAnsi" w:cstheme="minorHAnsi"/>
        </w:rPr>
      </w:pPr>
    </w:p>
    <w:p w:rsidR="00815289" w:rsidRPr="000A13F6" w:rsidP="00815289">
      <w:pPr>
        <w:tabs>
          <w:tab w:val="left" w:pos="5130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p w:rsidR="00815289" w:rsidRPr="000A13F6" w:rsidP="00815289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Theme="minorHAnsi" w:hAnsiTheme="minorHAnsi" w:cstheme="minorHAnsi"/>
          <w:szCs w:val="24"/>
        </w:rPr>
      </w:pPr>
    </w:p>
    <w:p w:rsidR="00815289" w:rsidRPr="000A13F6" w:rsidP="00815289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0A13F6">
        <w:rPr>
          <w:rFonts w:asciiTheme="minorHAnsi" w:hAnsiTheme="minorHAnsi" w:cstheme="minorHAnsi"/>
          <w:b/>
          <w:szCs w:val="24"/>
        </w:rPr>
        <w:t>Rosemeire de Souza Cardoso Barbosa                                   Tiago Fadel Malghosian</w:t>
      </w:r>
    </w:p>
    <w:p w:rsidR="00815289" w:rsidRPr="000A13F6" w:rsidP="00815289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A13F6">
        <w:rPr>
          <w:rFonts w:asciiTheme="minorHAnsi" w:hAnsiTheme="minorHAnsi" w:cstheme="minorHAnsi"/>
          <w:b/>
          <w:szCs w:val="24"/>
        </w:rPr>
        <w:t>Procuradora - OAB/SP 308.298                                    Procurador - OAB/SP 319.159</w:t>
      </w:r>
    </w:p>
    <w:p w:rsidR="00815289" w:rsidRPr="000A13F6" w:rsidP="00815289">
      <w:pPr>
        <w:spacing w:after="0" w:line="240" w:lineRule="auto"/>
        <w:jc w:val="center"/>
        <w:rPr>
          <w:rFonts w:asciiTheme="minorHAnsi" w:hAnsiTheme="minorHAnsi" w:cs="Calibri"/>
        </w:rPr>
      </w:pPr>
      <w:r w:rsidRPr="000A13F6">
        <w:rPr>
          <w:rFonts w:asciiTheme="minorHAnsi" w:hAnsiTheme="minorHAnsi" w:cstheme="minorHAnsi"/>
          <w:szCs w:val="24"/>
        </w:rPr>
        <w:t>Assinatura eletrônica                                                     Assinatura eletrônica</w:t>
      </w:r>
    </w:p>
    <w:p w:rsidR="00252ADC" w:rsidRPr="000A13F6" w:rsidP="00815289">
      <w:pPr>
        <w:pStyle w:val="Default"/>
        <w:spacing w:line="360" w:lineRule="auto"/>
        <w:ind w:firstLine="1701"/>
        <w:jc w:val="both"/>
        <w:rPr>
          <w:rFonts w:asciiTheme="minorHAnsi" w:hAnsiTheme="minorHAnsi" w:cs="Calibri"/>
          <w:color w:val="auto"/>
        </w:rPr>
      </w:pPr>
    </w:p>
    <w:sectPr w:rsidSect="003D0BDE">
      <w:headerReference w:type="default" r:id="rId6"/>
      <w:footerReference w:type="default" r:id="rId7"/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B4778F" w:rsidP="00AA2773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B4778F" w:rsidP="000F6284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B4778F" w:rsidP="000F6284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B4778F" w:rsidP="000F6284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B4778F" w:rsidP="000F6284">
            <w:pPr>
              <w:pStyle w:val="Footer"/>
              <w:ind w:left="-1985" w:right="-313"/>
              <w:jc w:val="center"/>
            </w:pPr>
          </w:p>
          <w:p w:rsidR="00B4778F" w:rsidP="000F6284">
            <w:pPr>
              <w:pStyle w:val="Footer"/>
              <w:ind w:left="-1985" w:right="-313"/>
              <w:jc w:val="center"/>
            </w:pPr>
          </w:p>
          <w:p w:rsidR="00B4778F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E515E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0E515E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4778F">
      <w:pPr>
        <w:spacing w:after="0" w:line="240" w:lineRule="auto"/>
      </w:pPr>
      <w:r>
        <w:separator/>
      </w:r>
    </w:p>
  </w:footnote>
  <w:footnote w:type="continuationSeparator" w:id="1">
    <w:p w:rsidR="00B4778F">
      <w:pPr>
        <w:spacing w:after="0" w:line="240" w:lineRule="auto"/>
      </w:pPr>
      <w:r>
        <w:continuationSeparator/>
      </w:r>
    </w:p>
  </w:footnote>
  <w:footnote w:id="2">
    <w:p w:rsidR="00B4778F" w:rsidP="00C743D9">
      <w:pPr>
        <w:pStyle w:val="Default"/>
        <w:jc w:val="both"/>
      </w:pPr>
      <w:r w:rsidRPr="00021981">
        <w:rPr>
          <w:rStyle w:val="FootnoteReference"/>
          <w:rFonts w:asciiTheme="minorHAnsi" w:hAnsiTheme="minorHAnsi"/>
          <w:i/>
          <w:sz w:val="20"/>
          <w:szCs w:val="20"/>
        </w:rPr>
        <w:footnoteRef/>
      </w:r>
      <w:r w:rsidRPr="00021981">
        <w:rPr>
          <w:rFonts w:asciiTheme="minorHAnsi" w:hAnsiTheme="minorHAnsi"/>
          <w:i/>
          <w:sz w:val="20"/>
          <w:szCs w:val="20"/>
        </w:rPr>
        <w:t xml:space="preserve">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Nesse sentido é o entendimento do C. Supremo Tribunal Federal: 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02198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778F" w:rsidP="000F6284">
    <w:pPr>
      <w:pStyle w:val="Header"/>
      <w:jc w:val="center"/>
      <w:rPr>
        <w:b/>
        <w:sz w:val="26"/>
        <w:lang w:val="pt-PT"/>
      </w:rPr>
    </w:pPr>
  </w:p>
  <w:p w:rsidR="00B4778F" w:rsidP="000F6284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4778F" w:rsidP="000F628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545934274" name="Imagem 1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6242798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80345971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B4778F" w:rsidP="000F6284">
                    <w:drawing>
                      <wp:inline distT="0" distB="0" distL="0" distR="0">
                        <wp:extent cx="876300" cy="850900"/>
                        <wp:effectExtent l="19050" t="0" r="0" b="0"/>
                        <wp:docPr id="1" name="Imagem 1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5587043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.3pt;height:67.9pt" o:oleicon="f" o:ole="">
                        <v:imagedata r:id="rId2" o:title=""/>
                      </v:shape>
                      <o:OLEObject Type="Embed" ProgID="MSPhotoEd.3" ShapeID="_x0000_i2050" DrawAspect="Content" ObjectID="_180339102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B4778F" w:rsidP="000F6284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B4778F" w:rsidP="000F6284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B4778F" w:rsidP="000F6284">
    <w:pPr>
      <w:pStyle w:val="Header"/>
    </w:pPr>
  </w:p>
  <w:p w:rsidR="00B4778F" w:rsidP="006D7024">
    <w:pPr>
      <w:pStyle w:val="Header"/>
    </w:pPr>
  </w:p>
  <w:p w:rsidR="00B4778F" w:rsidP="006D7024">
    <w:pPr>
      <w:pStyle w:val="Header"/>
    </w:pPr>
  </w:p>
  <w:p w:rsidR="00B4778F" w:rsidRPr="00824829" w:rsidP="006D7024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D6FA6"/>
    <w:multiLevelType w:val="hybridMultilevel"/>
    <w:tmpl w:val="8F9E06EC"/>
    <w:lvl w:ilvl="0">
      <w:start w:val="1"/>
      <w:numFmt w:val="upperRoman"/>
      <w:lvlText w:val="%1."/>
      <w:lvlJc w:val="left"/>
      <w:pPr>
        <w:ind w:left="1037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7" w:hanging="360"/>
      </w:pPr>
    </w:lvl>
    <w:lvl w:ilvl="2" w:tentative="1">
      <w:start w:val="1"/>
      <w:numFmt w:val="lowerRoman"/>
      <w:lvlText w:val="%3."/>
      <w:lvlJc w:val="right"/>
      <w:pPr>
        <w:ind w:left="2117" w:hanging="180"/>
      </w:pPr>
    </w:lvl>
    <w:lvl w:ilvl="3" w:tentative="1">
      <w:start w:val="1"/>
      <w:numFmt w:val="decimal"/>
      <w:lvlText w:val="%4."/>
      <w:lvlJc w:val="left"/>
      <w:pPr>
        <w:ind w:left="2837" w:hanging="360"/>
      </w:pPr>
    </w:lvl>
    <w:lvl w:ilvl="4" w:tentative="1">
      <w:start w:val="1"/>
      <w:numFmt w:val="lowerLetter"/>
      <w:lvlText w:val="%5."/>
      <w:lvlJc w:val="left"/>
      <w:pPr>
        <w:ind w:left="3557" w:hanging="360"/>
      </w:pPr>
    </w:lvl>
    <w:lvl w:ilvl="5" w:tentative="1">
      <w:start w:val="1"/>
      <w:numFmt w:val="lowerRoman"/>
      <w:lvlText w:val="%6."/>
      <w:lvlJc w:val="right"/>
      <w:pPr>
        <w:ind w:left="4277" w:hanging="180"/>
      </w:pPr>
    </w:lvl>
    <w:lvl w:ilvl="6" w:tentative="1">
      <w:start w:val="1"/>
      <w:numFmt w:val="decimal"/>
      <w:lvlText w:val="%7."/>
      <w:lvlJc w:val="left"/>
      <w:pPr>
        <w:ind w:left="4997" w:hanging="360"/>
      </w:pPr>
    </w:lvl>
    <w:lvl w:ilvl="7" w:tentative="1">
      <w:start w:val="1"/>
      <w:numFmt w:val="lowerLetter"/>
      <w:lvlText w:val="%8."/>
      <w:lvlJc w:val="left"/>
      <w:pPr>
        <w:ind w:left="5717" w:hanging="360"/>
      </w:pPr>
    </w:lvl>
    <w:lvl w:ilvl="8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2">
    <w:nsid w:val="74BF1358"/>
    <w:multiLevelType w:val="hybridMultilevel"/>
    <w:tmpl w:val="2C623576"/>
    <w:lvl w:ilvl="0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062A0"/>
    <w:rsid w:val="00010331"/>
    <w:rsid w:val="00011DB3"/>
    <w:rsid w:val="00013CAF"/>
    <w:rsid w:val="00020BE1"/>
    <w:rsid w:val="00021981"/>
    <w:rsid w:val="00031E27"/>
    <w:rsid w:val="0004208F"/>
    <w:rsid w:val="00045977"/>
    <w:rsid w:val="00060CA0"/>
    <w:rsid w:val="00064494"/>
    <w:rsid w:val="00072745"/>
    <w:rsid w:val="00080E1C"/>
    <w:rsid w:val="00084F89"/>
    <w:rsid w:val="00087763"/>
    <w:rsid w:val="00094FC8"/>
    <w:rsid w:val="00095997"/>
    <w:rsid w:val="000A13F6"/>
    <w:rsid w:val="000A6FC0"/>
    <w:rsid w:val="000A7037"/>
    <w:rsid w:val="000B4ADE"/>
    <w:rsid w:val="000B7987"/>
    <w:rsid w:val="000C08B8"/>
    <w:rsid w:val="000C1D38"/>
    <w:rsid w:val="000C3EF3"/>
    <w:rsid w:val="000C5FC0"/>
    <w:rsid w:val="000C60A7"/>
    <w:rsid w:val="000C7DFF"/>
    <w:rsid w:val="000D50C2"/>
    <w:rsid w:val="000E086D"/>
    <w:rsid w:val="000E515E"/>
    <w:rsid w:val="000F6132"/>
    <w:rsid w:val="000F6284"/>
    <w:rsid w:val="00104D6E"/>
    <w:rsid w:val="001060D1"/>
    <w:rsid w:val="00107274"/>
    <w:rsid w:val="00107ACC"/>
    <w:rsid w:val="0011642A"/>
    <w:rsid w:val="00117687"/>
    <w:rsid w:val="00122EE6"/>
    <w:rsid w:val="0013060F"/>
    <w:rsid w:val="00132824"/>
    <w:rsid w:val="0014063B"/>
    <w:rsid w:val="00140E33"/>
    <w:rsid w:val="00141BA0"/>
    <w:rsid w:val="001420FA"/>
    <w:rsid w:val="0014270F"/>
    <w:rsid w:val="00144475"/>
    <w:rsid w:val="00146CE5"/>
    <w:rsid w:val="00152692"/>
    <w:rsid w:val="00153032"/>
    <w:rsid w:val="0016364A"/>
    <w:rsid w:val="00164251"/>
    <w:rsid w:val="00174657"/>
    <w:rsid w:val="00183492"/>
    <w:rsid w:val="00184A84"/>
    <w:rsid w:val="00194B36"/>
    <w:rsid w:val="001A2347"/>
    <w:rsid w:val="001A61DB"/>
    <w:rsid w:val="001C4D63"/>
    <w:rsid w:val="001F26AC"/>
    <w:rsid w:val="001F77FB"/>
    <w:rsid w:val="002027AE"/>
    <w:rsid w:val="002073E0"/>
    <w:rsid w:val="00210E54"/>
    <w:rsid w:val="00215CD7"/>
    <w:rsid w:val="0022477A"/>
    <w:rsid w:val="002268B5"/>
    <w:rsid w:val="002324DA"/>
    <w:rsid w:val="00236776"/>
    <w:rsid w:val="002433C5"/>
    <w:rsid w:val="00244DC5"/>
    <w:rsid w:val="00252ADC"/>
    <w:rsid w:val="00255D60"/>
    <w:rsid w:val="00261689"/>
    <w:rsid w:val="0026654A"/>
    <w:rsid w:val="00267382"/>
    <w:rsid w:val="00284DC6"/>
    <w:rsid w:val="00287DF9"/>
    <w:rsid w:val="0029011B"/>
    <w:rsid w:val="002907F1"/>
    <w:rsid w:val="002B15C8"/>
    <w:rsid w:val="002B1985"/>
    <w:rsid w:val="002B5F03"/>
    <w:rsid w:val="002C0507"/>
    <w:rsid w:val="002C052C"/>
    <w:rsid w:val="002C2449"/>
    <w:rsid w:val="002C514C"/>
    <w:rsid w:val="002C7E9A"/>
    <w:rsid w:val="002D056D"/>
    <w:rsid w:val="002D0737"/>
    <w:rsid w:val="002E0808"/>
    <w:rsid w:val="002E0E58"/>
    <w:rsid w:val="002E5E66"/>
    <w:rsid w:val="002F2F32"/>
    <w:rsid w:val="002F31F1"/>
    <w:rsid w:val="002F41E7"/>
    <w:rsid w:val="002F6340"/>
    <w:rsid w:val="00304A13"/>
    <w:rsid w:val="00304D47"/>
    <w:rsid w:val="00304E50"/>
    <w:rsid w:val="003066AF"/>
    <w:rsid w:val="003114AB"/>
    <w:rsid w:val="00313E26"/>
    <w:rsid w:val="00324DAA"/>
    <w:rsid w:val="00342350"/>
    <w:rsid w:val="0036016D"/>
    <w:rsid w:val="00365F07"/>
    <w:rsid w:val="0038135B"/>
    <w:rsid w:val="0038137B"/>
    <w:rsid w:val="00392550"/>
    <w:rsid w:val="0039289D"/>
    <w:rsid w:val="0039295D"/>
    <w:rsid w:val="00396172"/>
    <w:rsid w:val="00396BF6"/>
    <w:rsid w:val="003970C7"/>
    <w:rsid w:val="003A2AF7"/>
    <w:rsid w:val="003A2C23"/>
    <w:rsid w:val="003B02E8"/>
    <w:rsid w:val="003B0AE0"/>
    <w:rsid w:val="003C02A2"/>
    <w:rsid w:val="003C2A33"/>
    <w:rsid w:val="003C2EAD"/>
    <w:rsid w:val="003D05EC"/>
    <w:rsid w:val="003D0BDE"/>
    <w:rsid w:val="003D329B"/>
    <w:rsid w:val="003D3DD2"/>
    <w:rsid w:val="003D711E"/>
    <w:rsid w:val="003E0849"/>
    <w:rsid w:val="003E6731"/>
    <w:rsid w:val="003E68E7"/>
    <w:rsid w:val="003F5D28"/>
    <w:rsid w:val="00402E15"/>
    <w:rsid w:val="00412E7C"/>
    <w:rsid w:val="0041449A"/>
    <w:rsid w:val="00421304"/>
    <w:rsid w:val="00422E38"/>
    <w:rsid w:val="004276C9"/>
    <w:rsid w:val="004353D8"/>
    <w:rsid w:val="00442AE0"/>
    <w:rsid w:val="00443E0E"/>
    <w:rsid w:val="00444ACD"/>
    <w:rsid w:val="00444F16"/>
    <w:rsid w:val="00445AFC"/>
    <w:rsid w:val="00450D7D"/>
    <w:rsid w:val="00451661"/>
    <w:rsid w:val="00456DC8"/>
    <w:rsid w:val="00464D80"/>
    <w:rsid w:val="00465199"/>
    <w:rsid w:val="00471B9C"/>
    <w:rsid w:val="00475AF7"/>
    <w:rsid w:val="00480F43"/>
    <w:rsid w:val="00483A4D"/>
    <w:rsid w:val="00484EF7"/>
    <w:rsid w:val="00492DCD"/>
    <w:rsid w:val="00494E9F"/>
    <w:rsid w:val="00497A57"/>
    <w:rsid w:val="004A1DBC"/>
    <w:rsid w:val="004B0FDA"/>
    <w:rsid w:val="004B170A"/>
    <w:rsid w:val="004B1CA3"/>
    <w:rsid w:val="004C45A4"/>
    <w:rsid w:val="004C565A"/>
    <w:rsid w:val="004C5B70"/>
    <w:rsid w:val="004D3AA4"/>
    <w:rsid w:val="004D5FD7"/>
    <w:rsid w:val="004E40CC"/>
    <w:rsid w:val="004F1195"/>
    <w:rsid w:val="004F1AD5"/>
    <w:rsid w:val="004F1E85"/>
    <w:rsid w:val="004F2F14"/>
    <w:rsid w:val="005045BA"/>
    <w:rsid w:val="00515A76"/>
    <w:rsid w:val="00516A25"/>
    <w:rsid w:val="00521E8D"/>
    <w:rsid w:val="00526E32"/>
    <w:rsid w:val="00526FB6"/>
    <w:rsid w:val="00541851"/>
    <w:rsid w:val="00544E88"/>
    <w:rsid w:val="00546E3D"/>
    <w:rsid w:val="0055424D"/>
    <w:rsid w:val="0056480F"/>
    <w:rsid w:val="0058201A"/>
    <w:rsid w:val="00582721"/>
    <w:rsid w:val="00595C1B"/>
    <w:rsid w:val="005A0EB8"/>
    <w:rsid w:val="005A6AF8"/>
    <w:rsid w:val="005B5B3A"/>
    <w:rsid w:val="005B7577"/>
    <w:rsid w:val="005C61FE"/>
    <w:rsid w:val="005C7503"/>
    <w:rsid w:val="005D5B81"/>
    <w:rsid w:val="005E0943"/>
    <w:rsid w:val="005E0CC1"/>
    <w:rsid w:val="005E3874"/>
    <w:rsid w:val="005E6F3B"/>
    <w:rsid w:val="005F0FAA"/>
    <w:rsid w:val="005F28BA"/>
    <w:rsid w:val="00600907"/>
    <w:rsid w:val="006031A3"/>
    <w:rsid w:val="006039AA"/>
    <w:rsid w:val="00605D93"/>
    <w:rsid w:val="0061095F"/>
    <w:rsid w:val="006168B2"/>
    <w:rsid w:val="006170FE"/>
    <w:rsid w:val="00620FEF"/>
    <w:rsid w:val="0062714B"/>
    <w:rsid w:val="00627832"/>
    <w:rsid w:val="00633437"/>
    <w:rsid w:val="00633897"/>
    <w:rsid w:val="00636BBC"/>
    <w:rsid w:val="006447A7"/>
    <w:rsid w:val="0064647D"/>
    <w:rsid w:val="00647CC0"/>
    <w:rsid w:val="00650D48"/>
    <w:rsid w:val="006626B6"/>
    <w:rsid w:val="006706FC"/>
    <w:rsid w:val="00671EA5"/>
    <w:rsid w:val="00681013"/>
    <w:rsid w:val="00683121"/>
    <w:rsid w:val="00684901"/>
    <w:rsid w:val="00692544"/>
    <w:rsid w:val="00696105"/>
    <w:rsid w:val="006B19C9"/>
    <w:rsid w:val="006B7254"/>
    <w:rsid w:val="006B79BC"/>
    <w:rsid w:val="006C1ABF"/>
    <w:rsid w:val="006C2C21"/>
    <w:rsid w:val="006C37F5"/>
    <w:rsid w:val="006D6D15"/>
    <w:rsid w:val="006D7024"/>
    <w:rsid w:val="006E59A6"/>
    <w:rsid w:val="006E694E"/>
    <w:rsid w:val="006F674F"/>
    <w:rsid w:val="00703833"/>
    <w:rsid w:val="007042A1"/>
    <w:rsid w:val="007053BB"/>
    <w:rsid w:val="00710E18"/>
    <w:rsid w:val="007125D7"/>
    <w:rsid w:val="0071508E"/>
    <w:rsid w:val="007172DE"/>
    <w:rsid w:val="00734D86"/>
    <w:rsid w:val="007372D5"/>
    <w:rsid w:val="00745F2C"/>
    <w:rsid w:val="00747C65"/>
    <w:rsid w:val="0075062B"/>
    <w:rsid w:val="00750FEA"/>
    <w:rsid w:val="0075284C"/>
    <w:rsid w:val="0075311E"/>
    <w:rsid w:val="00757B87"/>
    <w:rsid w:val="00761C61"/>
    <w:rsid w:val="007627E3"/>
    <w:rsid w:val="00773FD9"/>
    <w:rsid w:val="00777ACF"/>
    <w:rsid w:val="007949FB"/>
    <w:rsid w:val="00795897"/>
    <w:rsid w:val="007A7435"/>
    <w:rsid w:val="007B300B"/>
    <w:rsid w:val="007B569C"/>
    <w:rsid w:val="007C28D8"/>
    <w:rsid w:val="007C2ECA"/>
    <w:rsid w:val="007C33A8"/>
    <w:rsid w:val="007D453B"/>
    <w:rsid w:val="007D5186"/>
    <w:rsid w:val="007D6E9E"/>
    <w:rsid w:val="007E5326"/>
    <w:rsid w:val="007E6039"/>
    <w:rsid w:val="007F01A5"/>
    <w:rsid w:val="00802506"/>
    <w:rsid w:val="00805EF5"/>
    <w:rsid w:val="00806D16"/>
    <w:rsid w:val="008120B4"/>
    <w:rsid w:val="00814806"/>
    <w:rsid w:val="00815289"/>
    <w:rsid w:val="008152AD"/>
    <w:rsid w:val="00824829"/>
    <w:rsid w:val="00834F2B"/>
    <w:rsid w:val="00837714"/>
    <w:rsid w:val="00844764"/>
    <w:rsid w:val="0084486A"/>
    <w:rsid w:val="00844AA8"/>
    <w:rsid w:val="008470F7"/>
    <w:rsid w:val="00872C12"/>
    <w:rsid w:val="008831C3"/>
    <w:rsid w:val="008833EF"/>
    <w:rsid w:val="00884663"/>
    <w:rsid w:val="00891A0E"/>
    <w:rsid w:val="008923E9"/>
    <w:rsid w:val="008B488E"/>
    <w:rsid w:val="008C03B4"/>
    <w:rsid w:val="008C1C27"/>
    <w:rsid w:val="008C24D7"/>
    <w:rsid w:val="008C51BE"/>
    <w:rsid w:val="008D0A49"/>
    <w:rsid w:val="008E1538"/>
    <w:rsid w:val="008F2427"/>
    <w:rsid w:val="008F44A5"/>
    <w:rsid w:val="00900276"/>
    <w:rsid w:val="0090054E"/>
    <w:rsid w:val="00900653"/>
    <w:rsid w:val="009028B1"/>
    <w:rsid w:val="00903636"/>
    <w:rsid w:val="0091678F"/>
    <w:rsid w:val="009169C9"/>
    <w:rsid w:val="00935C32"/>
    <w:rsid w:val="009369FB"/>
    <w:rsid w:val="00946FC6"/>
    <w:rsid w:val="00967B88"/>
    <w:rsid w:val="00967C83"/>
    <w:rsid w:val="00970487"/>
    <w:rsid w:val="0097203E"/>
    <w:rsid w:val="00977050"/>
    <w:rsid w:val="00983F3B"/>
    <w:rsid w:val="0098472D"/>
    <w:rsid w:val="00987679"/>
    <w:rsid w:val="009966F0"/>
    <w:rsid w:val="00996E6A"/>
    <w:rsid w:val="009971D8"/>
    <w:rsid w:val="009975F7"/>
    <w:rsid w:val="009977A8"/>
    <w:rsid w:val="009A0896"/>
    <w:rsid w:val="009A128E"/>
    <w:rsid w:val="009A1D9A"/>
    <w:rsid w:val="009B0E60"/>
    <w:rsid w:val="009B4CD0"/>
    <w:rsid w:val="009B5F4D"/>
    <w:rsid w:val="009C09A6"/>
    <w:rsid w:val="009C6C54"/>
    <w:rsid w:val="009D511B"/>
    <w:rsid w:val="009D550A"/>
    <w:rsid w:val="009D5FEC"/>
    <w:rsid w:val="009E3EF9"/>
    <w:rsid w:val="009F0B51"/>
    <w:rsid w:val="00A172F8"/>
    <w:rsid w:val="00A249B6"/>
    <w:rsid w:val="00A2503E"/>
    <w:rsid w:val="00A26518"/>
    <w:rsid w:val="00A30FD2"/>
    <w:rsid w:val="00A31F50"/>
    <w:rsid w:val="00A33C51"/>
    <w:rsid w:val="00A35149"/>
    <w:rsid w:val="00A43F5D"/>
    <w:rsid w:val="00A53E32"/>
    <w:rsid w:val="00A63ED4"/>
    <w:rsid w:val="00A67E63"/>
    <w:rsid w:val="00A70C4D"/>
    <w:rsid w:val="00A7176E"/>
    <w:rsid w:val="00A71D06"/>
    <w:rsid w:val="00A94AF5"/>
    <w:rsid w:val="00A94E00"/>
    <w:rsid w:val="00AA0F4F"/>
    <w:rsid w:val="00AA13F0"/>
    <w:rsid w:val="00AA2773"/>
    <w:rsid w:val="00AA4F1E"/>
    <w:rsid w:val="00AB498A"/>
    <w:rsid w:val="00AC01B0"/>
    <w:rsid w:val="00AC08AA"/>
    <w:rsid w:val="00AC29FE"/>
    <w:rsid w:val="00AC53B3"/>
    <w:rsid w:val="00AC5AF1"/>
    <w:rsid w:val="00AC6896"/>
    <w:rsid w:val="00AD05AC"/>
    <w:rsid w:val="00AD687D"/>
    <w:rsid w:val="00AD740D"/>
    <w:rsid w:val="00AF5759"/>
    <w:rsid w:val="00B03206"/>
    <w:rsid w:val="00B2084F"/>
    <w:rsid w:val="00B20A65"/>
    <w:rsid w:val="00B22C55"/>
    <w:rsid w:val="00B234C4"/>
    <w:rsid w:val="00B342E3"/>
    <w:rsid w:val="00B45C22"/>
    <w:rsid w:val="00B4778F"/>
    <w:rsid w:val="00B56194"/>
    <w:rsid w:val="00B60874"/>
    <w:rsid w:val="00B778AA"/>
    <w:rsid w:val="00B81489"/>
    <w:rsid w:val="00B93ED4"/>
    <w:rsid w:val="00BA65D2"/>
    <w:rsid w:val="00BB05C4"/>
    <w:rsid w:val="00BB3B11"/>
    <w:rsid w:val="00BC26EF"/>
    <w:rsid w:val="00BC2ABB"/>
    <w:rsid w:val="00BC387A"/>
    <w:rsid w:val="00BD1848"/>
    <w:rsid w:val="00BD4260"/>
    <w:rsid w:val="00BE358E"/>
    <w:rsid w:val="00BF55F6"/>
    <w:rsid w:val="00C0003E"/>
    <w:rsid w:val="00C02E72"/>
    <w:rsid w:val="00C12297"/>
    <w:rsid w:val="00C162C9"/>
    <w:rsid w:val="00C24ABB"/>
    <w:rsid w:val="00C27647"/>
    <w:rsid w:val="00C34111"/>
    <w:rsid w:val="00C46C1C"/>
    <w:rsid w:val="00C551CD"/>
    <w:rsid w:val="00C552BE"/>
    <w:rsid w:val="00C61066"/>
    <w:rsid w:val="00C6291C"/>
    <w:rsid w:val="00C62A22"/>
    <w:rsid w:val="00C63602"/>
    <w:rsid w:val="00C7153B"/>
    <w:rsid w:val="00C723AE"/>
    <w:rsid w:val="00C743D9"/>
    <w:rsid w:val="00C81890"/>
    <w:rsid w:val="00C83C7F"/>
    <w:rsid w:val="00C86B57"/>
    <w:rsid w:val="00CB1C5D"/>
    <w:rsid w:val="00CB2D83"/>
    <w:rsid w:val="00CB369D"/>
    <w:rsid w:val="00CC1FE4"/>
    <w:rsid w:val="00CC281C"/>
    <w:rsid w:val="00CC385B"/>
    <w:rsid w:val="00CD061A"/>
    <w:rsid w:val="00CD5D6D"/>
    <w:rsid w:val="00CD62E6"/>
    <w:rsid w:val="00CE0C3C"/>
    <w:rsid w:val="00CE5172"/>
    <w:rsid w:val="00CE7C9E"/>
    <w:rsid w:val="00CF06DC"/>
    <w:rsid w:val="00CF7799"/>
    <w:rsid w:val="00D05705"/>
    <w:rsid w:val="00D111F9"/>
    <w:rsid w:val="00D117F5"/>
    <w:rsid w:val="00D13AF3"/>
    <w:rsid w:val="00D27B3B"/>
    <w:rsid w:val="00D31E84"/>
    <w:rsid w:val="00D33D7D"/>
    <w:rsid w:val="00D344FF"/>
    <w:rsid w:val="00D37D32"/>
    <w:rsid w:val="00D4374D"/>
    <w:rsid w:val="00D53CF6"/>
    <w:rsid w:val="00D54C36"/>
    <w:rsid w:val="00D57229"/>
    <w:rsid w:val="00D613BA"/>
    <w:rsid w:val="00D6318C"/>
    <w:rsid w:val="00D67DA9"/>
    <w:rsid w:val="00D72476"/>
    <w:rsid w:val="00D822CC"/>
    <w:rsid w:val="00D85EA5"/>
    <w:rsid w:val="00D92B43"/>
    <w:rsid w:val="00DA1655"/>
    <w:rsid w:val="00DA4495"/>
    <w:rsid w:val="00DA485E"/>
    <w:rsid w:val="00DB238C"/>
    <w:rsid w:val="00DB2D3E"/>
    <w:rsid w:val="00DC1A5B"/>
    <w:rsid w:val="00DC50DD"/>
    <w:rsid w:val="00DD2CC9"/>
    <w:rsid w:val="00DD4EC2"/>
    <w:rsid w:val="00DD5BF1"/>
    <w:rsid w:val="00DE20C6"/>
    <w:rsid w:val="00DE5290"/>
    <w:rsid w:val="00DF4BF9"/>
    <w:rsid w:val="00DF576F"/>
    <w:rsid w:val="00DF69B3"/>
    <w:rsid w:val="00E01213"/>
    <w:rsid w:val="00E05244"/>
    <w:rsid w:val="00E1329F"/>
    <w:rsid w:val="00E1782C"/>
    <w:rsid w:val="00E20AD6"/>
    <w:rsid w:val="00E270AA"/>
    <w:rsid w:val="00E307C3"/>
    <w:rsid w:val="00E339BA"/>
    <w:rsid w:val="00E41567"/>
    <w:rsid w:val="00E60D7A"/>
    <w:rsid w:val="00E60FD0"/>
    <w:rsid w:val="00E654B2"/>
    <w:rsid w:val="00E65F4B"/>
    <w:rsid w:val="00E661C5"/>
    <w:rsid w:val="00E67342"/>
    <w:rsid w:val="00E67B0A"/>
    <w:rsid w:val="00E7515C"/>
    <w:rsid w:val="00E76596"/>
    <w:rsid w:val="00E80D54"/>
    <w:rsid w:val="00E9216A"/>
    <w:rsid w:val="00E94D4E"/>
    <w:rsid w:val="00E956F5"/>
    <w:rsid w:val="00EA0F15"/>
    <w:rsid w:val="00EA1DB6"/>
    <w:rsid w:val="00EB2D50"/>
    <w:rsid w:val="00EB315E"/>
    <w:rsid w:val="00ED079E"/>
    <w:rsid w:val="00ED1E87"/>
    <w:rsid w:val="00ED612E"/>
    <w:rsid w:val="00EF4078"/>
    <w:rsid w:val="00EF6371"/>
    <w:rsid w:val="00EF6534"/>
    <w:rsid w:val="00F0163A"/>
    <w:rsid w:val="00F0630F"/>
    <w:rsid w:val="00F1189C"/>
    <w:rsid w:val="00F14F5D"/>
    <w:rsid w:val="00F163AB"/>
    <w:rsid w:val="00F165BC"/>
    <w:rsid w:val="00F20AEA"/>
    <w:rsid w:val="00F22283"/>
    <w:rsid w:val="00F25249"/>
    <w:rsid w:val="00F27B5E"/>
    <w:rsid w:val="00F32192"/>
    <w:rsid w:val="00F34BF6"/>
    <w:rsid w:val="00F3761C"/>
    <w:rsid w:val="00F4065A"/>
    <w:rsid w:val="00F43DDE"/>
    <w:rsid w:val="00F51530"/>
    <w:rsid w:val="00F53BEF"/>
    <w:rsid w:val="00F61E5C"/>
    <w:rsid w:val="00F66788"/>
    <w:rsid w:val="00F67111"/>
    <w:rsid w:val="00F71C32"/>
    <w:rsid w:val="00F752F1"/>
    <w:rsid w:val="00F82AEB"/>
    <w:rsid w:val="00F8645F"/>
    <w:rsid w:val="00F86A33"/>
    <w:rsid w:val="00F94A2F"/>
    <w:rsid w:val="00FB54B7"/>
    <w:rsid w:val="00FC0D77"/>
    <w:rsid w:val="00FC3987"/>
    <w:rsid w:val="00FC45AB"/>
    <w:rsid w:val="00FC6AF1"/>
    <w:rsid w:val="00FD38DB"/>
    <w:rsid w:val="00FD61FF"/>
    <w:rsid w:val="00FE49C5"/>
    <w:rsid w:val="00FE5D10"/>
    <w:rsid w:val="00FF41F7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BC2ABB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BC2ABB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BC2ABB"/>
    <w:rPr>
      <w:vertAlign w:val="superscript"/>
    </w:rPr>
  </w:style>
  <w:style w:type="paragraph" w:customStyle="1" w:styleId="tj">
    <w:name w:val="tj"/>
    <w:basedOn w:val="Normal"/>
    <w:uiPriority w:val="99"/>
    <w:rsid w:val="00703833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ListParagraph">
    <w:name w:val="List Paragraph"/>
    <w:basedOn w:val="Normal"/>
    <w:uiPriority w:val="34"/>
    <w:qFormat/>
    <w:rsid w:val="00EB2D50"/>
    <w:pPr>
      <w:ind w:left="720"/>
      <w:contextualSpacing/>
    </w:pPr>
  </w:style>
  <w:style w:type="paragraph" w:customStyle="1" w:styleId="paragrafo">
    <w:name w:val="paragrafo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987679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3C03D-57D3-4F09-BDAD-3F1E7761C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2213</Words>
  <Characters>11955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Tiago Fadel Malghosian</cp:lastModifiedBy>
  <cp:revision>9</cp:revision>
  <cp:lastPrinted>2021-12-03T16:31:00Z</cp:lastPrinted>
  <dcterms:created xsi:type="dcterms:W3CDTF">2025-03-13T19:56:00Z</dcterms:created>
  <dcterms:modified xsi:type="dcterms:W3CDTF">2025-03-14T15:16:00Z</dcterms:modified>
</cp:coreProperties>
</file>