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RPr="00962DAF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62DAF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962DAF" w:rsidR="00962DAF">
        <w:rPr>
          <w:rFonts w:asciiTheme="minorHAnsi" w:hAnsiTheme="minorHAnsi" w:cstheme="minorHAnsi"/>
          <w:b/>
          <w:color w:val="auto"/>
        </w:rPr>
        <w:t>56</w:t>
      </w:r>
      <w:r w:rsidRPr="00962DAF">
        <w:rPr>
          <w:rFonts w:asciiTheme="minorHAnsi" w:hAnsiTheme="minorHAnsi" w:cstheme="minorHAnsi"/>
          <w:b/>
          <w:color w:val="auto"/>
        </w:rPr>
        <w:t>/202</w:t>
      </w:r>
      <w:r w:rsidRPr="00962DAF" w:rsidR="005A0ABB">
        <w:rPr>
          <w:rFonts w:asciiTheme="minorHAnsi" w:hAnsiTheme="minorHAnsi" w:cstheme="minorHAnsi"/>
          <w:b/>
          <w:color w:val="auto"/>
        </w:rPr>
        <w:t>5</w:t>
      </w:r>
      <w:r w:rsidRPr="00962DAF" w:rsidR="00557AFB">
        <w:rPr>
          <w:rFonts w:asciiTheme="minorHAnsi" w:hAnsiTheme="minorHAnsi" w:cstheme="minorHAnsi"/>
          <w:b/>
          <w:color w:val="auto"/>
        </w:rPr>
        <w:t>.</w:t>
      </w:r>
    </w:p>
    <w:p w:rsidR="005A0ABB" w:rsidRPr="005C600B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Processo Legislativo nº </w:t>
      </w:r>
      <w:r w:rsidR="00BF07F8">
        <w:rPr>
          <w:rFonts w:asciiTheme="minorHAnsi" w:hAnsiTheme="minorHAnsi" w:cstheme="minorHAnsi"/>
          <w:b/>
          <w:color w:val="auto"/>
        </w:rPr>
        <w:t>1001</w:t>
      </w:r>
      <w:r w:rsidRPr="005C600B">
        <w:rPr>
          <w:rFonts w:asciiTheme="minorHAnsi" w:hAnsiTheme="minorHAnsi" w:cstheme="minorHAnsi"/>
          <w:b/>
          <w:color w:val="auto"/>
        </w:rPr>
        <w:t>/2025.</w:t>
      </w:r>
    </w:p>
    <w:p w:rsidR="00513AB5" w:rsidRPr="005C600B" w:rsidP="00806E4C">
      <w:pPr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 w:rsidR="00BE19CF">
        <w:rPr>
          <w:rFonts w:asciiTheme="minorHAnsi" w:hAnsiTheme="minorHAnsi" w:cstheme="minorHAnsi"/>
          <w:b/>
          <w:bCs/>
          <w:szCs w:val="24"/>
        </w:rPr>
        <w:t>53</w:t>
      </w:r>
      <w:r w:rsidRPr="005C600B">
        <w:rPr>
          <w:rFonts w:asciiTheme="minorHAnsi" w:hAnsiTheme="minorHAnsi" w:cstheme="minorHAnsi"/>
          <w:b/>
          <w:bCs/>
          <w:szCs w:val="24"/>
        </w:rPr>
        <w:t>/202</w:t>
      </w:r>
      <w:r w:rsidRPr="005C600B" w:rsidR="005A0ABB">
        <w:rPr>
          <w:rFonts w:asciiTheme="minorHAnsi" w:hAnsiTheme="minorHAnsi" w:cstheme="minorHAnsi"/>
          <w:b/>
          <w:bCs/>
          <w:szCs w:val="24"/>
        </w:rPr>
        <w:t xml:space="preserve">5 </w:t>
      </w:r>
      <w:r w:rsidRPr="005C600B">
        <w:rPr>
          <w:rFonts w:asciiTheme="minorHAnsi" w:hAnsiTheme="minorHAnsi" w:cstheme="minorHAnsi"/>
          <w:b/>
          <w:bCs/>
          <w:szCs w:val="24"/>
        </w:rPr>
        <w:t xml:space="preserve">– </w:t>
      </w:r>
      <w:r w:rsidRPr="007401AE" w:rsidR="007401AE">
        <w:rPr>
          <w:rFonts w:asciiTheme="minorHAnsi" w:hAnsiTheme="minorHAnsi" w:cstheme="minorHAnsi"/>
          <w:bCs/>
          <w:szCs w:val="24"/>
        </w:rPr>
        <w:t>“</w:t>
      </w:r>
      <w:r w:rsidRPr="00210204">
        <w:rPr>
          <w:rFonts w:asciiTheme="minorHAnsi" w:hAnsiTheme="minorHAnsi" w:cstheme="minorHAnsi"/>
          <w:i/>
          <w:szCs w:val="24"/>
        </w:rPr>
        <w:t xml:space="preserve">Altera dispositivos da Lei nº 5.553, de 13 de novembro de 2017, que institui o </w:t>
      </w:r>
      <w:r w:rsidRPr="00210204" w:rsidR="00210204">
        <w:rPr>
          <w:rFonts w:asciiTheme="minorHAnsi" w:hAnsiTheme="minorHAnsi" w:cstheme="minorHAnsi"/>
          <w:i/>
          <w:szCs w:val="24"/>
        </w:rPr>
        <w:t>programa ‘</w:t>
      </w:r>
      <w:r w:rsidRPr="00210204">
        <w:rPr>
          <w:rFonts w:asciiTheme="minorHAnsi" w:hAnsiTheme="minorHAnsi" w:cstheme="minorHAnsi"/>
          <w:i/>
          <w:szCs w:val="24"/>
        </w:rPr>
        <w:t>Banco de ração e utensílios para animais</w:t>
      </w:r>
      <w:r w:rsidRPr="00210204" w:rsidR="00210204">
        <w:rPr>
          <w:rFonts w:asciiTheme="minorHAnsi" w:hAnsiTheme="minorHAnsi" w:cstheme="minorHAnsi"/>
          <w:i/>
          <w:szCs w:val="24"/>
        </w:rPr>
        <w:t>’</w:t>
      </w:r>
      <w:r w:rsidRPr="00210204">
        <w:rPr>
          <w:rFonts w:asciiTheme="minorHAnsi" w:hAnsiTheme="minorHAnsi" w:cstheme="minorHAnsi"/>
          <w:i/>
          <w:szCs w:val="24"/>
        </w:rPr>
        <w:t xml:space="preserve"> no Município de Valinhos, e dá outras providências</w:t>
      </w:r>
      <w:r w:rsidR="007401AE">
        <w:rPr>
          <w:rFonts w:asciiTheme="minorHAnsi" w:hAnsiTheme="minorHAnsi" w:cstheme="minorHAnsi"/>
          <w:szCs w:val="24"/>
        </w:rPr>
        <w:t>”</w:t>
      </w:r>
      <w:r w:rsidR="00BE19CF">
        <w:rPr>
          <w:rFonts w:asciiTheme="minorHAnsi" w:hAnsiTheme="minorHAnsi" w:cstheme="minorHAnsi"/>
          <w:szCs w:val="24"/>
        </w:rPr>
        <w:t>.</w:t>
      </w:r>
    </w:p>
    <w:p w:rsidR="00806E4C" w:rsidRPr="005C600B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5C600B">
        <w:rPr>
          <w:rFonts w:asciiTheme="minorHAnsi" w:hAnsiTheme="minorHAnsi" w:cstheme="minorHAnsi"/>
          <w:b/>
          <w:bCs/>
          <w:szCs w:val="24"/>
        </w:rPr>
        <w:t xml:space="preserve">Autoria: </w:t>
      </w:r>
      <w:r w:rsidRPr="005C600B">
        <w:rPr>
          <w:rFonts w:asciiTheme="minorHAnsi" w:hAnsiTheme="minorHAnsi" w:cstheme="minorHAnsi"/>
          <w:bCs/>
          <w:szCs w:val="24"/>
        </w:rPr>
        <w:t>Vereador</w:t>
      </w:r>
      <w:r w:rsidR="00BE19CF">
        <w:rPr>
          <w:rFonts w:asciiTheme="minorHAnsi" w:hAnsiTheme="minorHAnsi" w:cstheme="minorHAnsi"/>
          <w:bCs/>
          <w:szCs w:val="24"/>
        </w:rPr>
        <w:t>a</w:t>
      </w:r>
      <w:r w:rsidRPr="005C600B">
        <w:rPr>
          <w:rFonts w:asciiTheme="minorHAnsi" w:hAnsiTheme="minorHAnsi" w:cstheme="minorHAnsi"/>
          <w:bCs/>
          <w:szCs w:val="24"/>
        </w:rPr>
        <w:t xml:space="preserve"> M</w:t>
      </w:r>
      <w:r w:rsidR="00BE19CF">
        <w:rPr>
          <w:rFonts w:asciiTheme="minorHAnsi" w:hAnsiTheme="minorHAnsi" w:cstheme="minorHAnsi"/>
          <w:bCs/>
          <w:szCs w:val="24"/>
        </w:rPr>
        <w:t>ônica Morandi</w:t>
      </w:r>
      <w:r w:rsidR="00AB523A">
        <w:rPr>
          <w:rFonts w:asciiTheme="minorHAnsi" w:hAnsiTheme="minorHAnsi" w:cstheme="minorHAnsi"/>
          <w:bCs/>
          <w:szCs w:val="24"/>
        </w:rPr>
        <w:t>.</w:t>
      </w:r>
    </w:p>
    <w:p w:rsidR="005C600B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DA6245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RPr="005C600B" w:rsidP="00806E4C">
      <w:pPr>
        <w:jc w:val="both"/>
        <w:rPr>
          <w:rFonts w:asciiTheme="minorHAnsi" w:hAnsiTheme="minorHAnsi" w:cstheme="minorHAnsi"/>
          <w:b/>
          <w:szCs w:val="24"/>
        </w:rPr>
      </w:pPr>
      <w:r w:rsidRPr="005C600B">
        <w:rPr>
          <w:rFonts w:asciiTheme="minorHAnsi" w:hAnsiTheme="minorHAnsi" w:cstheme="minorHAnsi"/>
          <w:b/>
          <w:szCs w:val="24"/>
        </w:rPr>
        <w:t>À Comissão de Justiça e Redação</w:t>
      </w:r>
      <w:r w:rsidRPr="005C600B" w:rsidR="00C55A39">
        <w:rPr>
          <w:rFonts w:asciiTheme="minorHAnsi" w:hAnsiTheme="minorHAnsi" w:cstheme="minorHAnsi"/>
          <w:b/>
          <w:szCs w:val="24"/>
        </w:rPr>
        <w:t>,</w:t>
      </w:r>
    </w:p>
    <w:p w:rsidR="001A7744" w:rsidRPr="005C600B" w:rsidP="001A7744">
      <w:pPr>
        <w:jc w:val="both"/>
        <w:rPr>
          <w:rFonts w:asciiTheme="minorHAnsi" w:hAnsiTheme="minorHAnsi" w:cstheme="minorHAnsi"/>
          <w:b/>
          <w:szCs w:val="24"/>
        </w:rPr>
      </w:pPr>
      <w:r w:rsidRPr="005C600B">
        <w:rPr>
          <w:rFonts w:asciiTheme="minorHAnsi" w:hAnsiTheme="minorHAnsi" w:cstheme="minorHAnsi"/>
          <w:b/>
          <w:szCs w:val="24"/>
        </w:rPr>
        <w:t xml:space="preserve">Exmo. Presidente Vereador </w:t>
      </w:r>
      <w:r w:rsidRPr="005C600B">
        <w:rPr>
          <w:rFonts w:asciiTheme="minorHAnsi" w:hAnsiTheme="minorHAnsi" w:cstheme="minorHAnsi"/>
          <w:b/>
          <w:szCs w:val="24"/>
        </w:rPr>
        <w:t>José Osvaldo Cavalcante Beloni (Kiko Beloni)</w:t>
      </w:r>
      <w:r w:rsidRPr="005C600B" w:rsidR="00C55A39">
        <w:rPr>
          <w:rFonts w:asciiTheme="minorHAnsi" w:hAnsiTheme="minorHAnsi" w:cstheme="minorHAnsi"/>
          <w:b/>
          <w:szCs w:val="24"/>
        </w:rPr>
        <w:t>.</w:t>
      </w:r>
    </w:p>
    <w:p w:rsidR="001A7744" w:rsidP="001A7744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DA6245" w:rsidP="001A7744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DA6245" w:rsidP="001A7744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5A0ABB" w:rsidP="00BE19CF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szCs w:val="24"/>
        </w:rPr>
        <w:t xml:space="preserve">Trata-se de parecer jurídico ao projeto em epígrafe que </w:t>
      </w:r>
      <w:r w:rsidRPr="00BE19CF">
        <w:rPr>
          <w:rFonts w:asciiTheme="minorHAnsi" w:hAnsiTheme="minorHAnsi" w:cstheme="minorHAnsi"/>
          <w:i/>
          <w:szCs w:val="24"/>
        </w:rPr>
        <w:t>“</w:t>
      </w:r>
      <w:r w:rsidRPr="00BE19CF" w:rsidR="00BE19CF">
        <w:rPr>
          <w:rFonts w:asciiTheme="minorHAnsi" w:hAnsiTheme="minorHAnsi" w:cstheme="minorHAnsi"/>
          <w:i/>
          <w:szCs w:val="24"/>
        </w:rPr>
        <w:t>Altera dispositivos da Lei nº 5.553, de 13 de novembro de 2017, que institui o programa “Banco de ração e utensílios para animais” no Município de Valinhos, e dá outras providências</w:t>
      </w:r>
      <w:r w:rsidRPr="00BE19CF" w:rsidR="00801235">
        <w:rPr>
          <w:rFonts w:asciiTheme="minorHAnsi" w:hAnsiTheme="minorHAnsi" w:cstheme="minorHAnsi"/>
          <w:i/>
          <w:szCs w:val="24"/>
        </w:rPr>
        <w:t>.</w:t>
      </w:r>
      <w:r w:rsidR="00797747">
        <w:rPr>
          <w:rFonts w:asciiTheme="minorHAnsi" w:hAnsiTheme="minorHAnsi" w:cstheme="minorHAnsi"/>
          <w:i/>
          <w:szCs w:val="24"/>
        </w:rPr>
        <w:t xml:space="preserve">”, </w:t>
      </w:r>
      <w:r w:rsidR="00797747">
        <w:rPr>
          <w:rFonts w:asciiTheme="minorHAnsi" w:hAnsiTheme="minorHAnsi" w:cstheme="minorHAnsi"/>
          <w:szCs w:val="24"/>
        </w:rPr>
        <w:t>nos seguintes termos:</w:t>
      </w:r>
    </w:p>
    <w:tbl>
      <w:tblPr>
        <w:tblStyle w:val="TableGrid"/>
        <w:tblW w:w="0" w:type="auto"/>
        <w:tblLayout w:type="fixed"/>
        <w:tblLook w:val="04A0"/>
      </w:tblPr>
      <w:tblGrid>
        <w:gridCol w:w="4361"/>
        <w:gridCol w:w="4359"/>
      </w:tblGrid>
      <w:tr w:rsidTr="00BE38D4">
        <w:tblPrEx>
          <w:tblW w:w="0" w:type="auto"/>
          <w:tblLayout w:type="fixed"/>
          <w:tblLook w:val="04A0"/>
        </w:tblPrEx>
        <w:trPr>
          <w:trHeight w:val="322"/>
        </w:trPr>
        <w:tc>
          <w:tcPr>
            <w:tcW w:w="4361" w:type="dxa"/>
            <w:shd w:val="clear" w:color="auto" w:fill="B8CCE4" w:themeFill="accent1" w:themeFillTint="66"/>
          </w:tcPr>
          <w:p w:rsidR="00B36A29" w:rsidRPr="000A15BC" w:rsidP="00BE38D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B36A29" w:rsidRPr="000A15BC" w:rsidP="00BE38D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15B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Lei nº 5.553/2017</w:t>
            </w:r>
          </w:p>
          <w:p w:rsidR="00B36A29" w:rsidRPr="000A15BC" w:rsidP="00B36A29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B8CCE4" w:themeFill="accent1" w:themeFillTint="66"/>
          </w:tcPr>
          <w:p w:rsidR="00B36A29" w:rsidRPr="000A15BC" w:rsidP="00BE38D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B36A29" w:rsidRPr="000A15BC" w:rsidP="00BE38D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15BC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Projeto de Lei nº 53/2025</w:t>
            </w:r>
          </w:p>
          <w:p w:rsidR="00B36A29" w:rsidRPr="000A15BC" w:rsidP="00BE38D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</w:tr>
      <w:tr w:rsidTr="00BE38D4">
        <w:tblPrEx>
          <w:tblW w:w="0" w:type="auto"/>
          <w:tblLayout w:type="fixed"/>
          <w:tblLook w:val="04A0"/>
        </w:tblPrEx>
        <w:trPr>
          <w:trHeight w:val="115"/>
        </w:trPr>
        <w:tc>
          <w:tcPr>
            <w:tcW w:w="4361" w:type="dxa"/>
          </w:tcPr>
          <w:p w:rsidR="00B36A29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Art. 3º. São beneficiários do “Banco de Ração e Utensílios para Animais”: </w:t>
            </w: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I. VETADO; </w:t>
            </w: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II. ONGs (Organizações Não Governamentais) ligadas à causa </w:t>
            </w: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>animal, devidamente constituídas e cadastradas</w:t>
            </w: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; </w:t>
            </w: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8A5F7D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III. VETADO; e </w:t>
            </w: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2501C0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</w:pPr>
          </w:p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>IV. VETADO.</w:t>
            </w:r>
          </w:p>
          <w:p w:rsidR="000A15BC" w:rsidRPr="000A15BC" w:rsidP="000A15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A15BC" w:rsidP="000A15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A5F7D" w:rsidRPr="000A15BC" w:rsidP="000A15BC">
            <w:pPr>
              <w:ind w:firstLine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59" w:type="dxa"/>
          </w:tcPr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 xml:space="preserve">Art. 1º O artigo 3º da Lei nº 5.553, de 13 de novembro de 2017, passa a vigorar com a seguinte redação: 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 xml:space="preserve">Art. 3º São beneficiários do Banco de Ração e Utensílios para Animais: 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I - protetores independentes residentes no município e previamente cadastrados; 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II - organizações não governamentais ligadas à causa animal no município, devidamente constituídas, em situação cadastral e fiscal regular e previamente cadastradas; 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III - munícipes cadastrados no Cadastro Único para Programas Sociais do Governo Federal – </w:t>
            </w: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>CadÚnico</w:t>
            </w: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 xml:space="preserve">; 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36A29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>IV - munícipes em situação de vulnerabilidade, assistidos pela Secretaria</w:t>
            </w:r>
            <w:r w:rsidRPr="000A15BC" w:rsidR="007B4064">
              <w:rPr>
                <w:rFonts w:asciiTheme="minorHAnsi" w:hAnsiTheme="minorHAnsi"/>
                <w:b/>
                <w:sz w:val="22"/>
                <w:szCs w:val="22"/>
              </w:rPr>
              <w:t xml:space="preserve"> de Assistência Social.</w:t>
            </w:r>
          </w:p>
          <w:p w:rsidR="0005221D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Tr="00BE38D4">
        <w:tblPrEx>
          <w:tblW w:w="0" w:type="auto"/>
          <w:tblLayout w:type="fixed"/>
          <w:tblLook w:val="04A0"/>
        </w:tblPrEx>
        <w:trPr>
          <w:trHeight w:val="115"/>
        </w:trPr>
        <w:tc>
          <w:tcPr>
            <w:tcW w:w="4361" w:type="dxa"/>
          </w:tcPr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Art. 4º. Fica proibida a comercialização dos gêneros alimentícios e dos utensílios coletados </w:t>
            </w:r>
            <w:r w:rsidRPr="000A15B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 xml:space="preserve">e doados </w:t>
            </w: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pelo “Banco de Ração e Utensílios para Animais”. </w:t>
            </w:r>
          </w:p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color w:val="000000"/>
                <w:sz w:val="22"/>
                <w:szCs w:val="22"/>
              </w:rPr>
            </w:pPr>
          </w:p>
          <w:p w:rsidR="00B36A29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Parágrafo único. A arrecadação dos gêneros alimentícios </w:t>
            </w:r>
            <w:r w:rsidRPr="006A2B4C">
              <w:rPr>
                <w:rFonts w:eastAsia="Calibri" w:asciiTheme="minorHAnsi" w:hAnsiTheme="minorHAnsi"/>
                <w:b/>
                <w:color w:val="000000"/>
                <w:sz w:val="22"/>
                <w:szCs w:val="22"/>
              </w:rPr>
              <w:t>e dos utensílios</w:t>
            </w:r>
            <w:r w:rsidRPr="000A15BC">
              <w:rPr>
                <w:rFonts w:eastAsia="Calibri" w:asciiTheme="minorHAnsi" w:hAnsiTheme="minorHAnsi"/>
                <w:color w:val="000000"/>
                <w:sz w:val="22"/>
                <w:szCs w:val="22"/>
              </w:rPr>
              <w:t xml:space="preserve"> far-se-á sem ônus para o Executivo Municipal.</w:t>
            </w:r>
          </w:p>
        </w:tc>
        <w:tc>
          <w:tcPr>
            <w:tcW w:w="4359" w:type="dxa"/>
          </w:tcPr>
          <w:p w:rsidR="00B36A29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>Art. 2º O artigo 4º da Lei nº 5.553, de 13 de novembro de 2017, passa a vigorar com a seguinte redação: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 xml:space="preserve">Art. 4º Fica proibida a comercialização dos gêneros alimentícios e dos utensílios coletados </w:t>
            </w:r>
            <w:r w:rsidRPr="000A15BC">
              <w:rPr>
                <w:rFonts w:asciiTheme="minorHAnsi" w:hAnsiTheme="minorHAnsi"/>
                <w:b/>
                <w:sz w:val="22"/>
                <w:szCs w:val="22"/>
              </w:rPr>
              <w:t>e distribuídos</w:t>
            </w:r>
            <w:r w:rsidRPr="000A15BC">
              <w:rPr>
                <w:rFonts w:asciiTheme="minorHAnsi" w:hAnsiTheme="minorHAnsi"/>
                <w:sz w:val="22"/>
                <w:szCs w:val="22"/>
              </w:rPr>
              <w:t xml:space="preserve"> pelo Banco de Ração e Utensílios para Animais. 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F43046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>Parágrafo único – A arrecadação dos gêneros alimentícios far-se-á sem ônus para o Executivo Municipal.</w:t>
            </w:r>
          </w:p>
          <w:p w:rsidR="007B4064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Tr="00BE38D4">
        <w:tblPrEx>
          <w:tblW w:w="0" w:type="auto"/>
          <w:tblLayout w:type="fixed"/>
          <w:tblLook w:val="04A0"/>
        </w:tblPrEx>
        <w:trPr>
          <w:trHeight w:val="115"/>
        </w:trPr>
        <w:tc>
          <w:tcPr>
            <w:tcW w:w="4361" w:type="dxa"/>
          </w:tcPr>
          <w:p w:rsidR="00B36A29" w:rsidRPr="000A15BC" w:rsidP="00BE38D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59" w:type="dxa"/>
          </w:tcPr>
          <w:p w:rsidR="00B36A29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B36A29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A15BC">
              <w:rPr>
                <w:rFonts w:asciiTheme="minorHAnsi" w:hAnsiTheme="minorHAnsi"/>
                <w:sz w:val="22"/>
                <w:szCs w:val="22"/>
              </w:rPr>
              <w:t>Art. 3º. Esta Lei entra em vigor na data de sua publicação.</w:t>
            </w:r>
          </w:p>
          <w:p w:rsidR="00B36A29" w:rsidRPr="000A15BC" w:rsidP="00BE38D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97747" w:rsidRPr="00797747" w:rsidP="00BE19CF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806E4C" w:rsidRPr="005C600B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 w:rsidRPr="005C600B">
        <w:rPr>
          <w:rFonts w:asciiTheme="minorHAnsi" w:hAnsiTheme="minorHAnsi" w:cstheme="minorHAnsi"/>
          <w:szCs w:val="24"/>
        </w:rPr>
        <w:tab/>
      </w:r>
      <w:r w:rsidRPr="005C600B">
        <w:rPr>
          <w:rFonts w:asciiTheme="minorHAnsi" w:hAnsiTheme="minorHAnsi" w:cstheme="minorHAnsi"/>
          <w:i/>
        </w:rPr>
        <w:t>Ab initio</w:t>
      </w:r>
      <w:r w:rsidRPr="005C600B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5C600B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C600B">
        <w:rPr>
          <w:rFonts w:asciiTheme="minorHAnsi" w:hAnsiTheme="minorHAnsi" w:cstheme="minorHAnsi"/>
          <w:szCs w:val="24"/>
        </w:rPr>
        <w:t>Outrossim</w:t>
      </w:r>
      <w:r w:rsidRPr="005C600B">
        <w:rPr>
          <w:rFonts w:asciiTheme="minorHAnsi" w:hAnsiTheme="minorHAnsi" w:cstheme="minorHAnsi"/>
          <w:szCs w:val="24"/>
        </w:rPr>
        <w:t>, ressalta-se que a opinião jurídica exarada neste parecer não tem força vinculante, sendo meramente opinativo não fundamentando decisão proferida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C600B">
        <w:rPr>
          <w:rFonts w:asciiTheme="minorHAnsi" w:hAnsiTheme="minorHAnsi" w:cstheme="minorHAnsi"/>
          <w:szCs w:val="24"/>
        </w:rPr>
        <w:t xml:space="preserve">. </w:t>
      </w:r>
    </w:p>
    <w:p w:rsidR="005C600B" w:rsidP="005C600B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5C600B"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C600B">
        <w:rPr>
          <w:rFonts w:asciiTheme="minorHAnsi" w:hAnsiTheme="minorHAnsi" w:cstheme="minorHAnsi"/>
          <w:szCs w:val="24"/>
        </w:rPr>
        <w:t>Desta feita, considerando os aspectos jurídicos passamos a análise técnica do projeto em epígrafe solicitado.</w:t>
      </w:r>
    </w:p>
    <w:p w:rsidR="00801235" w:rsidRPr="005C600B" w:rsidP="005C600B">
      <w:pPr>
        <w:tabs>
          <w:tab w:val="left" w:pos="1701"/>
        </w:tabs>
        <w:spacing w:after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</w:rPr>
        <w:t xml:space="preserve">No que tange à competência municipal os Municípios foram dotados de autonomia legislativa </w:t>
      </w:r>
      <w:r w:rsidRPr="005C600B">
        <w:rPr>
          <w:rFonts w:asciiTheme="minorHAnsi" w:hAnsiTheme="minorHAnsi" w:cs="Calibri"/>
        </w:rPr>
        <w:t xml:space="preserve">que vem consubstanciada na capacidade de legislar sobre assuntos de interesse local (art. 30, I da CRFB) e de suplementar a legislação federal e a estadual no que couber (art. 30, II da CRFB), </w:t>
      </w:r>
      <w:r w:rsidRPr="005C600B">
        <w:rPr>
          <w:rFonts w:asciiTheme="minorHAnsi" w:hAnsiTheme="minorHAnsi" w:cs="Calibri"/>
          <w:i/>
        </w:rPr>
        <w:t>in verbis</w:t>
      </w:r>
      <w:r w:rsidRPr="005C600B">
        <w:rPr>
          <w:rFonts w:asciiTheme="minorHAnsi" w:hAnsiTheme="minorHAnsi" w:cs="Calibri"/>
        </w:rPr>
        <w:t>:</w:t>
      </w:r>
    </w:p>
    <w:p w:rsidR="00801235" w:rsidRPr="005C600B" w:rsidP="00801235">
      <w:pPr>
        <w:pStyle w:val="Default"/>
        <w:spacing w:after="120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</w:pPr>
      <w:r w:rsidRPr="005C600B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 xml:space="preserve">Art. 30. Compete aos Municípios: </w:t>
      </w:r>
    </w:p>
    <w:p w:rsidR="00801235" w:rsidRPr="005C600B" w:rsidP="00801235">
      <w:pPr>
        <w:pStyle w:val="Default"/>
        <w:spacing w:after="120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</w:pPr>
      <w:r w:rsidRPr="005C600B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 xml:space="preserve">I - legislar sobre assuntos de interesse local; </w:t>
      </w:r>
    </w:p>
    <w:p w:rsidR="00801235" w:rsidRPr="005C600B" w:rsidP="00801235">
      <w:pPr>
        <w:pStyle w:val="Default"/>
        <w:spacing w:after="240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</w:pPr>
      <w:r w:rsidRPr="005C600B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>II - suplementar a legislação federal e a estadual no que couber;</w:t>
      </w:r>
    </w:p>
    <w:p w:rsidR="00801235" w:rsidRPr="005C600B" w:rsidP="00BE19CF">
      <w:pPr>
        <w:tabs>
          <w:tab w:val="left" w:pos="1701"/>
          <w:tab w:val="left" w:pos="2268"/>
        </w:tabs>
        <w:spacing w:line="360" w:lineRule="auto"/>
        <w:ind w:firstLine="1701"/>
        <w:jc w:val="both"/>
        <w:rPr>
          <w:rFonts w:asciiTheme="minorHAnsi" w:hAnsiTheme="minorHAnsi" w:cs="Calibri"/>
          <w:sz w:val="12"/>
          <w:szCs w:val="12"/>
        </w:rPr>
      </w:pPr>
      <w:r w:rsidRPr="005C600B">
        <w:rPr>
          <w:rFonts w:asciiTheme="minorHAnsi" w:hAnsiTheme="minorHAnsi" w:cs="Calibri"/>
          <w:szCs w:val="24"/>
        </w:rPr>
        <w:t>No mesmo sentido, segue previsão da Lei Orgânica do Município de Valinhos:</w:t>
      </w:r>
    </w:p>
    <w:p w:rsidR="00801235" w:rsidRPr="005C600B" w:rsidP="00BE19CF">
      <w:pPr>
        <w:pStyle w:val="Default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</w:rPr>
      </w:pPr>
      <w:r w:rsidRPr="005C600B">
        <w:rPr>
          <w:rFonts w:asciiTheme="minorHAnsi" w:hAnsiTheme="minorHAnsi" w:cs="Calibri"/>
          <w:b/>
          <w:bCs/>
          <w:i/>
          <w:color w:val="auto"/>
          <w:sz w:val="22"/>
          <w:szCs w:val="22"/>
        </w:rPr>
        <w:t xml:space="preserve"> Artigo 8º - </w:t>
      </w:r>
      <w:r w:rsidRPr="005C600B">
        <w:rPr>
          <w:rFonts w:asciiTheme="minorHAnsi" w:hAnsiTheme="minorHAnsi" w:cs="Calibri"/>
          <w:i/>
          <w:color w:val="auto"/>
          <w:sz w:val="22"/>
          <w:szCs w:val="22"/>
        </w:rPr>
        <w:t xml:space="preserve">Cabe à Câmara, com a sanção do Prefeito, observadas as determinações e a hierarquia constitucional, </w:t>
      </w:r>
      <w:r w:rsidRPr="005C600B">
        <w:rPr>
          <w:rFonts w:asciiTheme="minorHAnsi" w:hAnsiTheme="minorHAnsi" w:cs="Calibri"/>
          <w:b/>
          <w:i/>
          <w:color w:val="auto"/>
          <w:sz w:val="22"/>
          <w:szCs w:val="22"/>
        </w:rPr>
        <w:t>suplementar a legislação Federal e Estadual</w:t>
      </w:r>
      <w:r w:rsidRPr="005C600B">
        <w:rPr>
          <w:rFonts w:asciiTheme="minorHAnsi" w:hAnsiTheme="minorHAnsi" w:cs="Calibri"/>
          <w:i/>
          <w:color w:val="auto"/>
          <w:sz w:val="22"/>
          <w:szCs w:val="22"/>
        </w:rPr>
        <w:t xml:space="preserve"> e fiscalizar, mediante controle externo, a administração direta ou indireta, as fundações e as empresas em que o Município detenha a maioria do capital social com direito a voto, especialmente:</w:t>
      </w:r>
    </w:p>
    <w:p w:rsidR="00801235" w:rsidRPr="005C600B" w:rsidP="00BE19CF">
      <w:pPr>
        <w:pStyle w:val="Default"/>
        <w:spacing w:after="80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</w:rPr>
      </w:pPr>
      <w:r w:rsidRPr="005C600B">
        <w:rPr>
          <w:rFonts w:asciiTheme="minorHAnsi" w:hAnsiTheme="minorHAnsi" w:cs="Calibri"/>
          <w:bCs/>
          <w:i/>
          <w:color w:val="auto"/>
          <w:sz w:val="22"/>
          <w:szCs w:val="22"/>
        </w:rPr>
        <w:t>(.</w:t>
      </w:r>
      <w:r w:rsidRPr="005C600B">
        <w:rPr>
          <w:rFonts w:asciiTheme="minorHAnsi" w:hAnsiTheme="minorHAnsi" w:cs="Calibri"/>
          <w:i/>
          <w:color w:val="auto"/>
          <w:sz w:val="22"/>
          <w:szCs w:val="22"/>
        </w:rPr>
        <w:t>..)</w:t>
      </w:r>
    </w:p>
    <w:p w:rsidR="00801235" w:rsidRPr="005C600B" w:rsidP="00BE19CF">
      <w:pPr>
        <w:tabs>
          <w:tab w:val="left" w:pos="6315"/>
        </w:tabs>
        <w:spacing w:after="80"/>
        <w:ind w:left="2268"/>
        <w:jc w:val="both"/>
        <w:rPr>
          <w:rFonts w:eastAsia="Calibri" w:asciiTheme="minorHAnsi" w:hAnsiTheme="minorHAnsi" w:cs="Calibri"/>
          <w:i/>
        </w:rPr>
      </w:pPr>
      <w:r w:rsidRPr="005C600B">
        <w:rPr>
          <w:rFonts w:eastAsia="Calibri" w:asciiTheme="minorHAnsi" w:hAnsiTheme="minorHAnsi" w:cs="Calibri"/>
          <w:i/>
        </w:rPr>
        <w:t xml:space="preserve">I - legislar sobre assuntos de </w:t>
      </w:r>
      <w:r w:rsidRPr="005C600B">
        <w:rPr>
          <w:rFonts w:eastAsia="Calibri" w:asciiTheme="minorHAnsi" w:hAnsiTheme="minorHAnsi" w:cs="Calibri"/>
          <w:b/>
          <w:i/>
        </w:rPr>
        <w:t>interesse local;</w:t>
      </w:r>
    </w:p>
    <w:p w:rsidR="00801235" w:rsidRPr="005C600B" w:rsidP="00BE19CF">
      <w:pPr>
        <w:pStyle w:val="Default"/>
        <w:spacing w:after="80"/>
        <w:ind w:left="2268"/>
        <w:jc w:val="both"/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</w:pPr>
      <w:r w:rsidRPr="005C600B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 xml:space="preserve">II - </w:t>
      </w:r>
      <w:r w:rsidRPr="005C600B">
        <w:rPr>
          <w:rFonts w:asciiTheme="minorHAnsi" w:hAnsiTheme="minorHAnsi" w:cs="Calibri"/>
          <w:b/>
          <w:i/>
          <w:color w:val="auto"/>
          <w:sz w:val="22"/>
          <w:szCs w:val="22"/>
          <w:lang w:eastAsia="en-US"/>
        </w:rPr>
        <w:t>suplementar a legislação federal e a estadual</w:t>
      </w:r>
      <w:r w:rsidRPr="005C600B">
        <w:rPr>
          <w:rFonts w:asciiTheme="minorHAnsi" w:hAnsiTheme="minorHAnsi" w:cs="Calibri"/>
          <w:i/>
          <w:color w:val="auto"/>
          <w:sz w:val="22"/>
          <w:szCs w:val="22"/>
          <w:lang w:eastAsia="en-US"/>
        </w:rPr>
        <w:t xml:space="preserve"> no que couber;</w:t>
      </w:r>
    </w:p>
    <w:p w:rsidR="00801235" w:rsidRPr="005C600B" w:rsidP="00801235">
      <w:pPr>
        <w:tabs>
          <w:tab w:val="left" w:pos="6315"/>
        </w:tabs>
        <w:ind w:left="2268"/>
        <w:jc w:val="both"/>
        <w:rPr>
          <w:rFonts w:eastAsia="Calibri" w:asciiTheme="minorHAnsi" w:hAnsiTheme="minorHAnsi" w:cs="Calibri"/>
          <w:i/>
          <w:sz w:val="12"/>
          <w:szCs w:val="12"/>
        </w:rPr>
      </w:pPr>
    </w:p>
    <w:p w:rsidR="00801235" w:rsidRPr="005C600B" w:rsidP="00801235">
      <w:pPr>
        <w:pStyle w:val="Default"/>
        <w:spacing w:after="240" w:line="300" w:lineRule="auto"/>
        <w:ind w:firstLine="1701"/>
        <w:jc w:val="both"/>
        <w:rPr>
          <w:rFonts w:asciiTheme="minorHAnsi" w:hAnsiTheme="minorHAnsi" w:cs="Calibri"/>
        </w:rPr>
      </w:pPr>
      <w:r w:rsidRPr="005C600B">
        <w:rPr>
          <w:rFonts w:asciiTheme="minorHAnsi" w:hAnsiTheme="minorHAnsi" w:cs="Calibri"/>
        </w:rPr>
        <w:t>Acerca do conceito de interesse local o saudoso professor Hely Lopes Meirelles leciona:</w:t>
      </w:r>
    </w:p>
    <w:p w:rsidR="00801235" w:rsidRPr="00EE0BE3" w:rsidP="00801235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</w:pPr>
      <w:r w:rsidRPr="00EE0BE3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"Interesse local não é interesse exclusivo do Município; não é interesse privativo da localidade; não é interesse único dos municípios. Se se exigisse essa exclusividade, </w:t>
      </w:r>
      <w:r w:rsidRPr="00EE0BE3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essa </w:t>
      </w:r>
      <w:r w:rsidRPr="00EE0BE3">
        <w:rPr>
          <w:rFonts w:eastAsia="Calibri" w:asciiTheme="minorHAnsi" w:hAnsiTheme="minorHAnsi" w:cs="Calibri"/>
          <w:i/>
          <w:color w:val="000000"/>
          <w:sz w:val="22"/>
          <w:szCs w:val="22"/>
        </w:rPr>
        <w:t>privatividade</w:t>
      </w:r>
      <w:r w:rsidRPr="00EE0BE3">
        <w:rPr>
          <w:rFonts w:eastAsia="Calibri" w:asciiTheme="minorHAnsi" w:hAnsiTheme="minorHAnsi" w:cs="Calibri"/>
          <w:i/>
          <w:color w:val="000000"/>
          <w:sz w:val="22"/>
          <w:szCs w:val="22"/>
        </w:rPr>
        <w:t>, essa unicidade, bem reduzido</w:t>
      </w:r>
      <w:r w:rsidRPr="00EE0BE3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EE0BE3"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  <w:t>O que define e caracteriza o 'interesse local', inscrito como dogma constitucional, é a predominância do interesse do Município sobre o do Estado ou da União". (</w:t>
      </w:r>
      <w:r w:rsidRPr="00EE0BE3"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  <w:t>gn</w:t>
      </w:r>
      <w:r w:rsidRPr="00EE0BE3">
        <w:rPr>
          <w:rFonts w:eastAsia="Calibri" w:asciiTheme="minorHAnsi" w:hAnsiTheme="minorHAnsi" w:cs="Calibri"/>
          <w:b/>
          <w:i/>
          <w:color w:val="000000"/>
          <w:sz w:val="22"/>
          <w:szCs w:val="22"/>
        </w:rPr>
        <w:t>)</w:t>
      </w:r>
    </w:p>
    <w:p w:rsidR="00801235" w:rsidRPr="00EE0BE3" w:rsidP="00801235">
      <w:pPr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="Calibri"/>
          <w:i/>
          <w:color w:val="000000"/>
          <w:sz w:val="22"/>
          <w:szCs w:val="22"/>
        </w:rPr>
      </w:pPr>
      <w:r w:rsidRPr="00EE0BE3">
        <w:rPr>
          <w:rFonts w:eastAsia="Calibri" w:asciiTheme="minorHAnsi" w:hAnsiTheme="minorHAnsi" w:cs="Calibri"/>
          <w:i/>
          <w:color w:val="000000"/>
          <w:sz w:val="22"/>
          <w:szCs w:val="22"/>
        </w:rPr>
        <w:t xml:space="preserve">(in Direito Municipal Brasileiro, 6ª ed., atualizada por Izabel Camargo Lopes Monteiro e Yara Darcy Police Monteiro, 1993, Malheiros, p. </w:t>
      </w:r>
      <w:r w:rsidRPr="00EE0BE3">
        <w:rPr>
          <w:rFonts w:eastAsia="Calibri" w:asciiTheme="minorHAnsi" w:hAnsiTheme="minorHAnsi" w:cs="Calibri"/>
          <w:i/>
          <w:color w:val="000000"/>
          <w:sz w:val="22"/>
          <w:szCs w:val="22"/>
        </w:rPr>
        <w:t>98)</w:t>
      </w:r>
    </w:p>
    <w:p w:rsidR="00801235" w:rsidRPr="005C600B" w:rsidP="00801235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szCs w:val="24"/>
        </w:rPr>
        <w:t xml:space="preserve">No </w:t>
      </w:r>
      <w:r w:rsidR="005C600B">
        <w:rPr>
          <w:rFonts w:asciiTheme="minorHAnsi" w:hAnsiTheme="minorHAnsi" w:cstheme="minorHAnsi"/>
          <w:szCs w:val="24"/>
        </w:rPr>
        <w:t>concernente</w:t>
      </w:r>
      <w:r w:rsidRPr="005C600B">
        <w:rPr>
          <w:rFonts w:asciiTheme="minorHAnsi" w:hAnsiTheme="minorHAnsi" w:cstheme="minorHAnsi"/>
          <w:szCs w:val="24"/>
        </w:rPr>
        <w:t xml:space="preserve"> à competência para legislar em matéria ambiental</w:t>
      </w:r>
      <w:r w:rsidRPr="005C600B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o art. 24, d</w:t>
      </w:r>
      <w:r w:rsidRPr="005C600B">
        <w:rPr>
          <w:rFonts w:asciiTheme="minorHAnsi" w:hAnsiTheme="minorHAnsi" w:cstheme="minorHAnsi"/>
          <w:szCs w:val="24"/>
        </w:rPr>
        <w:t>a Constituição Federal estabelece:</w:t>
      </w:r>
    </w:p>
    <w:p w:rsidR="00801235" w:rsidRPr="00DA6245" w:rsidP="00801235">
      <w:pPr>
        <w:tabs>
          <w:tab w:val="left" w:pos="2268"/>
        </w:tabs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bookmarkStart w:id="0" w:name="art24"/>
      <w:bookmarkStart w:id="1" w:name="cfart24"/>
      <w:bookmarkEnd w:id="0"/>
      <w:bookmarkEnd w:id="1"/>
      <w:r w:rsidRPr="00DA624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Art. 24. Compete à </w:t>
      </w:r>
      <w:r w:rsidRPr="00DA6245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União, aos Estados e ao Distrito Federal </w:t>
      </w:r>
      <w:r w:rsidRPr="00DA6245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legislar </w:t>
      </w:r>
      <w:r w:rsidRPr="00DA624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concorrentemente sobre:</w:t>
      </w:r>
    </w:p>
    <w:p w:rsidR="00801235" w:rsidRPr="00DA6245" w:rsidP="00801235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DA6245">
        <w:rPr>
          <w:rFonts w:eastAsia="Calibri" w:asciiTheme="minorHAnsi" w:hAnsiTheme="minorHAnsi" w:cstheme="minorHAnsi"/>
          <w:i/>
          <w:sz w:val="22"/>
          <w:szCs w:val="22"/>
        </w:rPr>
        <w:t>(...)</w:t>
      </w:r>
    </w:p>
    <w:p w:rsidR="00801235" w:rsidRPr="00DA6245" w:rsidP="00801235">
      <w:pPr>
        <w:shd w:val="clear" w:color="auto" w:fill="FFFFFF"/>
        <w:tabs>
          <w:tab w:val="left" w:pos="2268"/>
        </w:tabs>
        <w:ind w:left="2268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DA624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VI - florestas, caça, </w:t>
      </w:r>
      <w:r w:rsidRPr="00DA6245">
        <w:rPr>
          <w:rFonts w:asciiTheme="minorHAnsi" w:hAnsiTheme="minorHAnsi" w:cstheme="minorHAnsi"/>
          <w:i/>
          <w:color w:val="000000"/>
          <w:sz w:val="22"/>
          <w:szCs w:val="22"/>
        </w:rPr>
        <w:t>pesca</w:t>
      </w:r>
      <w:r w:rsidRPr="00DA624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, </w:t>
      </w:r>
      <w:r w:rsidRPr="00DA6245">
        <w:rPr>
          <w:rFonts w:asciiTheme="minorHAnsi" w:hAnsiTheme="minorHAnsi" w:cstheme="minorHAnsi"/>
          <w:b/>
          <w:i/>
          <w:color w:val="000000"/>
          <w:sz w:val="22"/>
          <w:szCs w:val="22"/>
        </w:rPr>
        <w:t>fauna</w:t>
      </w:r>
      <w:r w:rsidRPr="00DA6245">
        <w:rPr>
          <w:rFonts w:asciiTheme="minorHAnsi" w:hAnsiTheme="minorHAnsi" w:cstheme="minorHAnsi"/>
          <w:i/>
          <w:color w:val="000000"/>
          <w:sz w:val="22"/>
          <w:szCs w:val="22"/>
        </w:rPr>
        <w:t>, conservação da natureza, defesa do solo e dos recursos naturais, proteção do meio ambiente e controle da poluição;”</w:t>
      </w:r>
    </w:p>
    <w:p w:rsidR="00801235" w:rsidRPr="00DA6245" w:rsidP="00801235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DA6245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(...)</w:t>
      </w:r>
    </w:p>
    <w:p w:rsidR="005C600B" w:rsidRPr="005C600B" w:rsidP="00801235">
      <w:pPr>
        <w:tabs>
          <w:tab w:val="left" w:pos="2268"/>
          <w:tab w:val="left" w:pos="2835"/>
        </w:tabs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i/>
          <w:shd w:val="clear" w:color="auto" w:fill="FFFFFF"/>
        </w:rPr>
      </w:pPr>
    </w:p>
    <w:p w:rsidR="00801235" w:rsidRPr="005C600B" w:rsidP="00801235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szCs w:val="24"/>
        </w:rPr>
        <w:t xml:space="preserve">Entretanto, como dito, os Municípios detém atribuição para “suplementar a legislação federal e a estadual no que couber” constante do art. 30, II, da CF. Nesse aspecto, Pedro </w:t>
      </w:r>
      <w:r w:rsidRPr="005C600B">
        <w:rPr>
          <w:rFonts w:asciiTheme="minorHAnsi" w:hAnsiTheme="minorHAnsi" w:cstheme="minorHAnsi"/>
          <w:szCs w:val="24"/>
        </w:rPr>
        <w:t>Lenza</w:t>
      </w:r>
      <w:r>
        <w:rPr>
          <w:rStyle w:val="FootnoteReference"/>
          <w:rFonts w:asciiTheme="minorHAnsi" w:hAnsiTheme="minorHAnsi" w:cstheme="minorHAnsi"/>
          <w:szCs w:val="24"/>
        </w:rPr>
        <w:footnoteReference w:id="3"/>
      </w:r>
      <w:r w:rsidRPr="005C600B">
        <w:rPr>
          <w:rFonts w:asciiTheme="minorHAnsi" w:hAnsiTheme="minorHAnsi" w:cstheme="minorHAnsi"/>
          <w:szCs w:val="24"/>
        </w:rPr>
        <w:t xml:space="preserve"> assevera: “</w:t>
      </w:r>
      <w:r w:rsidRPr="005C600B">
        <w:rPr>
          <w:rFonts w:asciiTheme="minorHAnsi" w:hAnsiTheme="minorHAnsi" w:cstheme="minorHAnsi"/>
          <w:i/>
          <w:szCs w:val="24"/>
        </w:rPr>
        <w:t>Observar ainda que tal competência se aplica, também, às matérias do art. 24, suplementando as normas gerais e específicas, juntamente com as outras que digam respeito ao peculiar interesse daquela localidade</w:t>
      </w:r>
      <w:r w:rsidRPr="005C600B">
        <w:rPr>
          <w:rFonts w:asciiTheme="minorHAnsi" w:hAnsiTheme="minorHAnsi" w:cstheme="minorHAnsi"/>
          <w:szCs w:val="24"/>
        </w:rPr>
        <w:t>”.</w:t>
      </w:r>
    </w:p>
    <w:p w:rsidR="00801235" w:rsidRPr="005C600B" w:rsidP="00801235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szCs w:val="24"/>
        </w:rPr>
        <w:t>Depreende-se, portanto, ainda que o tema seja de competência concorrente e que os Municípios não estejam expressamente mencionados no caput do art. 24, a eles é dada a atribuição de legislar suplementando a legislação federal e estadual naquilo que for de interesse local.</w:t>
      </w:r>
    </w:p>
    <w:p w:rsidR="00801235" w:rsidRPr="005C600B" w:rsidP="00801235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szCs w:val="24"/>
        </w:rPr>
        <w:t>Nessa esteira, a Suprema Corte consignou no Tema de repercussão geral nº 145 a competência municipal para legislar sobre meio ambiente, vejamos:</w:t>
      </w:r>
    </w:p>
    <w:p w:rsidR="00801235" w:rsidRPr="00DA6245" w:rsidP="00BE19CF">
      <w:pPr>
        <w:spacing w:after="80"/>
        <w:ind w:left="2268"/>
        <w:rPr>
          <w:rFonts w:asciiTheme="minorHAnsi" w:hAnsiTheme="minorHAnsi" w:cs="Arial"/>
          <w:b/>
          <w:bCs/>
          <w:color w:val="333333"/>
          <w:sz w:val="22"/>
          <w:szCs w:val="22"/>
        </w:rPr>
      </w:pPr>
      <w:r w:rsidRPr="00DA6245">
        <w:rPr>
          <w:rFonts w:asciiTheme="minorHAnsi" w:hAnsiTheme="minorHAnsi" w:cs="Arial"/>
          <w:b/>
          <w:bCs/>
          <w:color w:val="333333"/>
          <w:sz w:val="22"/>
          <w:szCs w:val="22"/>
        </w:rPr>
        <w:t>Tese</w:t>
      </w:r>
      <w:r w:rsidR="00BE19CF">
        <w:rPr>
          <w:rFonts w:asciiTheme="minorHAnsi" w:hAnsiTheme="minorHAnsi" w:cs="Arial"/>
          <w:b/>
          <w:bCs/>
          <w:color w:val="333333"/>
          <w:sz w:val="22"/>
          <w:szCs w:val="22"/>
        </w:rPr>
        <w:t xml:space="preserve"> 145</w:t>
      </w:r>
    </w:p>
    <w:p w:rsidR="00801235" w:rsidRPr="00DA6245" w:rsidP="00801235">
      <w:pPr>
        <w:spacing w:after="80" w:line="300" w:lineRule="auto"/>
        <w:ind w:left="2268"/>
        <w:jc w:val="both"/>
        <w:rPr>
          <w:rFonts w:asciiTheme="minorHAnsi" w:hAnsiTheme="minorHAnsi" w:cs="Arial"/>
          <w:i/>
          <w:color w:val="333333"/>
          <w:sz w:val="22"/>
          <w:szCs w:val="22"/>
        </w:rPr>
      </w:pPr>
      <w:r w:rsidRPr="00DA6245">
        <w:rPr>
          <w:rFonts w:asciiTheme="minorHAnsi" w:hAnsiTheme="minorHAnsi" w:cs="Arial"/>
          <w:b/>
          <w:i/>
          <w:color w:val="333333"/>
          <w:sz w:val="22"/>
          <w:szCs w:val="22"/>
        </w:rPr>
        <w:t>O município é competente para legislar sobre o meio ambiente</w:t>
      </w:r>
      <w:r w:rsidRPr="00DA6245">
        <w:rPr>
          <w:rFonts w:asciiTheme="minorHAnsi" w:hAnsiTheme="minorHAnsi" w:cs="Arial"/>
          <w:i/>
          <w:color w:val="333333"/>
          <w:sz w:val="22"/>
          <w:szCs w:val="22"/>
        </w:rPr>
        <w:t xml:space="preserve"> com a União e o Estado, no limite do seu interesse local e desde que tal regramento seja harmônico com a disciplina estabelecida pelos demais entes federados (art. 24</w:t>
      </w:r>
      <w:r w:rsidRPr="00DA6245">
        <w:rPr>
          <w:rFonts w:asciiTheme="minorHAnsi" w:hAnsiTheme="minorHAnsi" w:cs="Arial"/>
          <w:i/>
          <w:color w:val="333333"/>
          <w:sz w:val="22"/>
          <w:szCs w:val="22"/>
        </w:rPr>
        <w:t>, VI</w:t>
      </w:r>
      <w:r w:rsidRPr="00DA6245">
        <w:rPr>
          <w:rFonts w:asciiTheme="minorHAnsi" w:hAnsiTheme="minorHAnsi" w:cs="Arial"/>
          <w:i/>
          <w:color w:val="333333"/>
          <w:sz w:val="22"/>
          <w:szCs w:val="22"/>
        </w:rPr>
        <w:t>, c/c 30, I e II, da Constituição Federal). (</w:t>
      </w:r>
      <w:r w:rsidRPr="00DA6245">
        <w:rPr>
          <w:rFonts w:asciiTheme="minorHAnsi" w:hAnsiTheme="minorHAnsi" w:cs="Arial"/>
          <w:i/>
          <w:color w:val="333333"/>
          <w:sz w:val="22"/>
          <w:szCs w:val="22"/>
        </w:rPr>
        <w:t>gn</w:t>
      </w:r>
      <w:r w:rsidRPr="00DA6245">
        <w:rPr>
          <w:rFonts w:asciiTheme="minorHAnsi" w:hAnsiTheme="minorHAnsi" w:cs="Arial"/>
          <w:i/>
          <w:color w:val="333333"/>
          <w:sz w:val="22"/>
          <w:szCs w:val="22"/>
        </w:rPr>
        <w:t>)</w:t>
      </w:r>
    </w:p>
    <w:p w:rsidR="00801235" w:rsidRPr="005C600B" w:rsidP="00801235">
      <w:pPr>
        <w:spacing w:after="80"/>
        <w:ind w:left="2268"/>
        <w:jc w:val="both"/>
        <w:rPr>
          <w:rFonts w:asciiTheme="minorHAnsi" w:hAnsiTheme="minorHAnsi" w:cs="Arial"/>
          <w:i/>
          <w:color w:val="333333"/>
          <w:sz w:val="4"/>
          <w:szCs w:val="4"/>
        </w:rPr>
      </w:pPr>
    </w:p>
    <w:p w:rsidR="00801235" w:rsidRPr="005C600B" w:rsidP="0080123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  <w:r w:rsidRPr="005C600B">
        <w:rPr>
          <w:rFonts w:asciiTheme="minorHAnsi" w:hAnsiTheme="minorHAnsi" w:cstheme="minorHAnsi"/>
          <w:szCs w:val="24"/>
        </w:rPr>
        <w:t>Do mesmo modo, a Constituição Federal estabelece como hipótese de competência comum (material ou administrativa) dos entes federativos preservar a fauna:</w:t>
      </w:r>
    </w:p>
    <w:p w:rsidR="00801235" w:rsidRPr="00DA6245" w:rsidP="00DA6245">
      <w:pPr>
        <w:tabs>
          <w:tab w:val="left" w:pos="2977"/>
        </w:tabs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245">
        <w:rPr>
          <w:rFonts w:asciiTheme="minorHAnsi" w:hAnsiTheme="minorHAnsi" w:cstheme="minorHAnsi"/>
          <w:i/>
          <w:sz w:val="22"/>
          <w:szCs w:val="22"/>
        </w:rPr>
        <w:t xml:space="preserve">Art. 23. É </w:t>
      </w:r>
      <w:r w:rsidRPr="00DA6245">
        <w:rPr>
          <w:rFonts w:asciiTheme="minorHAnsi" w:hAnsiTheme="minorHAnsi" w:cstheme="minorHAnsi"/>
          <w:b/>
          <w:i/>
          <w:sz w:val="22"/>
          <w:szCs w:val="22"/>
        </w:rPr>
        <w:t xml:space="preserve">competência comum </w:t>
      </w:r>
      <w:r w:rsidRPr="00DA6245">
        <w:rPr>
          <w:rFonts w:asciiTheme="minorHAnsi" w:hAnsiTheme="minorHAnsi" w:cstheme="minorHAnsi"/>
          <w:i/>
          <w:sz w:val="22"/>
          <w:szCs w:val="22"/>
        </w:rPr>
        <w:t xml:space="preserve">da União, dos Estados, do Distrito Federal e dos </w:t>
      </w:r>
      <w:r w:rsidRPr="00DA6245">
        <w:rPr>
          <w:rFonts w:asciiTheme="minorHAnsi" w:hAnsiTheme="minorHAnsi" w:cstheme="minorHAnsi"/>
          <w:b/>
          <w:i/>
          <w:sz w:val="22"/>
          <w:szCs w:val="22"/>
        </w:rPr>
        <w:t>Municípios</w:t>
      </w:r>
      <w:r w:rsidRPr="00DA6245">
        <w:rPr>
          <w:rFonts w:asciiTheme="minorHAnsi" w:hAnsiTheme="minorHAnsi" w:cstheme="minorHAnsi"/>
          <w:i/>
          <w:sz w:val="22"/>
          <w:szCs w:val="22"/>
        </w:rPr>
        <w:t>:</w:t>
      </w:r>
    </w:p>
    <w:p w:rsidR="00801235" w:rsidRPr="00DA6245" w:rsidP="00DA6245">
      <w:pPr>
        <w:tabs>
          <w:tab w:val="left" w:pos="2977"/>
        </w:tabs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24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801235" w:rsidRPr="00DA6245" w:rsidP="00DA6245">
      <w:pPr>
        <w:tabs>
          <w:tab w:val="left" w:pos="2977"/>
        </w:tabs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245">
        <w:rPr>
          <w:rFonts w:asciiTheme="minorHAnsi" w:hAnsiTheme="minorHAnsi" w:cstheme="minorHAnsi"/>
          <w:i/>
          <w:sz w:val="22"/>
          <w:szCs w:val="22"/>
        </w:rPr>
        <w:t xml:space="preserve">VII - preservar as florestas, a </w:t>
      </w:r>
      <w:r w:rsidRPr="00DA6245">
        <w:rPr>
          <w:rFonts w:asciiTheme="minorHAnsi" w:hAnsiTheme="minorHAnsi" w:cstheme="minorHAnsi"/>
          <w:b/>
          <w:i/>
          <w:sz w:val="22"/>
          <w:szCs w:val="22"/>
        </w:rPr>
        <w:t xml:space="preserve">fauna </w:t>
      </w:r>
      <w:r w:rsidRPr="00DA6245">
        <w:rPr>
          <w:rFonts w:asciiTheme="minorHAnsi" w:hAnsiTheme="minorHAnsi" w:cstheme="minorHAnsi"/>
          <w:i/>
          <w:sz w:val="22"/>
          <w:szCs w:val="22"/>
        </w:rPr>
        <w:t>e a flora;</w:t>
      </w:r>
    </w:p>
    <w:p w:rsidR="00801235" w:rsidRPr="00DA6245" w:rsidP="00DA6245">
      <w:pPr>
        <w:tabs>
          <w:tab w:val="left" w:pos="2977"/>
        </w:tabs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DA624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801235" w:rsidRPr="00F57E55" w:rsidP="0080123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bCs/>
          <w:sz w:val="12"/>
          <w:szCs w:val="12"/>
        </w:rPr>
      </w:pPr>
    </w:p>
    <w:p w:rsidR="00801235" w:rsidRPr="005C600B" w:rsidP="0080123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Theme="minorHAnsi" w:hAnsiTheme="minorHAnsi" w:cstheme="minorHAnsi"/>
          <w:bCs/>
          <w:szCs w:val="24"/>
        </w:rPr>
      </w:pPr>
      <w:r w:rsidRPr="005C600B">
        <w:rPr>
          <w:rFonts w:asciiTheme="minorHAnsi" w:hAnsiTheme="minorHAnsi" w:cstheme="minorHAnsi"/>
          <w:bCs/>
          <w:szCs w:val="24"/>
        </w:rPr>
        <w:t xml:space="preserve">Nesse sentido é o entendimento do </w:t>
      </w:r>
      <w:r w:rsidR="00AB523A">
        <w:rPr>
          <w:rFonts w:asciiTheme="minorHAnsi" w:hAnsiTheme="minorHAnsi" w:cstheme="minorHAnsi"/>
          <w:bCs/>
          <w:szCs w:val="24"/>
        </w:rPr>
        <w:t xml:space="preserve">E. </w:t>
      </w:r>
      <w:r w:rsidRPr="005C600B">
        <w:rPr>
          <w:rFonts w:asciiTheme="minorHAnsi" w:hAnsiTheme="minorHAnsi" w:cstheme="minorHAnsi"/>
          <w:bCs/>
          <w:szCs w:val="24"/>
        </w:rPr>
        <w:t xml:space="preserve">Tribunal de Justiça do Estado de São Paulo acerca da </w:t>
      </w:r>
      <w:r w:rsidRPr="00114A64">
        <w:rPr>
          <w:rFonts w:asciiTheme="minorHAnsi" w:hAnsiTheme="minorHAnsi" w:cstheme="minorHAnsi"/>
          <w:bCs/>
          <w:szCs w:val="24"/>
          <w:u w:val="single"/>
        </w:rPr>
        <w:t>competência municipal em matéria ambiental</w:t>
      </w:r>
      <w:r w:rsidRPr="005C600B">
        <w:rPr>
          <w:rFonts w:asciiTheme="minorHAnsi" w:hAnsiTheme="minorHAnsi" w:cstheme="minorHAnsi"/>
          <w:bCs/>
          <w:szCs w:val="24"/>
        </w:rPr>
        <w:t>:</w:t>
      </w:r>
    </w:p>
    <w:p w:rsidR="00801235" w:rsidRPr="00114A64" w:rsidP="0080123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01235" w:rsidRPr="00114A64" w:rsidP="00114A64">
      <w:pPr>
        <w:autoSpaceDE w:val="0"/>
        <w:autoSpaceDN w:val="0"/>
        <w:adjustRightInd w:val="0"/>
        <w:spacing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</w:pP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AÇÃO DIRETA DE INCONSTITUCIONALIDADE. Lei Municipal nº 3.123, de 29 de maio de 2020, que "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>estabelece a Política Municipal de Combate aos Maus-Tratos de Animais no Município de Martinópolis, determina multas e dá outras providências"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. 1. Alegação de criação de despesas sem indicação de fonte de custeio. Rejeição. Supremo Tribunal Federal que já consolidou entendimento no sentido de que a "ausência de dotação orçamentária prévia em legislação específica não autoriza a declaração de inconstitucionalidade da lei, impedindo tão-somente a sua aplicação naquele exercício financeiro" (ADI 3.599/DF, Rel. Min. Gilmar Mendes). Ademais, no presente caso existe (e é suficiente) a indicação genérica constante do art. 6º, conforme entendimento deste C. Órgão Especial (ADIN nº 2073677-73.2016.8.26.0000, Rel. Des. Evaristo dos Santos, j. 10/08/2016).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>2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. Alegação de vício de iniciativa. Rejeição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u w:val="single"/>
          <w:shd w:val="clear" w:color="auto" w:fill="FFFFFF"/>
        </w:rPr>
        <w:t>.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 Conforme decidiu o Supremo Tribunal Federal, no julgamento do Recurso Extraordinário nº 878.911/RJ, em sede de repercussão geral, "não usurpa a competência privativa do Chefe do Poder 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Executivo lei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 que, embora crie despesa para a Administração Pública, não trata da sua estrutura ou da atribuição de seus órgãos nem do regime jurídico de servidores públicos" (Tema 917).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>3. Alegação de ofensa ao princípio da separação dos poderes. Rejeição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. Norma impugnada que trata a questão (referente à proteção aos animais) de forma genérica e abstrata, e sem criar novas atribuições para o Poder Executivo. 4.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Alegação de usurpação da competência da União e dos Estados para legislar sobre proteção e defesa dos animais (art. 24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, VI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, da Constituição Federal). Rejeição. Município que buscou apenas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cumprir seu compromisso de proteção da fauna (artigo 23, inciso VII, e artigo 225, inciso VII, da Constituição Federal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), garantindo, ademais, efetividade às regras do Código Estadual de Proteção aos Animais (Lei Estadual nº 11.977, de 25 de agosto de 2005). Supremo Tribunal Federal que, em 05/03/2015, apreciando o Tema 145 da repercussão geral reconhecida no RE 586.224, firmou tese no sentido de que "o município é competente para legislar sobre o meio ambiente com a União e Estado, no limite do seu interesse local e desde que tal regramento seja harmônico com a disciplina estabelecida pelos demais entes federados (art. 24, inciso 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VI,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 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c.c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. 38, incisos I e II, da Constituição Federal").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>Ação julgada improcedente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.</w:t>
      </w:r>
    </w:p>
    <w:p w:rsidR="00801235" w:rsidRPr="00114A64" w:rsidP="00801235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Theme="minorHAnsi" w:hAnsiTheme="minorHAnsi" w:cs="Calibri"/>
          <w:i/>
          <w:color w:val="000000"/>
          <w:sz w:val="4"/>
          <w:szCs w:val="4"/>
          <w:shd w:val="clear" w:color="auto" w:fill="FFFFFF"/>
        </w:rPr>
      </w:pPr>
    </w:p>
    <w:p w:rsidR="00801235" w:rsidRPr="00114A64" w:rsidP="00801235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Theme="minorHAnsi" w:hAnsiTheme="minorHAnsi" w:cs="Calibri"/>
          <w:i/>
          <w:color w:val="000000"/>
          <w:sz w:val="20"/>
          <w:shd w:val="clear" w:color="auto" w:fill="FFFFFF"/>
        </w:rPr>
      </w:pPr>
      <w:r w:rsidRPr="00114A64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>(TJSP;</w:t>
      </w:r>
      <w:r w:rsidRPr="00114A64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 xml:space="preserve">  </w:t>
      </w:r>
      <w:r w:rsidRPr="00114A64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>Direta de Inconstitucionalidade 2157069-66.2020.8.26.0000; Relator (a): Ferreira Rodrigues; Órgão Julgador: Órgão Especial; Tribunal de Justiça de São Paulo - N/A; Data do Julgamento: 10/03/2021; Data de Registro: 12/03/2021)</w:t>
      </w:r>
    </w:p>
    <w:p w:rsidR="00801235" w:rsidRPr="00DA6245" w:rsidP="00801235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Theme="minorHAnsi" w:hAnsiTheme="minorHAnsi" w:cs="Calibri"/>
          <w:i/>
          <w:color w:val="000000"/>
          <w:sz w:val="4"/>
          <w:szCs w:val="4"/>
          <w:shd w:val="clear" w:color="auto" w:fill="FFFFFF"/>
        </w:rPr>
      </w:pPr>
    </w:p>
    <w:p w:rsidR="00801235" w:rsidRPr="005C600B" w:rsidP="00801235">
      <w:pPr>
        <w:autoSpaceDE w:val="0"/>
        <w:autoSpaceDN w:val="0"/>
        <w:adjustRightInd w:val="0"/>
        <w:ind w:left="2268"/>
        <w:jc w:val="both"/>
        <w:rPr>
          <w:rFonts w:asciiTheme="minorHAnsi" w:hAnsiTheme="minorHAnsi" w:cstheme="minorHAnsi"/>
          <w:bCs/>
        </w:rPr>
      </w:pPr>
    </w:p>
    <w:p w:rsidR="00801235" w:rsidRPr="00114A64" w:rsidP="00801235">
      <w:pPr>
        <w:autoSpaceDE w:val="0"/>
        <w:autoSpaceDN w:val="0"/>
        <w:adjustRightInd w:val="0"/>
        <w:spacing w:line="300" w:lineRule="auto"/>
        <w:ind w:left="2268"/>
        <w:jc w:val="both"/>
        <w:rPr>
          <w:rFonts w:asciiTheme="minorHAnsi" w:hAnsiTheme="minorHAnsi" w:cs="Calibri"/>
          <w:b/>
          <w:i/>
          <w:color w:val="000000"/>
          <w:sz w:val="12"/>
          <w:szCs w:val="12"/>
          <w:shd w:val="clear" w:color="auto" w:fill="FFFFFF"/>
        </w:rPr>
      </w:pPr>
    </w:p>
    <w:p w:rsidR="00801235" w:rsidRPr="00114A64" w:rsidP="00114A64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</w:pP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>ADIn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>. Ambiental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. Lei Municipal nº 17.261, de 13 de janeiro de 2020, que veda o fornecimento de produtos de plástico de uso único em estabelecimentos que enumera. Pedido da ABIMAQ de admissão como "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amicus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 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curiae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"; inadmissibilidade, pela defesa de interesses próprios. Legitimidade ativa do autor reconhecida (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CEstadual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, 90, V). Registro sindical provado.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No mérito, competência concorrente ao município para legislar sobre normas protetivas ao meio ambiente.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CFederal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, art. 30, I e II.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CEstadual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, art. 191. Tema 145 do E. STF, em sede de Repercussão Geral.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 Desnecessidade de prévio Estudo de Impacto Ambiental e seu relatório (EIA/RIMA), por ausência de potencial degradação ao meio ambiente (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CEstadual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, 192, § 2º). Lei Municipal, ao invés, que amplia a proteção ambiental no âmbito do município de São Paulo. Ausência de criação de encargos ou despesas ao Executivo. Ação improcedente.</w:t>
      </w:r>
    </w:p>
    <w:p w:rsidR="00801235" w:rsidRPr="00114A64" w:rsidP="00801235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Theme="minorHAnsi" w:hAnsiTheme="minorHAnsi" w:cs="Calibri"/>
          <w:i/>
          <w:color w:val="000000"/>
          <w:sz w:val="20"/>
          <w:shd w:val="clear" w:color="auto" w:fill="FFFFFF"/>
        </w:rPr>
      </w:pPr>
      <w:r w:rsidRPr="00114A64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>(TJSP;</w:t>
      </w:r>
      <w:r w:rsidRPr="00114A64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 xml:space="preserve">  </w:t>
      </w:r>
      <w:r w:rsidRPr="00114A64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>Direta de Inconstitucionalidade 2017452-91.2020.8.26.0000; Relator (a): Soares Levada; Órgão Julgador: Órgão Especial; Tribunal de Justiça de São Paulo - N/A; Data do Julgamento: 26/08/2020; Data de Registro: 28/08/2020)</w:t>
      </w:r>
    </w:p>
    <w:p w:rsidR="00801235" w:rsidRPr="005C600B" w:rsidP="00801235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="Calibri"/>
          <w:szCs w:val="24"/>
        </w:rPr>
      </w:pPr>
    </w:p>
    <w:p w:rsidR="00801235" w:rsidRPr="005C600B" w:rsidP="00801235">
      <w:pPr>
        <w:spacing w:before="240" w:after="240" w:line="360" w:lineRule="auto"/>
        <w:ind w:firstLine="1701"/>
        <w:jc w:val="both"/>
        <w:rPr>
          <w:rFonts w:asciiTheme="minorHAnsi" w:hAnsiTheme="minorHAnsi" w:cs="TimesNewRomanPSMT"/>
          <w:szCs w:val="24"/>
        </w:rPr>
      </w:pPr>
      <w:r w:rsidRPr="005C600B">
        <w:rPr>
          <w:rFonts w:asciiTheme="minorHAnsi" w:hAnsiTheme="minorHAnsi" w:cs="Calibri"/>
          <w:szCs w:val="24"/>
        </w:rPr>
        <w:t>Outrossim</w:t>
      </w:r>
      <w:r w:rsidRPr="005C600B">
        <w:rPr>
          <w:rFonts w:asciiTheme="minorHAnsi" w:hAnsiTheme="minorHAnsi" w:cs="Calibri"/>
          <w:szCs w:val="24"/>
        </w:rPr>
        <w:t xml:space="preserve">, no que tange à </w:t>
      </w:r>
      <w:r w:rsidRPr="005C600B">
        <w:rPr>
          <w:rFonts w:asciiTheme="minorHAnsi" w:hAnsiTheme="minorHAnsi" w:cs="Calibri"/>
          <w:b/>
          <w:szCs w:val="24"/>
        </w:rPr>
        <w:t>competência para deflagrar o processo legislativo</w:t>
      </w:r>
      <w:r w:rsidRPr="005C600B">
        <w:rPr>
          <w:rFonts w:asciiTheme="minorHAnsi" w:hAnsiTheme="minorHAnsi" w:cs="Calibri"/>
          <w:szCs w:val="24"/>
        </w:rPr>
        <w:t xml:space="preserve"> </w:t>
      </w:r>
      <w:r w:rsidRPr="005C600B">
        <w:rPr>
          <w:rFonts w:asciiTheme="minorHAnsi" w:hAnsiTheme="minorHAnsi" w:cstheme="minorHAnsi"/>
          <w:szCs w:val="24"/>
        </w:rPr>
        <w:t xml:space="preserve">a matéria de que trata o projeto, não se amolda a nenhuma das hipóteses de competência privativa do Chefe do Executivo, consoante estabelece a Constituição </w:t>
      </w:r>
      <w:r w:rsidRPr="005C600B">
        <w:rPr>
          <w:rFonts w:asciiTheme="minorHAnsi" w:hAnsiTheme="minorHAnsi" w:cstheme="minorHAnsi"/>
          <w:szCs w:val="24"/>
        </w:rPr>
        <w:t>do Estado de São Paulo, de observância obrigatória pelos Municípios, no art. 24, § 2º, bem como art. 48 da Lei Orgânica do Município, senão vejamos:</w:t>
      </w:r>
    </w:p>
    <w:p w:rsidR="00801235" w:rsidRPr="00114A64" w:rsidP="00114A64">
      <w:pPr>
        <w:pStyle w:val="ListParagraph"/>
        <w:numPr>
          <w:ilvl w:val="0"/>
          <w:numId w:val="2"/>
        </w:numPr>
        <w:spacing w:after="0"/>
        <w:jc w:val="both"/>
        <w:rPr>
          <w:rFonts w:cs="Calibri"/>
          <w:b/>
          <w:i/>
          <w:color w:val="000000"/>
          <w:u w:val="single"/>
        </w:rPr>
      </w:pPr>
      <w:r w:rsidRPr="00114A64">
        <w:rPr>
          <w:rFonts w:cs="Calibri"/>
          <w:b/>
          <w:i/>
          <w:color w:val="000000"/>
          <w:u w:val="single"/>
        </w:rPr>
        <w:t>Constituição Bandeirante</w:t>
      </w:r>
    </w:p>
    <w:p w:rsidR="00801235" w:rsidRPr="00114A64" w:rsidP="00114A64">
      <w:pPr>
        <w:spacing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“Artigo 24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1235" w:rsidRPr="00114A64" w:rsidP="00114A64">
      <w:pPr>
        <w:spacing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[...]</w:t>
      </w:r>
    </w:p>
    <w:p w:rsidR="00801235" w:rsidRPr="00114A64" w:rsidP="00114A64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§ 2º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Compete, exclusivamente, ao Governador do Estado a iniciativa das leis que disponham sobre:</w:t>
      </w:r>
    </w:p>
    <w:p w:rsidR="00801235" w:rsidRPr="00114A64" w:rsidP="00114A64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bookmarkStart w:id="2" w:name="CESP_ART_024_2_1"/>
      <w:bookmarkEnd w:id="2"/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1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 criação e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extinção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de cargos, funções ou empregos públicos na administração direta e autárquica, bem como a fixação da respectiva remuneração;</w:t>
      </w:r>
    </w:p>
    <w:p w:rsidR="00801235" w:rsidRPr="00114A64" w:rsidP="00114A64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bookmarkStart w:id="3" w:name="CESP_ART_024_2_2"/>
      <w:bookmarkEnd w:id="3"/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2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 criação e extinção das Secretarias de Estado e órgãos da administração pública, observado o disposto no art. 47, XIX; (NR)- Redação dada pela Emenda Constitucional nº 21, de 14/2/2006.</w:t>
      </w:r>
    </w:p>
    <w:p w:rsidR="00801235" w:rsidRPr="00114A64" w:rsidP="00114A64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bookmarkStart w:id="4" w:name="CESP_ART_024_2_3"/>
      <w:bookmarkEnd w:id="4"/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3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organização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da Procuradoria Geral do Estado e da Defensoria Pública do Estado, observadas as normas gerais da União;</w:t>
      </w:r>
    </w:p>
    <w:p w:rsidR="00801235" w:rsidRPr="00114A64" w:rsidP="00114A64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bookmarkStart w:id="5" w:name="CESP_ART_024_2_4"/>
      <w:bookmarkEnd w:id="5"/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4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 xml:space="preserve">servidores públicos do Estado, seu regime jurídico, provimento de cargos, estabilidade e aposentadoria; </w:t>
      </w:r>
    </w:p>
    <w:p w:rsidR="00801235" w:rsidRPr="00114A64" w:rsidP="00114A64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5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 xml:space="preserve">militares, seu regime jurídico, provimento de cargos, promoções, estabilidade, remuneração, reforma e transferência para inatividade, bem como fixação ou alteração do efetivo da Polícia Militar; </w:t>
      </w:r>
    </w:p>
    <w:p w:rsidR="00801235" w:rsidRPr="00114A64" w:rsidP="00114A64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6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-</w:t>
      </w:r>
      <w:r w:rsidRPr="00114A64">
        <w:rPr>
          <w:rFonts w:asciiTheme="minorHAnsi" w:hAnsiTheme="minorHAnsi" w:cs="Calibri"/>
          <w:i/>
          <w:sz w:val="22"/>
          <w:szCs w:val="22"/>
        </w:rPr>
        <w:t> </w:t>
      </w:r>
      <w:r w:rsidRPr="00114A64">
        <w:rPr>
          <w:rFonts w:asciiTheme="minorHAnsi" w:hAnsiTheme="minorHAnsi" w:cs="Calibri"/>
          <w:i/>
          <w:color w:val="000000"/>
          <w:sz w:val="22"/>
          <w:szCs w:val="22"/>
        </w:rPr>
        <w:t>criação, alteração ou supressão de cartórios notariais e de registros públicos.”</w:t>
      </w:r>
    </w:p>
    <w:p w:rsidR="00801235" w:rsidRPr="00114A64" w:rsidP="00114A64">
      <w:pPr>
        <w:pStyle w:val="item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</w:p>
    <w:p w:rsidR="00801235" w:rsidRPr="00114A64" w:rsidP="00114A64">
      <w:pPr>
        <w:pStyle w:val="ListParagraph"/>
        <w:numPr>
          <w:ilvl w:val="0"/>
          <w:numId w:val="1"/>
        </w:numPr>
        <w:spacing w:after="0"/>
        <w:jc w:val="both"/>
        <w:rPr>
          <w:b/>
          <w:i/>
          <w:u w:val="single"/>
        </w:rPr>
      </w:pPr>
      <w:r w:rsidRPr="00114A64">
        <w:rPr>
          <w:b/>
          <w:i/>
          <w:u w:val="single"/>
        </w:rPr>
        <w:t>Lei Orgânica do Município de Valinhos</w:t>
      </w:r>
    </w:p>
    <w:p w:rsidR="00801235" w:rsidRPr="00114A64" w:rsidP="00114A64">
      <w:pPr>
        <w:spacing w:line="276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114A64">
        <w:rPr>
          <w:rFonts w:asciiTheme="minorHAnsi" w:hAnsiTheme="minorHAnsi"/>
          <w:i/>
          <w:sz w:val="22"/>
          <w:szCs w:val="22"/>
        </w:rPr>
        <w:t>“Art. 48.</w:t>
      </w:r>
      <w:r w:rsidRPr="00114A64">
        <w:rPr>
          <w:rFonts w:asciiTheme="minorHAnsi" w:hAnsiTheme="minorHAnsi"/>
          <w:i/>
          <w:sz w:val="22"/>
          <w:szCs w:val="22"/>
        </w:rPr>
        <w:t xml:space="preserve"> Compete, exclusivamente, ao Prefeito a iniciativa dos projetos de lei que disponham sobre:</w:t>
      </w:r>
    </w:p>
    <w:p w:rsidR="00801235" w:rsidRPr="00114A64" w:rsidP="00114A64">
      <w:pPr>
        <w:spacing w:line="276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114A64">
        <w:rPr>
          <w:rFonts w:asciiTheme="minorHAnsi" w:hAnsiTheme="minorHAns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1235" w:rsidRPr="00114A64" w:rsidP="00114A64">
      <w:pPr>
        <w:spacing w:line="276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114A64">
        <w:rPr>
          <w:rFonts w:asciiTheme="minorHAnsi" w:hAnsiTheme="minorHAnsi"/>
          <w:i/>
          <w:sz w:val="22"/>
          <w:szCs w:val="22"/>
        </w:rPr>
        <w:t>II - criação, estruturação e atribuições das Secretarias Municipais e órgãos da administração pública;</w:t>
      </w:r>
    </w:p>
    <w:p w:rsidR="00801235" w:rsidRPr="00114A64" w:rsidP="00114A64">
      <w:pPr>
        <w:spacing w:line="276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114A64">
        <w:rPr>
          <w:rFonts w:asciiTheme="minorHAnsi" w:hAnsiTheme="minorHAnsi"/>
          <w:i/>
          <w:sz w:val="22"/>
          <w:szCs w:val="22"/>
        </w:rPr>
        <w:t>III - servidores públicos do Município, seu regime jurídico, provimento de cargos, estabilidade e aposentadoria;</w:t>
      </w:r>
    </w:p>
    <w:p w:rsidR="00801235" w:rsidRPr="00114A64" w:rsidP="00114A64">
      <w:pPr>
        <w:spacing w:line="276" w:lineRule="auto"/>
        <w:ind w:left="2268"/>
        <w:jc w:val="both"/>
        <w:rPr>
          <w:rFonts w:asciiTheme="minorHAnsi" w:hAnsiTheme="minorHAnsi"/>
          <w:i/>
          <w:sz w:val="22"/>
          <w:szCs w:val="22"/>
        </w:rPr>
      </w:pPr>
      <w:r w:rsidRPr="00114A64">
        <w:rPr>
          <w:rFonts w:asciiTheme="minorHAnsi" w:hAnsiTheme="minorHAnsi"/>
          <w:i/>
          <w:sz w:val="22"/>
          <w:szCs w:val="22"/>
        </w:rPr>
        <w:t>IV - abertura de créditos adicionais.”</w:t>
      </w:r>
    </w:p>
    <w:p w:rsidR="00806E4C" w:rsidRPr="005C600B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5C600B">
        <w:rPr>
          <w:rFonts w:asciiTheme="minorHAnsi" w:hAnsiTheme="minorHAnsi" w:cs="Calibri"/>
          <w:szCs w:val="24"/>
        </w:rPr>
        <w:t xml:space="preserve">Destarte, a princípio, no que tange à competência a Constituição vigente não contém nenhuma disposição que impeça </w:t>
      </w:r>
      <w:r w:rsidRPr="005C600B" w:rsidR="00E3552B">
        <w:rPr>
          <w:rFonts w:asciiTheme="minorHAnsi" w:hAnsiTheme="minorHAnsi" w:cs="Calibri"/>
          <w:szCs w:val="24"/>
        </w:rPr>
        <w:t>a iniciativa legislativa</w:t>
      </w:r>
      <w:r w:rsidRPr="005C600B" w:rsidR="006003DC">
        <w:rPr>
          <w:rFonts w:asciiTheme="minorHAnsi" w:hAnsiTheme="minorHAnsi" w:cs="Calibri"/>
          <w:szCs w:val="24"/>
        </w:rPr>
        <w:t xml:space="preserve"> parlamentar</w:t>
      </w:r>
      <w:r w:rsidRPr="005C600B" w:rsidR="00E3552B">
        <w:rPr>
          <w:rFonts w:asciiTheme="minorHAnsi" w:hAnsiTheme="minorHAnsi" w:cs="Calibri"/>
          <w:szCs w:val="24"/>
        </w:rPr>
        <w:t xml:space="preserve"> sobre a matéria.</w:t>
      </w:r>
    </w:p>
    <w:p w:rsidR="00806E4C" w:rsidRPr="005C600B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5C600B">
        <w:rPr>
          <w:rFonts w:asciiTheme="minorHAnsi" w:hAnsiTheme="minorHAnsi" w:cs="Calibri"/>
        </w:rPr>
        <w:t>Aliás, no concernente aos limites da competência legislativa municipal dos membros do Poder Legislativo destacamos</w:t>
      </w:r>
      <w:r w:rsidRPr="005C600B">
        <w:rPr>
          <w:rFonts w:asciiTheme="minorHAnsi" w:hAnsiTheme="minorHAnsi" w:cs="Calibri"/>
          <w:b/>
        </w:rPr>
        <w:t xml:space="preserve"> </w:t>
      </w:r>
      <w:r w:rsidRPr="005C600B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Legislativo desta esfera federativa</w:t>
      </w:r>
      <w:r w:rsidRPr="005C600B">
        <w:rPr>
          <w:rFonts w:asciiTheme="minorHAnsi" w:hAnsiTheme="minorHAnsi" w:cs="Calibri"/>
        </w:rPr>
        <w:t xml:space="preserve">, trata-se do </w:t>
      </w:r>
      <w:r w:rsidRPr="005C600B">
        <w:rPr>
          <w:rFonts w:asciiTheme="minorHAnsi" w:hAnsiTheme="minorHAnsi" w:cs="Calibri"/>
          <w:b/>
        </w:rPr>
        <w:t xml:space="preserve">Tema nº 917 </w:t>
      </w:r>
      <w:r w:rsidRPr="005C600B" w:rsidR="001F7841">
        <w:rPr>
          <w:rFonts w:asciiTheme="minorHAnsi" w:hAnsiTheme="minorHAnsi" w:cs="Calibri"/>
          <w:b/>
        </w:rPr>
        <w:t>de r</w:t>
      </w:r>
      <w:r w:rsidRPr="005C600B">
        <w:rPr>
          <w:rFonts w:asciiTheme="minorHAnsi" w:hAnsiTheme="minorHAnsi" w:cs="Calibri"/>
          <w:b/>
        </w:rPr>
        <w:t>epercussão geral (Paradigma ARE 878911)</w:t>
      </w:r>
      <w:r w:rsidRPr="005C600B">
        <w:rPr>
          <w:rFonts w:asciiTheme="minorHAnsi" w:hAnsiTheme="minorHAnsi" w:cs="Calibri"/>
        </w:rPr>
        <w:t xml:space="preserve"> que recebeu a seguinte redação:</w:t>
      </w:r>
    </w:p>
    <w:p w:rsidR="00806E4C" w:rsidRPr="005C600B" w:rsidP="00114A64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5C600B" w:rsidP="00114A64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5C600B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5C600B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5C600B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5C600B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5C600B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RPr="005C600B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5C600B">
        <w:rPr>
          <w:rFonts w:asciiTheme="minorHAnsi" w:hAnsiTheme="minorHAnsi" w:cstheme="minorHAnsi"/>
          <w:color w:val="auto"/>
        </w:rPr>
        <w:t>Assim, consoante entendimento da Suprema Corte (Tema nº</w:t>
      </w:r>
      <w:r w:rsidRPr="005C600B" w:rsidR="00E3552B">
        <w:rPr>
          <w:rFonts w:asciiTheme="minorHAnsi" w:hAnsiTheme="minorHAnsi" w:cstheme="minorHAnsi"/>
          <w:color w:val="auto"/>
        </w:rPr>
        <w:t xml:space="preserve"> </w:t>
      </w:r>
      <w:r w:rsidRPr="005C600B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5C600B">
        <w:rPr>
          <w:rFonts w:asciiTheme="minorHAnsi" w:hAnsiTheme="minorHAnsi" w:cstheme="minorHAnsi"/>
          <w:color w:val="auto"/>
        </w:rPr>
        <w:t>é</w:t>
      </w:r>
      <w:r w:rsidRPr="005C600B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5C600B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A3184E" w:rsidRPr="005C600B" w:rsidP="00100223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szCs w:val="24"/>
        </w:rPr>
        <w:t>Ne</w:t>
      </w:r>
      <w:r w:rsidRPr="005C600B" w:rsidR="00C83AFB">
        <w:rPr>
          <w:rFonts w:asciiTheme="minorHAnsi" w:hAnsiTheme="minorHAnsi" w:cstheme="minorHAnsi"/>
          <w:szCs w:val="24"/>
        </w:rPr>
        <w:t>sse sentido colacionamos decisões do</w:t>
      </w:r>
      <w:r w:rsidRPr="005C600B">
        <w:rPr>
          <w:rFonts w:asciiTheme="minorHAnsi" w:hAnsiTheme="minorHAnsi" w:cstheme="minorHAnsi"/>
          <w:szCs w:val="24"/>
        </w:rPr>
        <w:t xml:space="preserve"> E. Tribunal de Justiça do Estado de São Paulo:</w:t>
      </w:r>
    </w:p>
    <w:p w:rsidR="006D1D72" w:rsidRPr="00114A64" w:rsidP="00100223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2268"/>
        <w:jc w:val="both"/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</w:pP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AÇÃO DIRETA DE INCONSTITUCIONALIDADE – Pretensão que envolve a Lei nº 4.083, de 27 de maio de 2019, que </w:t>
      </w:r>
      <w:r w:rsidRPr="00BE19CF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>"dispõe sobre a proibição da prática de maus-tratos em animais domésticos ou domesticados, silvestres, nativos ou exóticos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, e 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>dá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 outras providências", da Estância Hidromineral de Poá – 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u w:val="single"/>
          <w:shd w:val="clear" w:color="auto" w:fill="FFFFFF"/>
        </w:rPr>
        <w:t>Regras sobre meio ambiente e de proteção e fiscalização em relação a animais da região que se encontram no âmbito do interesse local para legislar, dentro das atribuições constitucionais do município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 – Competência para a elaboração de leis acerca de assunto local que pode ser exercida, de forma geral e abstrata, tanto pelo Poder Legislativo quanto pelo Poder Executivo – 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u w:val="single"/>
          <w:shd w:val="clear" w:color="auto" w:fill="FFFFFF"/>
        </w:rPr>
        <w:t>Competência para legislar sobre meio ambiente que é concorrente de todos os entes federativos e que também pode ser exercida, igualmente de forma geral e abstrata, tanto pelo Poder Legislativo quanto pelo Poder Executivo</w:t>
      </w:r>
      <w:r w:rsidRPr="00114A64">
        <w:rPr>
          <w:rFonts w:asciiTheme="minorHAnsi" w:hAnsiTheme="minorHAnsi" w:cs="Calibri"/>
          <w:b/>
          <w:i/>
          <w:color w:val="000000"/>
          <w:sz w:val="22"/>
          <w:szCs w:val="22"/>
          <w:shd w:val="clear" w:color="auto" w:fill="FFFFFF"/>
        </w:rPr>
        <w:t xml:space="preserve"> – Inconstitucionalidade não configurada </w:t>
      </w:r>
      <w:r w:rsidRPr="00114A64">
        <w:rPr>
          <w:rFonts w:asciiTheme="minorHAnsi" w:hAnsiTheme="minorHAnsi" w:cs="Calibri"/>
          <w:i/>
          <w:color w:val="000000"/>
          <w:sz w:val="22"/>
          <w:szCs w:val="22"/>
          <w:shd w:val="clear" w:color="auto" w:fill="FFFFFF"/>
        </w:rPr>
        <w:t xml:space="preserve">– Regulamentação de tema dentro dos limites da atuação do poder – Ação improcedente.  </w:t>
      </w:r>
    </w:p>
    <w:p w:rsidR="00A3184E" w:rsidRPr="006D1D72" w:rsidP="006D1D72">
      <w:pPr>
        <w:pBdr>
          <w:bottom w:val="single" w:sz="12" w:space="1" w:color="auto"/>
        </w:pBdr>
        <w:autoSpaceDE w:val="0"/>
        <w:autoSpaceDN w:val="0"/>
        <w:adjustRightInd w:val="0"/>
        <w:spacing w:line="276" w:lineRule="auto"/>
        <w:ind w:left="2268"/>
        <w:jc w:val="both"/>
        <w:rPr>
          <w:rFonts w:asciiTheme="minorHAnsi" w:hAnsiTheme="minorHAnsi" w:cs="Calibri"/>
          <w:i/>
          <w:color w:val="000000"/>
          <w:sz w:val="20"/>
          <w:shd w:val="clear" w:color="auto" w:fill="FFFFFF"/>
        </w:rPr>
      </w:pPr>
      <w:r w:rsidRPr="005C600B">
        <w:rPr>
          <w:rFonts w:asciiTheme="minorHAnsi" w:hAnsiTheme="minorHAnsi" w:cs="Calibri"/>
          <w:i/>
          <w:color w:val="000000"/>
          <w:shd w:val="clear" w:color="auto" w:fill="FFFFFF"/>
        </w:rPr>
        <w:t>(</w:t>
      </w:r>
      <w:r w:rsidRPr="006D1D72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>TJSP;</w:t>
      </w:r>
      <w:r w:rsidRPr="006D1D72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 xml:space="preserve">  </w:t>
      </w:r>
      <w:r w:rsidRPr="006D1D72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>Direta de Inconstitucionalidade 2196948-17.2019.8.26.0000; Relator (a): </w:t>
      </w:r>
      <w:r w:rsidRPr="006D1D72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>Alvaro</w:t>
      </w:r>
      <w:r w:rsidRPr="006D1D72">
        <w:rPr>
          <w:rFonts w:asciiTheme="minorHAnsi" w:hAnsiTheme="minorHAnsi" w:cs="Calibri"/>
          <w:i/>
          <w:color w:val="000000"/>
          <w:sz w:val="20"/>
          <w:shd w:val="clear" w:color="auto" w:fill="FFFFFF"/>
        </w:rPr>
        <w:t xml:space="preserve"> Passos; Órgão Julgador: Órgão Especial; Tribunal de Justiça de São Paulo - N/A; Data do Julgamento: 19/02/2020; Data de Registro: 20/02/2020)</w:t>
      </w:r>
    </w:p>
    <w:p w:rsidR="00C40250" w:rsidRPr="00100223" w:rsidP="00C40250">
      <w:pPr>
        <w:spacing w:before="120" w:after="240" w:line="360" w:lineRule="auto"/>
        <w:ind w:firstLine="1701"/>
        <w:jc w:val="both"/>
        <w:rPr>
          <w:rFonts w:ascii="Calibri" w:hAnsi="Calibri" w:cs="Calibri"/>
          <w:sz w:val="4"/>
          <w:szCs w:val="4"/>
        </w:rPr>
      </w:pPr>
    </w:p>
    <w:p w:rsidR="00C40250" w:rsidRPr="00634C01" w:rsidP="00100223">
      <w:pPr>
        <w:spacing w:before="120" w:after="120" w:line="360" w:lineRule="auto"/>
        <w:ind w:firstLine="1701"/>
        <w:jc w:val="both"/>
        <w:rPr>
          <w:rFonts w:ascii="Calibri" w:hAnsi="Calibri" w:cs="Calibri"/>
          <w:szCs w:val="24"/>
        </w:rPr>
      </w:pPr>
      <w:r w:rsidRPr="00634C01">
        <w:rPr>
          <w:rFonts w:ascii="Calibri" w:hAnsi="Calibri" w:cs="Calibri"/>
          <w:szCs w:val="24"/>
        </w:rPr>
        <w:t xml:space="preserve">Em verdade, </w:t>
      </w:r>
      <w:r>
        <w:rPr>
          <w:rFonts w:ascii="Calibri" w:hAnsi="Calibri" w:cs="Calibri"/>
          <w:szCs w:val="24"/>
        </w:rPr>
        <w:t>temos</w:t>
      </w:r>
      <w:r w:rsidRPr="00634C01">
        <w:rPr>
          <w:rFonts w:ascii="Calibri" w:hAnsi="Calibri" w:cs="Calibri"/>
          <w:szCs w:val="24"/>
        </w:rPr>
        <w:t xml:space="preserve"> que </w:t>
      </w:r>
      <w:r w:rsidR="00114A64">
        <w:rPr>
          <w:rFonts w:ascii="Calibri" w:hAnsi="Calibri" w:cs="Calibri"/>
          <w:szCs w:val="24"/>
        </w:rPr>
        <w:t>a norma que</w:t>
      </w:r>
      <w:r w:rsidRPr="00634C01">
        <w:rPr>
          <w:rFonts w:ascii="Calibri" w:hAnsi="Calibri" w:cs="Calibri"/>
          <w:szCs w:val="24"/>
        </w:rPr>
        <w:t xml:space="preserve"> possui natureza programática na visão da E. Corte Estadual de Justiça é possível ser veiculada via lei de origem parlamentar, e.g.: </w:t>
      </w:r>
    </w:p>
    <w:p w:rsidR="00DA3FEB" w:rsidRPr="00DA3FEB" w:rsidP="009C3C83">
      <w:pPr>
        <w:pBdr>
          <w:bottom w:val="single" w:sz="12" w:space="1" w:color="auto"/>
        </w:pBdr>
        <w:spacing w:before="120" w:after="120" w:line="276" w:lineRule="auto"/>
        <w:ind w:left="2268"/>
        <w:jc w:val="both"/>
        <w:rPr>
          <w:rFonts w:asciiTheme="minorHAnsi" w:hAnsiTheme="minorHAnsi"/>
          <w:i/>
          <w:color w:val="000000"/>
          <w:sz w:val="20"/>
          <w:shd w:val="clear" w:color="auto" w:fill="FFFFFF"/>
        </w:rPr>
      </w:pPr>
      <w:r w:rsidRPr="00DA3FE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Ação direta de inconstitucionalidade movida pelo Prefeito Municipal de Bastos – Impugnação à Lei nº 3.246/2023, de iniciativa parlamentar, a qual </w:t>
      </w:r>
      <w:r w:rsidRPr="00DA3FEB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 xml:space="preserve">institui o Banco de Ração e Utensílios para Animais – Ausência de violação ao art. 113 do ADCT, </w:t>
      </w:r>
      <w:r w:rsidRPr="00DA3FEB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>visto</w:t>
      </w:r>
      <w:r w:rsidRPr="00DA3FEB">
        <w:rPr>
          <w:rFonts w:asciiTheme="minorHAnsi" w:hAnsiTheme="minorHAnsi"/>
          <w:b/>
          <w:i/>
          <w:color w:val="000000"/>
          <w:sz w:val="22"/>
          <w:szCs w:val="22"/>
          <w:shd w:val="clear" w:color="auto" w:fill="FFFFFF"/>
        </w:rPr>
        <w:t xml:space="preserve"> não se tratar de despesa obrigatória – Inexistência de vício de iniciativa no que toca às normas gerais que regem o programa criado pela edilidade, à luz do Tema nº 917 de Repercussão Geral – </w:t>
      </w:r>
      <w:r w:rsidRPr="00DA3FE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 xml:space="preserve">Precedente </w:t>
      </w:r>
      <w:r w:rsidRPr="00DA3FEB">
        <w:rPr>
          <w:rFonts w:asciiTheme="minorHAnsi" w:hAnsiTheme="minorHAnsi"/>
          <w:i/>
          <w:color w:val="000000"/>
          <w:sz w:val="22"/>
          <w:szCs w:val="22"/>
          <w:shd w:val="clear" w:color="auto" w:fill="FFFFFF"/>
        </w:rPr>
        <w:t>recente e unânime deste C. Órgão Especial acerca de lei piracicabana de conteúdo semelhante, ensejando uniformização de desfechos – Inconstitucionalidade verificada apenas em relação ao art. 6º, que atribui especificamente ao Departamento de Proteção e Defesa Animal o dever de organizar e estruturar o banco criado, tolhendo do Poder Executivo a escolha pela forma mais pertinente de implementação da política pública – Pedido parcialmente procedente. </w:t>
      </w:r>
      <w:r w:rsidRPr="00DA3FEB">
        <w:rPr>
          <w:rFonts w:asciiTheme="minorHAnsi" w:hAnsiTheme="minorHAnsi"/>
          <w:i/>
          <w:color w:val="000000"/>
          <w:sz w:val="22"/>
          <w:szCs w:val="22"/>
        </w:rPr>
        <w:br/>
      </w:r>
      <w:r w:rsidRPr="00DA3FEB">
        <w:rPr>
          <w:rFonts w:asciiTheme="minorHAnsi" w:hAnsiTheme="minorHAnsi"/>
          <w:i/>
          <w:color w:val="000000"/>
          <w:sz w:val="20"/>
          <w:shd w:val="clear" w:color="auto" w:fill="FFFFFF"/>
        </w:rPr>
        <w:t xml:space="preserve">(TJSP;  Direta de Inconstitucionalidade 2289276-24.2023.8.26.0000; Relator (a): Luciana </w:t>
      </w:r>
      <w:r w:rsidRPr="00DA3FEB">
        <w:rPr>
          <w:rFonts w:asciiTheme="minorHAnsi" w:hAnsiTheme="minorHAnsi"/>
          <w:i/>
          <w:color w:val="000000"/>
          <w:sz w:val="20"/>
          <w:shd w:val="clear" w:color="auto" w:fill="FFFFFF"/>
        </w:rPr>
        <w:t>Bresciani</w:t>
      </w:r>
      <w:r w:rsidRPr="00DA3FEB">
        <w:rPr>
          <w:rFonts w:asciiTheme="minorHAnsi" w:hAnsiTheme="minorHAnsi"/>
          <w:i/>
          <w:color w:val="000000"/>
          <w:sz w:val="20"/>
          <w:shd w:val="clear" w:color="auto" w:fill="FFFFFF"/>
        </w:rPr>
        <w:t>; Órgão Julgador: Órgão Especial; Tribunal de Justiça de São Paulo - N/A; Data do Julgamento: 03/04/2024; Data de Registro: 12/04/2024)</w:t>
      </w:r>
    </w:p>
    <w:p w:rsidR="00DA3FEB" w:rsidP="00DA3FEB">
      <w:pPr>
        <w:spacing w:before="120" w:after="120" w:line="276" w:lineRule="auto"/>
        <w:ind w:left="2268"/>
        <w:jc w:val="both"/>
        <w:rPr>
          <w:rFonts w:ascii="Verdana" w:hAnsi="Verdana"/>
          <w:color w:val="000000"/>
          <w:sz w:val="17"/>
          <w:szCs w:val="17"/>
          <w:shd w:val="clear" w:color="auto" w:fill="FFFFFF"/>
        </w:rPr>
      </w:pPr>
    </w:p>
    <w:p w:rsidR="009C3C83" w:rsidRPr="006F2A7E" w:rsidP="00DA3FEB">
      <w:pPr>
        <w:spacing w:before="120" w:after="120" w:line="276" w:lineRule="auto"/>
        <w:ind w:left="2268"/>
        <w:jc w:val="both"/>
        <w:rPr>
          <w:rFonts w:asciiTheme="minorHAnsi" w:hAnsiTheme="minorHAnsi"/>
          <w:i/>
          <w:sz w:val="22"/>
          <w:szCs w:val="22"/>
          <w:shd w:val="clear" w:color="auto" w:fill="FFFFFF"/>
        </w:rPr>
      </w:pP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Ação direta de inconstitucionalidade da Lei nº 10.033, de 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>7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março de 2024, do Município de Piracicaba, de iniciativa parlamentar, que </w:t>
      </w:r>
      <w:r w:rsidRPr="006F2A7E">
        <w:rPr>
          <w:rFonts w:asciiTheme="minorHAnsi" w:hAnsiTheme="minorHAnsi"/>
          <w:i/>
          <w:sz w:val="22"/>
          <w:szCs w:val="22"/>
          <w:u w:val="single"/>
          <w:shd w:val="clear" w:color="auto" w:fill="FFFFFF"/>
        </w:rPr>
        <w:t>"</w:t>
      </w:r>
      <w:r w:rsidRPr="00DA3FEB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>Dispõe sobre incentivo à doação de órteses, próteses, meios auxiliares de locomoção e equipamentos hospitalares em Piracicaba</w:t>
      </w:r>
      <w:r w:rsidRPr="00DA3FEB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>"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- Alegação de vício de iniciativa, ofensa ao princípio da separação dos poderes e falta de previsão orçamentária, o que, de acordo com o autor, contraria dispositivos da Constituição Federal, da Carta Estadual, da Lei Orgânica de Piracicaba e da Lei de Responsabilidade Fiscal. - Possível incompatibilidade com a Lei Orgânica e a Lei de Responsabilidade Fiscal - Irrelevância, para os fins deste processo - Como o Órgão Especial deste Tribunal de Justiça tem decidido, "O parâmetro de controle de constitucionalidade de norma municipal é unicamente a Constituição Estadual, afastando-se a análise da ação quanto a normas infraconstitucionais". - Não há vício de iniciativa, porque a matéria não é da competência legislativa exclusiva do chefe do Poder Executivo - Como o Supremo Tribunal Federal decidiu, no julgamento do tema de repercussão geral nº 917, "Não usurpa competência privativa do Chefe do Poder 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>Executivo lei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que, embora crie despesa para a Administração, não trata da sua estrutura ou da atribuição de seus órgãos nem do regime jurídico de servidores públicos (art. 61, § 1º, II, "a", "c" e "e", da Constituição Federal)". - Ausência de indicação de fonte de custeio - O Supremo Tribunal Federal também já decidiu que "A ausência de dotação orçamentária prévia em legislação específica não autoriza a declaração de inconstitucionalidade da lei, impedindo tão-somente a sua aplicação naquele exercício financeiro" - Artigo 176, I, da Carta 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Estadual, não violado. - A lei não desrespeita o artigo 174, I, II e III, da mesma Carta, porque não 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>cuida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 xml:space="preserve"> de plano plurianual, diretrizes orçamentárias ou orçamentos anuais. - </w:t>
      </w:r>
      <w:r w:rsidRPr="006F2A7E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Não há vício material, porque a lei é genérica: </w:t>
      </w:r>
      <w:r w:rsidRPr="006F2A7E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 xml:space="preserve">limita-se a definir os contornos de programa de cunho social, sem prescrever como o Poder Executivo deverá agir, concretamente, para </w:t>
      </w:r>
      <w:r w:rsidRPr="006F2A7E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>implementá</w:t>
      </w:r>
      <w:r w:rsidRPr="006F2A7E">
        <w:rPr>
          <w:rFonts w:asciiTheme="minorHAnsi" w:hAnsiTheme="minorHAnsi"/>
          <w:b/>
          <w:i/>
          <w:sz w:val="22"/>
          <w:szCs w:val="22"/>
          <w:u w:val="single"/>
          <w:shd w:val="clear" w:color="auto" w:fill="FFFFFF"/>
        </w:rPr>
        <w:t>-lo, sem atrelar órgãos da Administração Municipal à sua execução e sem impor obrigações específicas, prazos ou metas</w:t>
      </w:r>
      <w:r w:rsidRPr="006F2A7E">
        <w:rPr>
          <w:rFonts w:asciiTheme="minorHAnsi" w:hAnsiTheme="minorHAnsi"/>
          <w:b/>
          <w:i/>
          <w:sz w:val="22"/>
          <w:szCs w:val="22"/>
          <w:shd w:val="clear" w:color="auto" w:fill="FFFFFF"/>
        </w:rPr>
        <w:t xml:space="preserve"> - Além disso, o Supremo Tribunal Federal já definiu que "Não ofende a separação de poderes, a previsão, em lei de iniciativa parlamentar, de encargo inerente ao Poder Público a fim de concretizar direito social previsto na Constituição" - Neste caso, a lei impugnada dirige-se a concretizar o direito social e fundamental à saúde, assim como o direito de pessoas com mobilidade reduzida e em situação de vulnerabilidade à acessibilidade e à sua plena integração social, direitos já previstos nas Constituições Federal e Estadual - Interesse social evidente - </w:t>
      </w:r>
      <w:r w:rsidRPr="006F2A7E">
        <w:rPr>
          <w:rFonts w:asciiTheme="minorHAnsi" w:hAnsiTheme="minorHAnsi"/>
          <w:i/>
          <w:sz w:val="22"/>
          <w:szCs w:val="22"/>
          <w:shd w:val="clear" w:color="auto" w:fill="FFFFFF"/>
        </w:rPr>
        <w:t>Precedentes do C. Órgão Especial - Pedido improcedente. </w:t>
      </w:r>
    </w:p>
    <w:p w:rsidR="00393449" w:rsidP="009C3C83">
      <w:pPr>
        <w:pBdr>
          <w:bottom w:val="single" w:sz="12" w:space="1" w:color="auto"/>
        </w:pBdr>
        <w:spacing w:before="120" w:after="120" w:line="276" w:lineRule="auto"/>
        <w:ind w:left="2268"/>
        <w:jc w:val="both"/>
        <w:rPr>
          <w:rFonts w:asciiTheme="minorHAnsi" w:hAnsiTheme="minorHAnsi"/>
          <w:i/>
          <w:sz w:val="20"/>
          <w:shd w:val="clear" w:color="auto" w:fill="FFFFFF"/>
        </w:rPr>
      </w:pPr>
      <w:r w:rsidRPr="006F2A7E">
        <w:rPr>
          <w:rFonts w:asciiTheme="minorHAnsi" w:hAnsiTheme="minorHAnsi"/>
          <w:i/>
          <w:sz w:val="20"/>
          <w:shd w:val="clear" w:color="auto" w:fill="FFFFFF"/>
        </w:rPr>
        <w:t>(TJSP;</w:t>
      </w:r>
      <w:r w:rsidRPr="006F2A7E">
        <w:rPr>
          <w:rFonts w:asciiTheme="minorHAnsi" w:hAnsiTheme="minorHAnsi"/>
          <w:i/>
          <w:sz w:val="20"/>
          <w:shd w:val="clear" w:color="auto" w:fill="FFFFFF"/>
        </w:rPr>
        <w:t xml:space="preserve">  </w:t>
      </w:r>
      <w:r w:rsidRPr="006F2A7E">
        <w:rPr>
          <w:rFonts w:asciiTheme="minorHAnsi" w:hAnsiTheme="minorHAnsi"/>
          <w:i/>
          <w:sz w:val="20"/>
          <w:shd w:val="clear" w:color="auto" w:fill="FFFFFF"/>
        </w:rPr>
        <w:t>Direta de Inconstitucionalidade 2213648-92.2024.8.26.0000; Relator (a): Silvia Rocha; Órgão Julgador: Órgão Especial; Tribunal de Justiça de São Paulo - N/A; Data do Julgamento: 18/12/2024; Data de Registro: 19/12/2024)</w:t>
      </w:r>
    </w:p>
    <w:p w:rsidR="00DA3FEB" w:rsidRPr="00DA3FEB" w:rsidP="00DA3FEB">
      <w:pPr>
        <w:spacing w:before="120" w:after="120" w:line="276" w:lineRule="auto"/>
        <w:ind w:left="2268"/>
        <w:jc w:val="both"/>
        <w:rPr>
          <w:rFonts w:asciiTheme="minorHAnsi" w:hAnsiTheme="minorHAnsi"/>
          <w:i/>
          <w:sz w:val="4"/>
          <w:szCs w:val="4"/>
          <w:shd w:val="clear" w:color="auto" w:fill="FFFFFF"/>
        </w:rPr>
      </w:pPr>
    </w:p>
    <w:p w:rsidR="00DB1455" w:rsidP="00100223">
      <w:pPr>
        <w:pBdr>
          <w:bottom w:val="single" w:sz="12" w:space="1" w:color="auto"/>
        </w:pBdr>
        <w:spacing w:before="120" w:after="120" w:line="300" w:lineRule="auto"/>
        <w:ind w:left="2268"/>
        <w:jc w:val="both"/>
        <w:rPr>
          <w:rFonts w:ascii="Calibri" w:hAnsi="Calibri" w:cs="Calibri"/>
          <w:i/>
          <w:sz w:val="22"/>
          <w:szCs w:val="22"/>
          <w:shd w:val="clear" w:color="auto" w:fill="FFFFFF"/>
        </w:rPr>
      </w:pPr>
      <w:r w:rsidRPr="00DB1455">
        <w:rPr>
          <w:rFonts w:ascii="Calibri" w:hAnsi="Calibri" w:cs="Calibri"/>
          <w:i/>
          <w:sz w:val="22"/>
          <w:szCs w:val="22"/>
          <w:shd w:val="clear" w:color="auto" w:fill="FFFFFF"/>
        </w:rPr>
        <w:t>Ação direta de inconstitucionalidade. Lei n. 1.361, de 03.04.2018, do Município de Nazaré Paulista, que "autoriza a instituição de</w:t>
      </w:r>
      <w:r w:rsidRPr="00DB1455">
        <w:rPr>
          <w:rFonts w:ascii="Calibri" w:hAnsi="Calibri" w:cs="Calibri"/>
          <w:i/>
          <w:sz w:val="22"/>
          <w:szCs w:val="22"/>
          <w:u w:val="single"/>
          <w:shd w:val="clear" w:color="auto" w:fill="FFFFFF"/>
        </w:rPr>
        <w:t xml:space="preserve"> </w:t>
      </w:r>
      <w:r w:rsidRPr="00DB1455">
        <w:rPr>
          <w:rFonts w:ascii="Calibri" w:hAnsi="Calibri" w:cs="Calibri"/>
          <w:i/>
          <w:sz w:val="22"/>
          <w:szCs w:val="22"/>
          <w:shd w:val="clear" w:color="auto" w:fill="FFFFFF"/>
        </w:rPr>
        <w:t>equoterapia nas escolas de rede municipal de ensino como política de educação inclusiva e dá outras providências".</w:t>
      </w:r>
      <w:r w:rsidRPr="00DB1455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 Instituição, em si, de programa de atendimento à saúde dos alunos da rede municipal, por disposições genéricas e abstratas, que não afronta o princípio da reserva da Administração</w:t>
      </w:r>
      <w:r w:rsidRPr="00DB1455">
        <w:rPr>
          <w:rFonts w:ascii="Calibri" w:hAnsi="Calibri" w:cs="Calibri"/>
          <w:i/>
          <w:sz w:val="22"/>
          <w:szCs w:val="22"/>
          <w:shd w:val="clear" w:color="auto" w:fill="FFFFFF"/>
        </w:rPr>
        <w:t>. Ofensa que, porém, a este título se dá quando se cometem atribuições e obrigações específicas de gestão ao Executivo.</w:t>
      </w:r>
      <w:r w:rsidRPr="00DB1455">
        <w:rPr>
          <w:rFonts w:ascii="Calibri" w:hAnsi="Calibri" w:cs="Calibri"/>
          <w:b/>
          <w:i/>
          <w:sz w:val="22"/>
          <w:szCs w:val="22"/>
          <w:shd w:val="clear" w:color="auto" w:fill="FFFFFF"/>
        </w:rPr>
        <w:t xml:space="preserve"> </w:t>
      </w:r>
      <w:r w:rsidRPr="00DB1455">
        <w:rPr>
          <w:rFonts w:ascii="Calibri" w:hAnsi="Calibri" w:cs="Calibri"/>
          <w:i/>
          <w:sz w:val="22"/>
          <w:szCs w:val="22"/>
          <w:shd w:val="clear" w:color="auto" w:fill="FFFFFF"/>
        </w:rPr>
        <w:t>Solução que se reserva ao feito na esteira de precedente recente do Colegiado, julgando hipótese análoga. Sanção que não afasta o vício, na parte da lei em que ele se verifica. Irregularidade reconhecida apenas em expressões dos artigos 1º e 3º, além do art. 4º. Ação julgada parcialmente procedente. </w:t>
      </w:r>
    </w:p>
    <w:p w:rsidR="00C40250" w:rsidRPr="00DB1455" w:rsidP="00DB1455">
      <w:pPr>
        <w:pBdr>
          <w:bottom w:val="single" w:sz="12" w:space="1" w:color="auto"/>
        </w:pBdr>
        <w:spacing w:before="120" w:after="120"/>
        <w:ind w:left="2268"/>
        <w:jc w:val="both"/>
        <w:rPr>
          <w:rFonts w:ascii="Calibri" w:hAnsi="Calibri" w:cs="Calibri"/>
          <w:i/>
          <w:sz w:val="20"/>
          <w:shd w:val="clear" w:color="auto" w:fill="FFFFFF"/>
        </w:rPr>
      </w:pPr>
      <w:r w:rsidRPr="00DB1455">
        <w:rPr>
          <w:rFonts w:ascii="Calibri" w:hAnsi="Calibri" w:cs="Calibri"/>
          <w:i/>
          <w:sz w:val="20"/>
          <w:shd w:val="clear" w:color="auto" w:fill="FFFFFF"/>
        </w:rPr>
        <w:t>(TJSP;</w:t>
      </w:r>
      <w:r w:rsidRPr="00DB1455">
        <w:rPr>
          <w:rFonts w:ascii="Calibri" w:hAnsi="Calibri" w:cs="Calibri"/>
          <w:i/>
          <w:sz w:val="20"/>
          <w:shd w:val="clear" w:color="auto" w:fill="FFFFFF"/>
        </w:rPr>
        <w:t xml:space="preserve">  </w:t>
      </w:r>
      <w:r w:rsidRPr="00DB1455">
        <w:rPr>
          <w:rFonts w:ascii="Calibri" w:hAnsi="Calibri" w:cs="Calibri"/>
          <w:i/>
          <w:sz w:val="20"/>
          <w:shd w:val="clear" w:color="auto" w:fill="FFFFFF"/>
        </w:rPr>
        <w:t>Direta de Inconstitucionalidade 2132436-54.2021.8.26.0000; Relator (a): Claudio Godoy; Órgão Julgador: Órgão Especial; Tribunal de Justiça de São Paulo - N/A; Data do Julgamento: 23/02/2022; Data de Registro: 24/02/2022)</w:t>
      </w:r>
    </w:p>
    <w:p w:rsidR="00DB1455" w:rsidP="00C40250">
      <w:pPr>
        <w:spacing w:before="120" w:after="120" w:line="300" w:lineRule="auto"/>
        <w:ind w:left="2268"/>
        <w:jc w:val="both"/>
        <w:rPr>
          <w:rFonts w:ascii="Calibri" w:hAnsi="Calibri" w:cs="Calibri"/>
          <w:i/>
          <w:sz w:val="20"/>
        </w:rPr>
      </w:pPr>
      <w:r w:rsidRPr="00DB1455">
        <w:rPr>
          <w:rFonts w:ascii="Calibri" w:hAnsi="Calibri" w:cs="Calibri"/>
          <w:i/>
          <w:sz w:val="22"/>
          <w:szCs w:val="22"/>
        </w:rPr>
        <w:t>“I. Ação Direta de Inconstitucionalidade. Lei n° 5.626, de 12 de novembro de 2018, do Município de Caçapava, "</w:t>
      </w:r>
      <w:r w:rsidRPr="00DB1455">
        <w:rPr>
          <w:rFonts w:ascii="Calibri" w:hAnsi="Calibri" w:cs="Calibri"/>
          <w:b/>
          <w:i/>
          <w:sz w:val="22"/>
          <w:szCs w:val="22"/>
        </w:rPr>
        <w:t>que dispõe sobre a instituição do Programa de Proteção à Saúde Bucal da Pessoa com Transtorno Global do Desenvolvimento (TGD) e dá outras providências".</w:t>
      </w:r>
      <w:r w:rsidRPr="00DB1455">
        <w:rPr>
          <w:rFonts w:ascii="Calibri" w:hAnsi="Calibri" w:cs="Calibri"/>
          <w:i/>
          <w:sz w:val="22"/>
          <w:szCs w:val="22"/>
        </w:rPr>
        <w:t xml:space="preserve"> II. </w:t>
      </w:r>
      <w:r w:rsidRPr="00DB1455">
        <w:rPr>
          <w:rFonts w:ascii="Calibri" w:hAnsi="Calibri" w:cs="Calibri"/>
          <w:b/>
          <w:i/>
          <w:sz w:val="22"/>
          <w:szCs w:val="22"/>
          <w:u w:val="single"/>
        </w:rPr>
        <w:t>Vício formal de inconstitucionalidade. Inocorrência.</w:t>
      </w:r>
      <w:r w:rsidRPr="00DB1455">
        <w:rPr>
          <w:rFonts w:ascii="Calibri" w:hAnsi="Calibri" w:cs="Calibri"/>
          <w:i/>
          <w:sz w:val="22"/>
          <w:szCs w:val="22"/>
        </w:rPr>
        <w:t xml:space="preserve"> De origem parlamentar, </w:t>
      </w:r>
      <w:r w:rsidRPr="00DB1455">
        <w:rPr>
          <w:rFonts w:ascii="Calibri" w:hAnsi="Calibri" w:cs="Calibri"/>
          <w:b/>
          <w:i/>
          <w:sz w:val="22"/>
          <w:szCs w:val="22"/>
          <w:u w:val="single"/>
        </w:rPr>
        <w:t>a legislação impugnada não trata de matéria inserida no rol taxativo do artigo 24, §2°, da CE. Tema 917, STF.</w:t>
      </w:r>
      <w:r w:rsidRPr="00DB1455">
        <w:rPr>
          <w:rFonts w:ascii="Calibri" w:hAnsi="Calibri" w:cs="Calibri"/>
          <w:i/>
          <w:sz w:val="22"/>
          <w:szCs w:val="22"/>
        </w:rPr>
        <w:t xml:space="preserve"> Precedentes deste Órgão Especial. III. </w:t>
      </w:r>
      <w:r w:rsidRPr="00DB1455">
        <w:rPr>
          <w:rFonts w:ascii="Calibri" w:hAnsi="Calibri" w:cs="Calibri"/>
          <w:b/>
          <w:i/>
          <w:sz w:val="22"/>
          <w:szCs w:val="22"/>
        </w:rPr>
        <w:t>Não constatada, igualmente, invasão das atribuições de competência privativa do Chefe do Poder Executivo.</w:t>
      </w:r>
      <w:r w:rsidRPr="00DB1455">
        <w:rPr>
          <w:rFonts w:ascii="Calibri" w:hAnsi="Calibri" w:cs="Calibri"/>
          <w:i/>
          <w:sz w:val="22"/>
          <w:szCs w:val="22"/>
        </w:rPr>
        <w:t xml:space="preserve"> A lei analisada não disciplina a prática de ato de administração, </w:t>
      </w:r>
      <w:r w:rsidRPr="00DB1455">
        <w:rPr>
          <w:rFonts w:ascii="Calibri" w:hAnsi="Calibri" w:cs="Calibri"/>
          <w:b/>
          <w:i/>
          <w:sz w:val="22"/>
          <w:szCs w:val="22"/>
        </w:rPr>
        <w:t>limitando-se a instituir programa de proteção à saúde da pessoa com Transtorno Global do Desenvolvimento (TGD), em âmbito local, e estabelecer regras dotadas de abstração e generalidade</w:t>
      </w:r>
      <w:r w:rsidRPr="00DB1455">
        <w:rPr>
          <w:rFonts w:ascii="Calibri" w:hAnsi="Calibri" w:cs="Calibri"/>
          <w:i/>
          <w:sz w:val="22"/>
          <w:szCs w:val="22"/>
        </w:rPr>
        <w:t xml:space="preserve">. </w:t>
      </w:r>
      <w:r w:rsidRPr="00DB1455">
        <w:rPr>
          <w:rFonts w:ascii="Calibri" w:hAnsi="Calibri" w:cs="Calibri"/>
          <w:b/>
          <w:i/>
          <w:sz w:val="22"/>
          <w:szCs w:val="22"/>
          <w:u w:val="single"/>
        </w:rPr>
        <w:t xml:space="preserve">Previsão, apenas, de instrumentos mínimos destinados a garantir sua exequibilidade e a eficácia de suas disposições. Constitui dever do Poder Executivo levar as determinações do diploma impugnado à concreção por meio de provisões especiais, com respaldo em seu poder </w:t>
      </w:r>
      <w:r w:rsidRPr="00DB1455">
        <w:rPr>
          <w:rFonts w:ascii="Calibri" w:hAnsi="Calibri" w:cs="Calibri"/>
          <w:b/>
          <w:i/>
          <w:sz w:val="22"/>
          <w:szCs w:val="22"/>
          <w:u w:val="single"/>
        </w:rPr>
        <w:t>regulamentar</w:t>
      </w:r>
      <w:r w:rsidRPr="00DB1455">
        <w:rPr>
          <w:rFonts w:ascii="Calibri" w:hAnsi="Calibri" w:cs="Calibri"/>
          <w:i/>
          <w:sz w:val="22"/>
          <w:szCs w:val="22"/>
        </w:rPr>
        <w:t>. Diversos precedentes deste Colegiado. Doutrina. VI. Artigo 4°, parte final. Inconstitucionalidade verificada. Ressalvada a posição pessoal desta Relatoria, de acordo com o entendimento consolidado neste Órgão Especial, a fixação de prazo rígido para que o Poder Executivo regulamente determinada disposição legal representa indevida interferência do Poder Legislativo em seu típico juízo de conveniência e oportunidade. Violação ao princípio da separação dos Poderes, previsto no artigo 5°, da CE. Exclusão da expressão "no prazo máximo de 60 (sessenta) dias, contados de sua publicação.". Pedido julgado parcialmente procedente.”</w:t>
      </w:r>
      <w:r w:rsidRPr="00DB1455">
        <w:rPr>
          <w:rFonts w:ascii="Calibri" w:hAnsi="Calibri" w:cs="Calibri"/>
          <w:i/>
          <w:sz w:val="20"/>
        </w:rPr>
        <w:t xml:space="preserve"> </w:t>
      </w:r>
      <w:r w:rsidRPr="00DB1455" w:rsidR="000C29F8">
        <w:rPr>
          <w:rFonts w:ascii="Calibri" w:hAnsi="Calibri" w:cs="Calibri"/>
          <w:i/>
          <w:sz w:val="20"/>
        </w:rPr>
        <w:t>G</w:t>
      </w:r>
      <w:r w:rsidRPr="00DB1455">
        <w:rPr>
          <w:rFonts w:ascii="Calibri" w:hAnsi="Calibri" w:cs="Calibri"/>
          <w:i/>
          <w:sz w:val="20"/>
        </w:rPr>
        <w:t>rifado</w:t>
      </w:r>
    </w:p>
    <w:p w:rsidR="00C40250" w:rsidP="00DB1455">
      <w:pPr>
        <w:spacing w:before="120" w:after="120"/>
        <w:ind w:left="2268"/>
        <w:jc w:val="both"/>
        <w:rPr>
          <w:rFonts w:ascii="Calibri" w:hAnsi="Calibri" w:cs="Calibri"/>
          <w:i/>
          <w:sz w:val="20"/>
        </w:rPr>
      </w:pPr>
      <w:r w:rsidRPr="00DB1455">
        <w:rPr>
          <w:rFonts w:ascii="Calibri" w:hAnsi="Calibri" w:cs="Calibri"/>
          <w:i/>
          <w:sz w:val="20"/>
        </w:rPr>
        <w:t>(TJSP; Direta de Inconstitucionalidade 2263773-74.2018.8.26.0000; Relator (a): Márcio Bartoli; Órgão Julgador: Órgão Especial; Tribunal de Justiça de São Paulo - N/A; Data do Julgamento: 03/04/2019; Data de Registro: 04/04/2019</w:t>
      </w:r>
      <w:r w:rsidR="00DB1455">
        <w:rPr>
          <w:rFonts w:ascii="Calibri" w:hAnsi="Calibri" w:cs="Calibri"/>
          <w:i/>
          <w:sz w:val="20"/>
        </w:rPr>
        <w:t>)</w:t>
      </w:r>
      <w:r w:rsidR="00393449">
        <w:rPr>
          <w:rFonts w:ascii="Calibri" w:hAnsi="Calibri" w:cs="Calibri"/>
          <w:i/>
          <w:sz w:val="20"/>
        </w:rPr>
        <w:t>.</w:t>
      </w:r>
    </w:p>
    <w:p w:rsidR="00DB1455" w:rsidRPr="00DA6245" w:rsidP="00DB1455">
      <w:pPr>
        <w:spacing w:before="120" w:after="120"/>
        <w:ind w:left="2268"/>
        <w:jc w:val="both"/>
        <w:rPr>
          <w:rFonts w:ascii="Calibri" w:hAnsi="Calibri" w:cs="Calibri"/>
          <w:b/>
          <w:i/>
          <w:sz w:val="12"/>
          <w:szCs w:val="12"/>
        </w:rPr>
      </w:pPr>
    </w:p>
    <w:p w:rsidR="00E40A4C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  <w:lang w:eastAsia="x-none"/>
        </w:rPr>
      </w:pPr>
      <w:r w:rsidRPr="005C600B">
        <w:rPr>
          <w:rFonts w:asciiTheme="minorHAnsi" w:hAnsiTheme="minorHAnsi" w:cs="Calibri"/>
          <w:szCs w:val="24"/>
          <w:lang w:eastAsia="x-none"/>
        </w:rPr>
        <w:t xml:space="preserve">Por fim, </w:t>
      </w:r>
      <w:r w:rsidRPr="005C600B" w:rsidR="00250C95">
        <w:rPr>
          <w:rFonts w:asciiTheme="minorHAnsi" w:hAnsiTheme="minorHAnsi" w:cs="Calibri"/>
          <w:szCs w:val="24"/>
          <w:lang w:eastAsia="x-none"/>
        </w:rPr>
        <w:t>no concernente</w:t>
      </w:r>
      <w:r w:rsidRPr="005C600B">
        <w:rPr>
          <w:rFonts w:asciiTheme="minorHAnsi" w:hAnsiTheme="minorHAnsi" w:cs="Calibri"/>
          <w:szCs w:val="24"/>
          <w:lang w:eastAsia="x-none"/>
        </w:rPr>
        <w:t xml:space="preserve"> </w:t>
      </w:r>
      <w:r>
        <w:rPr>
          <w:rFonts w:asciiTheme="minorHAnsi" w:hAnsiTheme="minorHAnsi" w:cs="Calibri"/>
          <w:szCs w:val="24"/>
          <w:lang w:eastAsia="x-none"/>
        </w:rPr>
        <w:t>ao aspecto gramatical e lógico</w:t>
      </w:r>
      <w:r w:rsidR="00F708D2">
        <w:rPr>
          <w:rFonts w:asciiTheme="minorHAnsi" w:hAnsiTheme="minorHAnsi" w:cs="Calibri"/>
          <w:szCs w:val="24"/>
          <w:lang w:eastAsia="x-none"/>
        </w:rPr>
        <w:t xml:space="preserve">, em atenção aos </w:t>
      </w:r>
      <w:r w:rsidRPr="005C600B">
        <w:rPr>
          <w:rFonts w:asciiTheme="minorHAnsi" w:hAnsiTheme="minorHAnsi" w:cs="Calibri"/>
          <w:szCs w:val="24"/>
          <w:lang w:eastAsia="x-none"/>
        </w:rPr>
        <w:t>preceitos da Lei Complementar nº 95 de 1998 que dispõe sobre a elaboração, a redação, a alter</w:t>
      </w:r>
      <w:r w:rsidR="00F708D2">
        <w:rPr>
          <w:rFonts w:asciiTheme="minorHAnsi" w:hAnsiTheme="minorHAnsi" w:cs="Calibri"/>
          <w:szCs w:val="24"/>
          <w:lang w:eastAsia="x-none"/>
        </w:rPr>
        <w:t xml:space="preserve">ação e a consolidação das leis, precipuamente art. 12, inciso III, alínea </w:t>
      </w:r>
      <w:r w:rsidR="00F708D2">
        <w:rPr>
          <w:rFonts w:asciiTheme="minorHAnsi" w:hAnsiTheme="minorHAnsi" w:cs="Calibri"/>
          <w:szCs w:val="24"/>
          <w:lang w:eastAsia="x-none"/>
        </w:rPr>
        <w:t>“c”</w:t>
      </w:r>
      <w:r>
        <w:rPr>
          <w:rStyle w:val="FootnoteReference"/>
          <w:rFonts w:asciiTheme="minorHAnsi" w:hAnsiTheme="minorHAnsi" w:cs="Calibri"/>
          <w:szCs w:val="24"/>
          <w:lang w:eastAsia="x-none"/>
        </w:rPr>
        <w:footnoteReference w:id="4"/>
      </w:r>
      <w:r w:rsidR="00F708D2">
        <w:rPr>
          <w:rFonts w:asciiTheme="minorHAnsi" w:hAnsiTheme="minorHAnsi" w:cs="Calibri"/>
          <w:szCs w:val="24"/>
          <w:lang w:eastAsia="x-none"/>
        </w:rPr>
        <w:t xml:space="preserve">, </w:t>
      </w:r>
      <w:r w:rsidRPr="00F708D2" w:rsidR="00F708D2">
        <w:rPr>
          <w:rFonts w:asciiTheme="minorHAnsi" w:hAnsiTheme="minorHAnsi" w:cs="Calibri"/>
          <w:b/>
          <w:szCs w:val="24"/>
          <w:lang w:eastAsia="x-none"/>
        </w:rPr>
        <w:t>sugerimos alteração do art. 1º do projeto</w:t>
      </w:r>
      <w:r w:rsidR="00F708D2">
        <w:rPr>
          <w:rFonts w:asciiTheme="minorHAnsi" w:hAnsiTheme="minorHAnsi" w:cs="Calibri"/>
          <w:szCs w:val="24"/>
          <w:lang w:eastAsia="x-none"/>
        </w:rPr>
        <w:t xml:space="preserve">, </w:t>
      </w:r>
      <w:r w:rsidRPr="002B7C03" w:rsidR="00F708D2">
        <w:rPr>
          <w:rFonts w:asciiTheme="minorHAnsi" w:hAnsiTheme="minorHAnsi" w:cs="Calibri"/>
          <w:b/>
          <w:szCs w:val="24"/>
          <w:lang w:eastAsia="x-none"/>
        </w:rPr>
        <w:t>porquanto tenciona substituir incisos do art. 3º da Lei 5.553/2017</w:t>
      </w:r>
      <w:r w:rsidRPr="002B7C03" w:rsidR="000136F3">
        <w:rPr>
          <w:rFonts w:asciiTheme="minorHAnsi" w:hAnsiTheme="minorHAnsi" w:cs="Calibri"/>
          <w:b/>
          <w:szCs w:val="24"/>
          <w:lang w:eastAsia="x-none"/>
        </w:rPr>
        <w:t xml:space="preserve"> que</w:t>
      </w:r>
      <w:r w:rsidRPr="002B7C03" w:rsidR="00DA3FEB">
        <w:rPr>
          <w:rFonts w:asciiTheme="minorHAnsi" w:hAnsiTheme="minorHAnsi" w:cs="Calibri"/>
          <w:b/>
          <w:szCs w:val="24"/>
          <w:lang w:eastAsia="x-none"/>
        </w:rPr>
        <w:t xml:space="preserve"> foram</w:t>
      </w:r>
      <w:r w:rsidRPr="002B7C03" w:rsidR="000136F3">
        <w:rPr>
          <w:rFonts w:asciiTheme="minorHAnsi" w:hAnsiTheme="minorHAnsi" w:cs="Calibri"/>
          <w:b/>
          <w:szCs w:val="24"/>
          <w:lang w:eastAsia="x-none"/>
        </w:rPr>
        <w:t xml:space="preserve"> </w:t>
      </w:r>
      <w:r w:rsidRPr="005154FE" w:rsidR="00F708D2">
        <w:rPr>
          <w:rFonts w:asciiTheme="minorHAnsi" w:hAnsiTheme="minorHAnsi" w:cs="Calibri"/>
          <w:b/>
          <w:szCs w:val="24"/>
          <w:lang w:eastAsia="x-none"/>
        </w:rPr>
        <w:t>ve</w:t>
      </w:r>
      <w:bookmarkStart w:id="8" w:name="_GoBack"/>
      <w:bookmarkEnd w:id="8"/>
      <w:r w:rsidRPr="005154FE" w:rsidR="00F708D2">
        <w:rPr>
          <w:rFonts w:asciiTheme="minorHAnsi" w:hAnsiTheme="minorHAnsi" w:cs="Calibri"/>
          <w:b/>
          <w:szCs w:val="24"/>
          <w:lang w:eastAsia="x-none"/>
        </w:rPr>
        <w:t>tados</w:t>
      </w:r>
      <w:r w:rsidRPr="005154FE" w:rsidR="00354479">
        <w:rPr>
          <w:rFonts w:asciiTheme="minorHAnsi" w:hAnsiTheme="minorHAnsi" w:cs="Calibri"/>
          <w:b/>
          <w:szCs w:val="24"/>
          <w:lang w:eastAsia="x-none"/>
        </w:rPr>
        <w:t xml:space="preserve">, </w:t>
      </w:r>
      <w:r w:rsidRPr="005154FE" w:rsidR="00E34464">
        <w:rPr>
          <w:rFonts w:asciiTheme="minorHAnsi" w:hAnsiTheme="minorHAnsi" w:cs="Calibri"/>
          <w:b/>
          <w:szCs w:val="24"/>
          <w:lang w:eastAsia="x-none"/>
        </w:rPr>
        <w:t xml:space="preserve">portanto, </w:t>
      </w:r>
      <w:r w:rsidRPr="005154FE" w:rsidR="00354479">
        <w:rPr>
          <w:rFonts w:asciiTheme="minorHAnsi" w:hAnsiTheme="minorHAnsi" w:cs="Calibri"/>
          <w:b/>
          <w:szCs w:val="24"/>
          <w:lang w:eastAsia="x-none"/>
        </w:rPr>
        <w:t>impassíveis de utilização</w:t>
      </w:r>
      <w:r w:rsidRPr="005154FE" w:rsidR="002B7C03">
        <w:rPr>
          <w:rFonts w:asciiTheme="minorHAnsi" w:hAnsiTheme="minorHAnsi" w:cs="Calibri"/>
          <w:b/>
          <w:szCs w:val="24"/>
          <w:lang w:eastAsia="x-none"/>
        </w:rPr>
        <w:t>.</w:t>
      </w:r>
    </w:p>
    <w:p w:rsidR="00806E4C" w:rsidRPr="00E40A4C" w:rsidP="00E40A4C">
      <w:pPr>
        <w:tabs>
          <w:tab w:val="left" w:pos="1701"/>
        </w:tabs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Theme="minorHAnsi" w:hAnsiTheme="minorHAnsi" w:cstheme="minorHAnsi"/>
        </w:rPr>
      </w:pPr>
      <w:r w:rsidRPr="00755C00">
        <w:rPr>
          <w:rFonts w:eastAsia="Calibri" w:asciiTheme="minorHAnsi" w:hAnsiTheme="minorHAnsi" w:cs="Calibri"/>
          <w:szCs w:val="24"/>
        </w:rPr>
        <w:t xml:space="preserve">Ante </w:t>
      </w:r>
      <w:r w:rsidRPr="00755C00" w:rsidR="00F44C42">
        <w:rPr>
          <w:rFonts w:eastAsia="Calibri" w:asciiTheme="minorHAnsi" w:hAnsiTheme="minorHAnsi" w:cs="Calibri"/>
          <w:szCs w:val="24"/>
        </w:rPr>
        <w:t xml:space="preserve">todo </w:t>
      </w:r>
      <w:r w:rsidRPr="00755C00">
        <w:rPr>
          <w:rFonts w:eastAsia="Calibri" w:asciiTheme="minorHAnsi" w:hAnsiTheme="minorHAnsi" w:cs="Calibri"/>
          <w:szCs w:val="24"/>
        </w:rPr>
        <w:t>o exposto,</w:t>
      </w:r>
      <w:r w:rsidRPr="00755C00" w:rsidR="005A0ABB">
        <w:rPr>
          <w:rFonts w:eastAsia="Calibri" w:asciiTheme="minorHAnsi" w:hAnsiTheme="minorHAnsi" w:cs="Calibri"/>
          <w:szCs w:val="24"/>
        </w:rPr>
        <w:t xml:space="preserve"> </w:t>
      </w:r>
      <w:r w:rsidRPr="00755C00" w:rsidR="00F44C42">
        <w:rPr>
          <w:rFonts w:asciiTheme="minorHAnsi" w:hAnsiTheme="minorHAnsi" w:cstheme="minorHAnsi"/>
        </w:rPr>
        <w:t xml:space="preserve">opinamos pela </w:t>
      </w:r>
      <w:r w:rsidRPr="00755C00">
        <w:rPr>
          <w:rFonts w:asciiTheme="minorHAnsi" w:hAnsiTheme="minorHAnsi" w:cstheme="minorHAnsi"/>
        </w:rPr>
        <w:t>constitucionalidade</w:t>
      </w:r>
      <w:r w:rsidRPr="00755C00" w:rsidR="00F44C42">
        <w:rPr>
          <w:rFonts w:asciiTheme="minorHAnsi" w:hAnsiTheme="minorHAnsi" w:cstheme="minorHAnsi"/>
        </w:rPr>
        <w:t xml:space="preserve"> e legalidade do projeto</w:t>
      </w:r>
      <w:r w:rsidR="000C29F8">
        <w:rPr>
          <w:rFonts w:asciiTheme="minorHAnsi" w:hAnsiTheme="minorHAnsi" w:cstheme="minorHAnsi"/>
        </w:rPr>
        <w:t xml:space="preserve">, </w:t>
      </w:r>
      <w:r w:rsidRPr="00BB3097" w:rsidR="000C29F8">
        <w:rPr>
          <w:rFonts w:asciiTheme="minorHAnsi" w:hAnsiTheme="minorHAnsi" w:cstheme="minorHAnsi"/>
          <w:u w:val="single"/>
        </w:rPr>
        <w:t xml:space="preserve">ressalvada recomendação pertinente aos preceitos da LC </w:t>
      </w:r>
      <w:r w:rsidRPr="00BB3097" w:rsidR="002D0238">
        <w:rPr>
          <w:rFonts w:asciiTheme="minorHAnsi" w:hAnsiTheme="minorHAnsi" w:cstheme="minorHAnsi"/>
          <w:u w:val="single"/>
        </w:rPr>
        <w:t xml:space="preserve">nº </w:t>
      </w:r>
      <w:r w:rsidRPr="00BB3097" w:rsidR="000C29F8">
        <w:rPr>
          <w:rFonts w:asciiTheme="minorHAnsi" w:hAnsiTheme="minorHAnsi" w:cstheme="minorHAnsi"/>
          <w:u w:val="single"/>
        </w:rPr>
        <w:t>95/98</w:t>
      </w:r>
      <w:r w:rsidR="00E40A4C">
        <w:rPr>
          <w:rFonts w:asciiTheme="minorHAnsi" w:hAnsiTheme="minorHAnsi" w:cstheme="minorHAnsi"/>
        </w:rPr>
        <w:t xml:space="preserve">. </w:t>
      </w:r>
      <w:r w:rsidRPr="005C600B" w:rsidR="00F44C42">
        <w:rPr>
          <w:rFonts w:asciiTheme="minorHAnsi" w:hAnsiTheme="minorHAnsi" w:cstheme="minorHAnsi"/>
        </w:rPr>
        <w:t xml:space="preserve">No concernente </w:t>
      </w:r>
      <w:r w:rsidR="00E056F5">
        <w:rPr>
          <w:rFonts w:eastAsia="Calibri" w:asciiTheme="minorHAnsi" w:hAnsiTheme="minorHAnsi" w:cs="Calibri"/>
          <w:szCs w:val="24"/>
        </w:rPr>
        <w:t>ao mérito, o Plenário é soberano</w:t>
      </w:r>
      <w:r w:rsidRPr="005C600B">
        <w:rPr>
          <w:rFonts w:eastAsia="Calibri" w:asciiTheme="minorHAnsi" w:hAnsiTheme="minorHAnsi" w:cs="Calibri"/>
          <w:szCs w:val="24"/>
        </w:rPr>
        <w:t>.</w:t>
      </w:r>
    </w:p>
    <w:p w:rsidR="00806E4C" w:rsidRPr="005C600B" w:rsidP="009A5342">
      <w:pPr>
        <w:pStyle w:val="BodyText"/>
        <w:spacing w:before="12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5C600B">
        <w:rPr>
          <w:rFonts w:asciiTheme="minorHAnsi" w:hAnsiTheme="minorHAnsi" w:cstheme="minorHAnsi"/>
          <w:szCs w:val="24"/>
        </w:rPr>
        <w:t>É o parecer.</w:t>
      </w:r>
    </w:p>
    <w:p w:rsidR="00806E4C" w:rsidRPr="005C600B" w:rsidP="00806E4C">
      <w:pPr>
        <w:pStyle w:val="BodyText"/>
        <w:spacing w:after="0" w:line="360" w:lineRule="auto"/>
        <w:ind w:firstLine="1701"/>
        <w:jc w:val="both"/>
        <w:rPr>
          <w:rFonts w:asciiTheme="minorHAnsi" w:hAnsiTheme="minorHAnsi" w:cs="Tahoma"/>
          <w:iCs/>
          <w:szCs w:val="24"/>
        </w:rPr>
      </w:pPr>
      <w:r w:rsidRPr="005C600B">
        <w:rPr>
          <w:rFonts w:asciiTheme="minorHAnsi" w:hAnsiTheme="minorHAnsi" w:cs="Tahoma"/>
          <w:iCs/>
          <w:szCs w:val="24"/>
        </w:rPr>
        <w:t xml:space="preserve">Procuradoria, aos </w:t>
      </w:r>
      <w:r w:rsidR="00273366">
        <w:rPr>
          <w:rFonts w:asciiTheme="minorHAnsi" w:hAnsiTheme="minorHAnsi" w:cs="Tahoma"/>
          <w:iCs/>
          <w:szCs w:val="24"/>
        </w:rPr>
        <w:t>10</w:t>
      </w:r>
      <w:r w:rsidRPr="005C600B">
        <w:rPr>
          <w:rFonts w:asciiTheme="minorHAnsi" w:hAnsiTheme="minorHAnsi" w:cs="Tahoma"/>
          <w:iCs/>
          <w:szCs w:val="24"/>
        </w:rPr>
        <w:t xml:space="preserve"> de </w:t>
      </w:r>
      <w:r w:rsidR="00E40A4C">
        <w:rPr>
          <w:rFonts w:asciiTheme="minorHAnsi" w:hAnsiTheme="minorHAnsi" w:cs="Tahoma"/>
          <w:iCs/>
          <w:szCs w:val="24"/>
        </w:rPr>
        <w:t>março</w:t>
      </w:r>
      <w:r w:rsidRPr="005C600B">
        <w:rPr>
          <w:rFonts w:asciiTheme="minorHAnsi" w:hAnsiTheme="minorHAnsi" w:cs="Tahoma"/>
          <w:iCs/>
          <w:szCs w:val="24"/>
        </w:rPr>
        <w:t xml:space="preserve"> de 202</w:t>
      </w:r>
      <w:r w:rsidRPr="005C600B" w:rsidR="005A0ABB">
        <w:rPr>
          <w:rFonts w:asciiTheme="minorHAnsi" w:hAnsiTheme="minorHAnsi" w:cs="Tahoma"/>
          <w:iCs/>
          <w:szCs w:val="24"/>
        </w:rPr>
        <w:t>5</w:t>
      </w:r>
      <w:r w:rsidRPr="005C600B">
        <w:rPr>
          <w:rFonts w:asciiTheme="minorHAnsi" w:hAnsiTheme="minorHAnsi" w:cs="Tahoma"/>
          <w:iCs/>
          <w:szCs w:val="24"/>
        </w:rPr>
        <w:t>.</w:t>
      </w:r>
    </w:p>
    <w:p w:rsidR="00806E4C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:rsidR="00DD0D29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:rsidR="006D366B" w:rsidRPr="0020579A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:rsidR="008E3CC7" w:rsidRPr="0020579A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:rsidR="008E3CC7" w:rsidRPr="005C600B" w:rsidP="008E3CC7">
      <w:pPr>
        <w:rPr>
          <w:rFonts w:asciiTheme="minorHAnsi" w:hAnsiTheme="minorHAnsi" w:cstheme="minorHAnsi"/>
          <w:b/>
          <w:szCs w:val="24"/>
        </w:rPr>
      </w:pPr>
      <w:r w:rsidRPr="005C600B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8E3CC7" w:rsidRPr="005C600B" w:rsidP="008E3CC7">
      <w:pPr>
        <w:rPr>
          <w:rFonts w:asciiTheme="minorHAnsi" w:hAnsiTheme="minorHAnsi" w:cstheme="minorHAnsi"/>
          <w:b/>
          <w:szCs w:val="24"/>
        </w:rPr>
      </w:pPr>
      <w:r w:rsidRPr="005C600B">
        <w:rPr>
          <w:rFonts w:asciiTheme="minorHAnsi" w:hAnsiTheme="minorHAnsi" w:cstheme="minorHAnsi"/>
          <w:b/>
          <w:szCs w:val="24"/>
        </w:rPr>
        <w:t xml:space="preserve">     Procuradora - OAB/SP 308.298                            Procurador - OAB/SP 319.159</w:t>
      </w:r>
    </w:p>
    <w:p w:rsidR="008E3CC7" w:rsidRPr="00D75C2D">
      <w:pPr>
        <w:rPr>
          <w:rFonts w:asciiTheme="minorHAnsi" w:hAnsiTheme="minorHAnsi"/>
        </w:rPr>
      </w:pPr>
      <w:r w:rsidRPr="005C600B">
        <w:rPr>
          <w:rFonts w:asciiTheme="minorHAnsi" w:hAnsiTheme="minorHAnsi" w:cstheme="minorHAnsi"/>
          <w:b/>
          <w:szCs w:val="24"/>
        </w:rPr>
        <w:t xml:space="preserve">             </w:t>
      </w:r>
      <w:r w:rsidRPr="00D75C2D">
        <w:rPr>
          <w:rFonts w:asciiTheme="minorHAnsi" w:hAnsiTheme="minorHAnsi" w:cstheme="minorHAnsi"/>
          <w:szCs w:val="24"/>
        </w:rPr>
        <w:t>Assinatura eletrônica                                             Assinatura eletrônica</w:t>
      </w:r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E3552B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E3552B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E3552B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E3552B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E3552B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154FE">
              <w:rPr>
                <w:b/>
                <w:bCs/>
                <w:noProof/>
                <w:sz w:val="18"/>
                <w:szCs w:val="18"/>
              </w:rPr>
              <w:t>13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5154FE">
              <w:rPr>
                <w:b/>
                <w:bCs/>
                <w:noProof/>
                <w:sz w:val="18"/>
                <w:szCs w:val="18"/>
              </w:rPr>
              <w:t>13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E0C0A">
    <w:pPr>
      <w:pStyle w:val="Footer"/>
    </w:pPr>
  </w:p>
  <w:p w:rsidR="00AE0C0A">
    <w:pPr>
      <w:pStyle w:val="Footer"/>
    </w:pPr>
  </w:p>
  <w:p w:rsidR="00AE0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06E4C" w:rsidP="00806E4C">
      <w:r>
        <w:separator/>
      </w:r>
    </w:p>
  </w:footnote>
  <w:footnote w:type="continuationSeparator" w:id="1">
    <w:p w:rsidR="00806E4C" w:rsidP="00806E4C">
      <w:r>
        <w:continuationSeparator/>
      </w:r>
    </w:p>
  </w:footnote>
  <w:footnote w:id="2">
    <w:p w:rsidR="00806E4C" w:rsidRPr="00806E4C" w:rsidP="005C600B">
      <w:pPr>
        <w:pStyle w:val="Default"/>
        <w:jc w:val="both"/>
        <w:rPr>
          <w:rFonts w:asciiTheme="minorHAnsi" w:hAnsiTheme="minorHAnsi"/>
          <w:sz w:val="20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  <w:footnote w:id="3">
    <w:p w:rsidR="00801235" w:rsidP="00801235">
      <w:pPr>
        <w:pStyle w:val="FootnoteText"/>
      </w:pPr>
      <w:r>
        <w:rPr>
          <w:rStyle w:val="FootnoteReference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  <w:footnote w:id="4">
    <w:p w:rsidR="000136F3" w:rsidRPr="000136F3" w:rsidP="000136F3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>Art. 12. A alteração da lei será feita: I - mediante reprodução integral em novo texto, quando se tratar de alteração considerável;</w:t>
      </w:r>
      <w:bookmarkStart w:id="6" w:name="art12ii"/>
      <w:bookmarkEnd w:id="6"/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 xml:space="preserve"> II – mediante revogação parcial;     </w:t>
      </w:r>
      <w:hyperlink r:id="rId1" w:anchor="art1" w:history="1">
        <w:r w:rsidRPr="000136F3">
          <w:rPr>
            <w:rStyle w:val="Hyperlink"/>
            <w:rFonts w:asciiTheme="minorHAnsi" w:hAnsiTheme="minorHAnsi" w:cs="Arial"/>
            <w:i/>
            <w:sz w:val="20"/>
            <w:szCs w:val="20"/>
          </w:rPr>
          <w:t>(Redação dada pela Lei Complementar nº 107, de 26.4.2001)</w:t>
        </w:r>
      </w:hyperlink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 xml:space="preserve"> III - nos demais casos, por meio de substituição, no próprio texto, do dispositivo alterado, ou acréscimo de dispositivo novo, observadas as seguintes regras:</w:t>
      </w:r>
      <w:bookmarkStart w:id="7" w:name="art12iiia"/>
      <w:bookmarkEnd w:id="7"/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 xml:space="preserve"> (...) c) </w:t>
      </w:r>
      <w:r w:rsidRPr="000136F3">
        <w:rPr>
          <w:rFonts w:asciiTheme="minorHAnsi" w:hAnsiTheme="minorHAnsi" w:cs="Arial"/>
          <w:b/>
          <w:i/>
          <w:color w:val="000000"/>
          <w:sz w:val="20"/>
          <w:szCs w:val="20"/>
        </w:rPr>
        <w:t>é vedado o aproveitamento do número de dispositivo revogado, vetado,</w:t>
      </w:r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 xml:space="preserve"> declarado inconstitucional pelo Supremo Tribunal Federal ou de execução suspensa pelo Senado Federal em face de decisão do Supremo Tribunal Federal, </w:t>
      </w:r>
      <w:r w:rsidRPr="002B7C03">
        <w:rPr>
          <w:rFonts w:asciiTheme="minorHAnsi" w:hAnsiTheme="minorHAnsi" w:cs="Arial"/>
          <w:b/>
          <w:i/>
          <w:color w:val="000000"/>
          <w:sz w:val="20"/>
          <w:szCs w:val="20"/>
        </w:rPr>
        <w:t>devendo a lei alterada manter essa indicação, seguida da expressão</w:t>
      </w:r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 xml:space="preserve"> ‘revogado’, ‘</w:t>
      </w:r>
      <w:r w:rsidRPr="002B7C03">
        <w:rPr>
          <w:rFonts w:asciiTheme="minorHAnsi" w:hAnsiTheme="minorHAnsi" w:cs="Arial"/>
          <w:b/>
          <w:i/>
          <w:color w:val="000000"/>
          <w:sz w:val="20"/>
          <w:szCs w:val="20"/>
        </w:rPr>
        <w:t>vetado</w:t>
      </w:r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>’, ‘declarado inconstitucional, em controle concentrado, pelo Supremo Tribunal Federal’, ou ‘execução suspensa pelo Senado Federal, na forma do </w:t>
      </w:r>
      <w:hyperlink r:id="rId2" w:anchor="art52x" w:history="1">
        <w:r w:rsidRPr="000136F3">
          <w:rPr>
            <w:rStyle w:val="Hyperlink"/>
            <w:rFonts w:asciiTheme="minorHAnsi" w:hAnsiTheme="minorHAnsi" w:cs="Arial"/>
            <w:i/>
            <w:sz w:val="20"/>
            <w:szCs w:val="20"/>
          </w:rPr>
          <w:t xml:space="preserve">art. 52, X, da Constituição </w:t>
        </w:r>
        <w:r w:rsidRPr="000136F3">
          <w:rPr>
            <w:rStyle w:val="Hyperlink"/>
            <w:rFonts w:asciiTheme="minorHAnsi" w:hAnsiTheme="minorHAnsi" w:cs="Arial"/>
            <w:i/>
            <w:sz w:val="20"/>
            <w:szCs w:val="20"/>
          </w:rPr>
          <w:t>Federal;</w:t>
        </w:r>
      </w:hyperlink>
      <w:r w:rsidRPr="000136F3">
        <w:rPr>
          <w:rFonts w:asciiTheme="minorHAnsi" w:hAnsiTheme="minorHAnsi" w:cs="Arial"/>
          <w:i/>
          <w:color w:val="000000"/>
          <w:sz w:val="20"/>
          <w:szCs w:val="20"/>
        </w:rPr>
        <w:t>         </w:t>
      </w:r>
      <w:hyperlink r:id="rId1" w:anchor="art1" w:history="1">
        <w:r w:rsidRPr="000136F3">
          <w:rPr>
            <w:rStyle w:val="Hyperlink"/>
            <w:rFonts w:asciiTheme="minorHAnsi" w:hAnsiTheme="minorHAnsi" w:cs="Arial"/>
            <w:i/>
            <w:sz w:val="20"/>
            <w:szCs w:val="20"/>
          </w:rPr>
          <w:t>(Redação dada pela Lei Complementar nº 107, de 26.4.2001)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</w:p>
  <w:p w:rsidR="00806E4C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6E4C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71959243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41821474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806E4C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264681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806E4C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E0C0A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806E4C" w:rsidP="00806E4C">
    <w:pPr>
      <w:pStyle w:val="Header"/>
      <w:jc w:val="center"/>
      <w:rPr>
        <w:lang w:val="pt-PT"/>
      </w:rPr>
    </w:pPr>
  </w:p>
  <w:p w:rsidR="00806E4C" w:rsidP="00806E4C">
    <w:pPr>
      <w:pStyle w:val="Header"/>
      <w:jc w:val="center"/>
    </w:pPr>
  </w:p>
  <w:p w:rsidR="00AE0C0A">
    <w:pPr>
      <w:pStyle w:val="Header"/>
    </w:pPr>
  </w:p>
  <w:p w:rsidR="00AE0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9B1F8A"/>
    <w:multiLevelType w:val="hybridMultilevel"/>
    <w:tmpl w:val="68168158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6E1155B4"/>
    <w:multiLevelType w:val="hybridMultilevel"/>
    <w:tmpl w:val="52F61D42"/>
    <w:lvl w:ilvl="0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120B7"/>
    <w:rsid w:val="000136F3"/>
    <w:rsid w:val="0005221D"/>
    <w:rsid w:val="000A15BC"/>
    <w:rsid w:val="000A536B"/>
    <w:rsid w:val="000B4EB2"/>
    <w:rsid w:val="000C29F8"/>
    <w:rsid w:val="000D0F5F"/>
    <w:rsid w:val="000F67C6"/>
    <w:rsid w:val="00100223"/>
    <w:rsid w:val="00114A64"/>
    <w:rsid w:val="00190FC8"/>
    <w:rsid w:val="001A7744"/>
    <w:rsid w:val="001B1774"/>
    <w:rsid w:val="001E3859"/>
    <w:rsid w:val="001F7841"/>
    <w:rsid w:val="0020579A"/>
    <w:rsid w:val="00210204"/>
    <w:rsid w:val="002501C0"/>
    <w:rsid w:val="00250C95"/>
    <w:rsid w:val="00273366"/>
    <w:rsid w:val="002B7C03"/>
    <w:rsid w:val="002D0238"/>
    <w:rsid w:val="002D0BF0"/>
    <w:rsid w:val="00304CD1"/>
    <w:rsid w:val="003142C3"/>
    <w:rsid w:val="00315996"/>
    <w:rsid w:val="00353F8F"/>
    <w:rsid w:val="00354479"/>
    <w:rsid w:val="00355BBA"/>
    <w:rsid w:val="00393449"/>
    <w:rsid w:val="003E6E01"/>
    <w:rsid w:val="0041095E"/>
    <w:rsid w:val="00424853"/>
    <w:rsid w:val="00453052"/>
    <w:rsid w:val="004634DB"/>
    <w:rsid w:val="004738EB"/>
    <w:rsid w:val="00476B43"/>
    <w:rsid w:val="00513AB5"/>
    <w:rsid w:val="005154FE"/>
    <w:rsid w:val="00557AFB"/>
    <w:rsid w:val="00562DC8"/>
    <w:rsid w:val="005A0ABB"/>
    <w:rsid w:val="005C600B"/>
    <w:rsid w:val="005C763D"/>
    <w:rsid w:val="005E3E98"/>
    <w:rsid w:val="005F5009"/>
    <w:rsid w:val="006003DC"/>
    <w:rsid w:val="00634C01"/>
    <w:rsid w:val="006A2B4C"/>
    <w:rsid w:val="006D1D72"/>
    <w:rsid w:val="006D366B"/>
    <w:rsid w:val="006F2A7E"/>
    <w:rsid w:val="0071274E"/>
    <w:rsid w:val="007401AE"/>
    <w:rsid w:val="00755C00"/>
    <w:rsid w:val="007766ED"/>
    <w:rsid w:val="0079432B"/>
    <w:rsid w:val="00797747"/>
    <w:rsid w:val="007B4064"/>
    <w:rsid w:val="007D4C9D"/>
    <w:rsid w:val="007E354C"/>
    <w:rsid w:val="007F5D04"/>
    <w:rsid w:val="00801235"/>
    <w:rsid w:val="00806E4C"/>
    <w:rsid w:val="0084446F"/>
    <w:rsid w:val="008874F0"/>
    <w:rsid w:val="008A5F7D"/>
    <w:rsid w:val="008E3CC7"/>
    <w:rsid w:val="009431CA"/>
    <w:rsid w:val="00962DAF"/>
    <w:rsid w:val="009678F6"/>
    <w:rsid w:val="009A5342"/>
    <w:rsid w:val="009A77EA"/>
    <w:rsid w:val="009C3C83"/>
    <w:rsid w:val="00A176DE"/>
    <w:rsid w:val="00A26DB4"/>
    <w:rsid w:val="00A3184E"/>
    <w:rsid w:val="00A61812"/>
    <w:rsid w:val="00A95AB0"/>
    <w:rsid w:val="00AB523A"/>
    <w:rsid w:val="00AE0C0A"/>
    <w:rsid w:val="00B07607"/>
    <w:rsid w:val="00B36A29"/>
    <w:rsid w:val="00B650DC"/>
    <w:rsid w:val="00B777AF"/>
    <w:rsid w:val="00B8495D"/>
    <w:rsid w:val="00BA16E1"/>
    <w:rsid w:val="00BA320A"/>
    <w:rsid w:val="00BA7E5B"/>
    <w:rsid w:val="00BB3097"/>
    <w:rsid w:val="00BE19CF"/>
    <w:rsid w:val="00BE38D4"/>
    <w:rsid w:val="00BF07F8"/>
    <w:rsid w:val="00C40250"/>
    <w:rsid w:val="00C55A39"/>
    <w:rsid w:val="00C83AFB"/>
    <w:rsid w:val="00CD0289"/>
    <w:rsid w:val="00CE2869"/>
    <w:rsid w:val="00D75C2D"/>
    <w:rsid w:val="00D84EBE"/>
    <w:rsid w:val="00DA3FEB"/>
    <w:rsid w:val="00DA6245"/>
    <w:rsid w:val="00DB1455"/>
    <w:rsid w:val="00DB79B6"/>
    <w:rsid w:val="00DB7BB1"/>
    <w:rsid w:val="00DD0D29"/>
    <w:rsid w:val="00E056F5"/>
    <w:rsid w:val="00E34464"/>
    <w:rsid w:val="00E3552B"/>
    <w:rsid w:val="00E40A4C"/>
    <w:rsid w:val="00E64AF0"/>
    <w:rsid w:val="00EB1E5A"/>
    <w:rsid w:val="00EE0BE3"/>
    <w:rsid w:val="00F03D19"/>
    <w:rsid w:val="00F43046"/>
    <w:rsid w:val="00F44C42"/>
    <w:rsid w:val="00F53BEF"/>
    <w:rsid w:val="00F57E55"/>
    <w:rsid w:val="00F61378"/>
    <w:rsid w:val="00F708D2"/>
    <w:rsid w:val="00F83F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80123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3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48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248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footnotes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planalto.gov.br/ccivil_03/leis/lcp/Lcp107.htm" TargetMode="External" /><Relationship Id="rId2" Type="http://schemas.openxmlformats.org/officeDocument/2006/relationships/hyperlink" Target="https://www.planalto.gov.br/ccivil_03/Constituicao/Constituicao.ht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5FEC9-C429-4365-9996-AAAF80F5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2093</TotalTime>
  <Pages>13</Pages>
  <Words>3806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33</cp:revision>
  <dcterms:created xsi:type="dcterms:W3CDTF">2025-03-08T13:10:00Z</dcterms:created>
  <dcterms:modified xsi:type="dcterms:W3CDTF">2025-03-10T19:00:00Z</dcterms:modified>
</cp:coreProperties>
</file>