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833" w:rsidRPr="00AE634E" w:rsidP="00A26518">
      <w:pPr>
        <w:pStyle w:val="Default"/>
        <w:jc w:val="both"/>
        <w:rPr>
          <w:rFonts w:ascii="Calibri" w:hAnsi="Calibri" w:cs="Calibri"/>
          <w:b/>
          <w:color w:val="FF0000"/>
        </w:rPr>
      </w:pPr>
      <w:r w:rsidRPr="00C96DEE">
        <w:rPr>
          <w:rFonts w:ascii="Calibri" w:hAnsi="Calibri" w:cs="Calibri"/>
          <w:b/>
          <w:color w:val="auto"/>
        </w:rPr>
        <w:t xml:space="preserve">Parecer Jurídico nº </w:t>
      </w:r>
      <w:r w:rsidRPr="00C96DEE" w:rsidR="00C96DEE">
        <w:rPr>
          <w:rFonts w:ascii="Calibri" w:hAnsi="Calibri" w:cs="Calibri"/>
          <w:b/>
          <w:color w:val="auto"/>
        </w:rPr>
        <w:t>298</w:t>
      </w:r>
      <w:r w:rsidRPr="00C96DEE">
        <w:rPr>
          <w:rFonts w:ascii="Calibri" w:hAnsi="Calibri" w:cs="Calibri"/>
          <w:b/>
          <w:color w:val="auto"/>
        </w:rPr>
        <w:t>/202</w:t>
      </w:r>
      <w:r w:rsidRPr="00C96DEE" w:rsidR="00AE634E">
        <w:rPr>
          <w:rFonts w:ascii="Calibri" w:hAnsi="Calibri" w:cs="Calibri"/>
          <w:b/>
          <w:color w:val="auto"/>
        </w:rPr>
        <w:t>4</w:t>
      </w:r>
      <w:r w:rsidRPr="00C96DEE">
        <w:rPr>
          <w:rFonts w:ascii="Calibri" w:hAnsi="Calibri" w:cs="Calibri"/>
          <w:b/>
          <w:color w:val="auto"/>
        </w:rPr>
        <w:t>.</w:t>
      </w:r>
    </w:p>
    <w:p w:rsidR="00AE634E" w:rsidP="00A26518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Theme="minorHAnsi" w:hAnsiTheme="minorHAnsi" w:cstheme="minorHAnsi"/>
          <w:b/>
        </w:rPr>
        <w:t xml:space="preserve">Referência: </w:t>
      </w:r>
      <w:r>
        <w:rPr>
          <w:rFonts w:ascii="Calibri" w:hAnsi="Calibri" w:cs="Calibri"/>
          <w:b/>
          <w:bCs/>
        </w:rPr>
        <w:t>Processo Legislativo nº 4965</w:t>
      </w:r>
      <w:r>
        <w:rPr>
          <w:rFonts w:ascii="Calibri" w:hAnsi="Calibri" w:cs="Calibri"/>
          <w:b/>
          <w:bCs/>
        </w:rPr>
        <w:t>/2024.</w:t>
      </w:r>
    </w:p>
    <w:p w:rsidR="00AE634E" w:rsidP="00A26518">
      <w:pPr>
        <w:spacing w:after="0" w:line="240" w:lineRule="auto"/>
        <w:jc w:val="both"/>
        <w:rPr>
          <w:rFonts w:ascii="Calibri" w:hAnsi="Calibri" w:cs="Calibri"/>
          <w:b/>
        </w:rPr>
      </w:pPr>
      <w:r w:rsidRPr="00215CD7">
        <w:rPr>
          <w:rFonts w:ascii="Calibri" w:hAnsi="Calibri" w:cs="Calibri"/>
          <w:b/>
          <w:bCs/>
        </w:rPr>
        <w:t xml:space="preserve">Assunto: </w:t>
      </w:r>
      <w:r w:rsidRPr="00215CD7">
        <w:rPr>
          <w:rFonts w:ascii="Calibri" w:hAnsi="Calibri" w:cs="Calibri"/>
          <w:b/>
        </w:rPr>
        <w:t xml:space="preserve">Projeto de Lei nº </w:t>
      </w:r>
      <w:r>
        <w:rPr>
          <w:rFonts w:ascii="Calibri" w:hAnsi="Calibri" w:cs="Calibri"/>
          <w:b/>
        </w:rPr>
        <w:t>108</w:t>
      </w:r>
      <w:r w:rsidRPr="00215CD7">
        <w:rPr>
          <w:rFonts w:ascii="Calibri" w:hAnsi="Calibri" w:cs="Calibri"/>
          <w:b/>
        </w:rPr>
        <w:t>/202</w:t>
      </w:r>
      <w:r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–</w:t>
      </w:r>
      <w:r>
        <w:rPr>
          <w:rFonts w:ascii="Calibri" w:hAnsi="Calibri" w:cs="Calibri"/>
          <w:b/>
        </w:rPr>
        <w:t xml:space="preserve"> </w:t>
      </w:r>
      <w:r w:rsidR="00F52F45">
        <w:rPr>
          <w:rFonts w:ascii="Calibri" w:hAnsi="Calibri" w:cs="Calibri"/>
          <w:b/>
        </w:rPr>
        <w:t>“</w:t>
      </w:r>
      <w:r w:rsidRPr="00F52F45">
        <w:rPr>
          <w:rFonts w:ascii="Calibri" w:hAnsi="Calibri" w:cs="Calibri"/>
          <w:i/>
        </w:rPr>
        <w:t>Altera o § 1º do Artigo 2º da Lei nº 5.597, de 10 de janeiro de 2018, que “dispõe sobre o escoamento de águas pl</w:t>
      </w:r>
      <w:r w:rsidRPr="00F52F45" w:rsidR="00F52F45">
        <w:rPr>
          <w:rFonts w:ascii="Calibri" w:hAnsi="Calibri" w:cs="Calibri"/>
          <w:i/>
        </w:rPr>
        <w:t>uviais e dá outras providências</w:t>
      </w:r>
      <w:r w:rsidRPr="00AE634E">
        <w:rPr>
          <w:rFonts w:ascii="Calibri" w:hAnsi="Calibri" w:cs="Calibri"/>
        </w:rPr>
        <w:t>”</w:t>
      </w:r>
      <w:r w:rsidR="00F52F45">
        <w:rPr>
          <w:rFonts w:ascii="Calibri" w:hAnsi="Calibri" w:cs="Calibri"/>
        </w:rPr>
        <w:t>.</w:t>
      </w:r>
    </w:p>
    <w:p w:rsidR="00451661" w:rsidP="00AE634E">
      <w:pPr>
        <w:spacing w:after="0" w:line="240" w:lineRule="auto"/>
        <w:jc w:val="both"/>
        <w:rPr>
          <w:rFonts w:ascii="Calibri" w:hAnsi="Calibri" w:cs="Calibri"/>
        </w:rPr>
      </w:pPr>
      <w:r w:rsidRPr="00A95AB8">
        <w:rPr>
          <w:rFonts w:ascii="Calibri" w:hAnsi="Calibri" w:cs="Calibri"/>
          <w:b/>
          <w:bCs/>
        </w:rPr>
        <w:t>Autoria: </w:t>
      </w:r>
      <w:r w:rsidRPr="00E51513" w:rsidR="00E51513">
        <w:rPr>
          <w:rFonts w:ascii="Calibri" w:hAnsi="Calibri" w:cs="Calibri"/>
          <w:bCs/>
        </w:rPr>
        <w:t xml:space="preserve">Vereador </w:t>
      </w:r>
      <w:r w:rsidR="00AE634E">
        <w:rPr>
          <w:rFonts w:ascii="Calibri" w:hAnsi="Calibri" w:cs="Calibri"/>
        </w:rPr>
        <w:t>Gabriel Bueno</w:t>
      </w:r>
      <w:r w:rsidR="00E51513">
        <w:rPr>
          <w:rFonts w:ascii="Calibri" w:hAnsi="Calibri" w:cs="Calibri"/>
        </w:rPr>
        <w:t>.</w:t>
      </w:r>
    </w:p>
    <w:p w:rsidR="00AE634E" w:rsidP="00AE634E">
      <w:pPr>
        <w:spacing w:after="0" w:line="240" w:lineRule="auto"/>
        <w:jc w:val="both"/>
        <w:rPr>
          <w:rFonts w:ascii="Calibri" w:hAnsi="Calibri" w:cs="Calibri"/>
        </w:rPr>
      </w:pPr>
    </w:p>
    <w:p w:rsidR="00AE634E" w:rsidP="00AE634E">
      <w:pPr>
        <w:spacing w:after="0" w:line="240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1672E8" w:rsidP="00AE634E">
      <w:pPr>
        <w:spacing w:after="0" w:line="240" w:lineRule="auto"/>
        <w:jc w:val="both"/>
        <w:rPr>
          <w:rFonts w:ascii="Calibri" w:hAnsi="Calibri" w:cs="Calibri"/>
          <w:b/>
          <w:color w:val="000000"/>
          <w:sz w:val="12"/>
          <w:szCs w:val="12"/>
        </w:rPr>
      </w:pPr>
    </w:p>
    <w:p w:rsidR="00703833" w:rsidRPr="00215CD7" w:rsidP="00451661">
      <w:pPr>
        <w:pStyle w:val="Default"/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À Comissão de Justiça e Redação,</w:t>
      </w:r>
    </w:p>
    <w:p w:rsidR="00703833" w:rsidRPr="00215CD7" w:rsidP="00BD7FBE">
      <w:pPr>
        <w:pStyle w:val="Default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b/>
          <w:i/>
        </w:rPr>
        <w:t xml:space="preserve">Exmo. </w:t>
      </w:r>
      <w:r>
        <w:rPr>
          <w:rFonts w:ascii="Calibri" w:hAnsi="Calibri" w:cs="Calibri"/>
          <w:b/>
          <w:i/>
        </w:rPr>
        <w:t>Sr.</w:t>
      </w:r>
      <w:r>
        <w:rPr>
          <w:rFonts w:ascii="Calibri" w:hAnsi="Calibri" w:cs="Calibri"/>
          <w:b/>
          <w:i/>
        </w:rPr>
        <w:t xml:space="preserve"> </w:t>
      </w:r>
      <w:r w:rsidRPr="00215CD7">
        <w:rPr>
          <w:rFonts w:ascii="Calibri" w:hAnsi="Calibri" w:cs="Calibri"/>
          <w:b/>
          <w:i/>
        </w:rPr>
        <w:t xml:space="preserve">Presidente Vereador </w:t>
      </w:r>
      <w:r>
        <w:rPr>
          <w:rFonts w:ascii="Calibri" w:hAnsi="Calibri" w:cs="Calibri"/>
          <w:b/>
          <w:i/>
        </w:rPr>
        <w:t>Gabriel Bueno</w:t>
      </w:r>
      <w:r w:rsidR="00BD7FBE">
        <w:rPr>
          <w:rFonts w:ascii="Calibri" w:hAnsi="Calibri" w:cs="Calibri"/>
          <w:b/>
          <w:i/>
        </w:rPr>
        <w:t>.</w:t>
      </w:r>
    </w:p>
    <w:p w:rsidR="0075311E" w:rsidP="00703833">
      <w:pPr>
        <w:pStyle w:val="Default"/>
        <w:spacing w:after="24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1672E8" w:rsidRPr="00215CD7" w:rsidP="00703833">
      <w:pPr>
        <w:pStyle w:val="Default"/>
        <w:spacing w:after="24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AE634E" w:rsidP="00AE634E">
      <w:pPr>
        <w:spacing w:after="240" w:line="360" w:lineRule="auto"/>
        <w:ind w:firstLine="1701"/>
        <w:jc w:val="both"/>
        <w:rPr>
          <w:rFonts w:ascii="Calibri" w:hAnsi="Calibri" w:cs="Calibri"/>
        </w:rPr>
      </w:pPr>
      <w:r w:rsidRPr="00215CD7">
        <w:rPr>
          <w:rFonts w:ascii="Calibri" w:hAnsi="Calibri" w:cs="Calibri"/>
        </w:rPr>
        <w:t>Trata-se de parecer jurídico relativo ao projeto em epígrafe</w:t>
      </w:r>
      <w:r>
        <w:rPr>
          <w:rFonts w:ascii="Calibri" w:hAnsi="Calibri" w:cs="Calibri"/>
        </w:rPr>
        <w:t xml:space="preserve"> que </w:t>
      </w:r>
      <w:r w:rsidRPr="00A95AB8">
        <w:rPr>
          <w:rFonts w:ascii="Calibri" w:hAnsi="Calibri" w:cs="Calibri"/>
          <w:i/>
        </w:rPr>
        <w:t>“</w:t>
      </w:r>
      <w:r w:rsidRPr="00AE634E">
        <w:rPr>
          <w:rFonts w:ascii="Calibri" w:hAnsi="Calibri" w:cs="Calibri"/>
          <w:i/>
        </w:rPr>
        <w:t xml:space="preserve">Altera o § 1º do Artigo 2º da Lei nº 5.597, de 10 de janeiro de 2018, que “dispõe </w:t>
      </w:r>
      <w:r w:rsidRPr="00AE634E">
        <w:rPr>
          <w:rFonts w:ascii="Calibri" w:hAnsi="Calibri" w:cs="Calibri"/>
          <w:i/>
        </w:rPr>
        <w:t>sobre</w:t>
      </w:r>
      <w:r w:rsidRPr="00AE634E">
        <w:rPr>
          <w:rFonts w:ascii="Calibri" w:hAnsi="Calibri" w:cs="Calibri"/>
          <w:i/>
        </w:rPr>
        <w:t xml:space="preserve"> </w:t>
      </w:r>
      <w:r w:rsidRPr="00AE634E">
        <w:rPr>
          <w:rFonts w:ascii="Calibri" w:hAnsi="Calibri" w:cs="Calibri"/>
          <w:i/>
        </w:rPr>
        <w:t>o</w:t>
      </w:r>
      <w:r w:rsidRPr="00AE634E">
        <w:rPr>
          <w:rFonts w:ascii="Calibri" w:hAnsi="Calibri" w:cs="Calibri"/>
          <w:i/>
        </w:rPr>
        <w:t xml:space="preserve"> escoamento de águas plu</w:t>
      </w:r>
      <w:r>
        <w:rPr>
          <w:rFonts w:ascii="Calibri" w:hAnsi="Calibri" w:cs="Calibri"/>
          <w:i/>
        </w:rPr>
        <w:t>viais e dá outras providências”</w:t>
      </w:r>
      <w:r w:rsidR="003C2965">
        <w:rPr>
          <w:rFonts w:ascii="Calibri" w:hAnsi="Calibri" w:cs="Calibri"/>
          <w:i/>
        </w:rPr>
        <w:t>.</w:t>
      </w:r>
    </w:p>
    <w:p w:rsidR="003C2965" w:rsidRPr="00BB4A32" w:rsidP="003C2965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i/>
        </w:rPr>
        <w:t xml:space="preserve"> </w:t>
      </w:r>
      <w:r w:rsidRPr="00BB4A32">
        <w:rPr>
          <w:rFonts w:asciiTheme="minorHAnsi" w:hAnsiTheme="minorHAnsi" w:cstheme="minorHAnsi"/>
          <w:i/>
          <w:szCs w:val="24"/>
        </w:rPr>
        <w:t>Ab initio</w:t>
      </w:r>
      <w:r w:rsidRPr="00BB4A32">
        <w:rPr>
          <w:rFonts w:asciiTheme="minorHAnsi" w:hAnsiTheme="minorHAnsi" w:cstheme="minorHAnsi"/>
          <w:szCs w:val="24"/>
        </w:rPr>
        <w:t>, cumpre destacar a competência regimental da Comissão de Justiça e Redação estabelecida no artigo 38</w:t>
      </w:r>
      <w:r>
        <w:rPr>
          <w:rFonts w:asciiTheme="minorHAnsi" w:hAnsiTheme="minorHAnsi" w:cstheme="minorHAnsi"/>
          <w:szCs w:val="24"/>
          <w:vertAlign w:val="superscript"/>
        </w:rPr>
        <w:footnoteReference w:id="2"/>
      </w:r>
      <w:r w:rsidRPr="00BB4A32">
        <w:rPr>
          <w:rFonts w:asciiTheme="minorHAnsi" w:hAnsiTheme="minorHAnsi" w:cstheme="minorHAnsi"/>
          <w:szCs w:val="24"/>
        </w:rPr>
        <w:t>.</w:t>
      </w:r>
    </w:p>
    <w:p w:rsidR="003C2965" w:rsidRPr="00BB4A32" w:rsidP="003C2965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BB4A32">
        <w:rPr>
          <w:rFonts w:asciiTheme="minorHAnsi" w:hAnsiTheme="minorHAnsi" w:cstheme="minorHAnsi"/>
          <w:szCs w:val="24"/>
        </w:rPr>
        <w:tab/>
        <w:t xml:space="preserve">Outrossim, ressalta-se que a opinião jurídica exarada </w:t>
      </w:r>
      <w:r w:rsidRPr="00BB4A32">
        <w:rPr>
          <w:rFonts w:asciiTheme="minorHAnsi" w:hAnsiTheme="minorHAnsi" w:cstheme="minorHAnsi"/>
          <w:b/>
          <w:szCs w:val="24"/>
        </w:rPr>
        <w:t>não tem força vinculante</w:t>
      </w:r>
      <w:r w:rsidRPr="00BB4A32">
        <w:rPr>
          <w:rFonts w:asciiTheme="minorHAnsi" w:hAnsiTheme="minorHAnsi" w:cstheme="minorHAnsi"/>
          <w:szCs w:val="24"/>
        </w:rPr>
        <w:t>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BB4A32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Pr="00BB4A32">
        <w:rPr>
          <w:rFonts w:asciiTheme="minorHAnsi" w:hAnsiTheme="minorHAnsi" w:cstheme="minorHAnsi"/>
          <w:szCs w:val="24"/>
        </w:rPr>
        <w:tab/>
      </w:r>
    </w:p>
    <w:p w:rsidR="00703833" w:rsidP="003C2965">
      <w:pPr>
        <w:spacing w:after="240" w:line="360" w:lineRule="auto"/>
        <w:ind w:firstLine="1701"/>
        <w:jc w:val="both"/>
        <w:rPr>
          <w:rFonts w:ascii="Calibri" w:hAnsi="Calibri" w:cs="Calibri"/>
          <w:color w:val="000000"/>
          <w:szCs w:val="24"/>
        </w:rPr>
      </w:pPr>
      <w:r w:rsidRPr="00215CD7">
        <w:rPr>
          <w:rFonts w:ascii="Calibri" w:hAnsi="Calibri" w:cs="Calibri"/>
          <w:color w:val="000000"/>
          <w:szCs w:val="24"/>
        </w:rPr>
        <w:t xml:space="preserve">Nesse sentido, a propositura ora em apreço intenta </w:t>
      </w:r>
      <w:r w:rsidR="00B26552">
        <w:rPr>
          <w:rFonts w:ascii="Calibri" w:hAnsi="Calibri" w:cs="Calibri"/>
          <w:color w:val="000000"/>
          <w:szCs w:val="24"/>
        </w:rPr>
        <w:t>excluir</w:t>
      </w:r>
      <w:r w:rsidRPr="00215CD7">
        <w:rPr>
          <w:rFonts w:ascii="Calibri" w:hAnsi="Calibri" w:cs="Calibri"/>
          <w:color w:val="000000"/>
          <w:szCs w:val="24"/>
        </w:rPr>
        <w:t xml:space="preserve"> o parâmetro </w:t>
      </w:r>
      <w:r w:rsidRPr="00926489">
        <w:rPr>
          <w:rFonts w:ascii="Calibri" w:hAnsi="Calibri" w:cs="Calibri"/>
          <w:szCs w:val="24"/>
        </w:rPr>
        <w:t xml:space="preserve">temporal do protocolo dos requerimentos </w:t>
      </w:r>
      <w:r w:rsidRPr="00926489" w:rsidR="00926489">
        <w:rPr>
          <w:rFonts w:ascii="Calibri" w:hAnsi="Calibri" w:cs="Calibri"/>
          <w:szCs w:val="24"/>
        </w:rPr>
        <w:t>de</w:t>
      </w:r>
      <w:r w:rsidRPr="00926489">
        <w:rPr>
          <w:rFonts w:ascii="Calibri" w:hAnsi="Calibri" w:cs="Calibri"/>
          <w:szCs w:val="24"/>
        </w:rPr>
        <w:t xml:space="preserve"> regularização de construções</w:t>
      </w:r>
      <w:r w:rsidRPr="00926489" w:rsidR="00926489">
        <w:rPr>
          <w:rFonts w:ascii="Calibri" w:hAnsi="Calibri" w:cs="Calibri"/>
          <w:szCs w:val="24"/>
        </w:rPr>
        <w:t xml:space="preserve"> já existentes que contenham ou não pontos de apoio dentro da faixa de viela sanitária</w:t>
      </w:r>
      <w:r w:rsidR="009002F5">
        <w:rPr>
          <w:rFonts w:ascii="Calibri" w:hAnsi="Calibri" w:cs="Calibri"/>
          <w:szCs w:val="24"/>
        </w:rPr>
        <w:t>,</w:t>
      </w:r>
      <w:r w:rsidR="007A0262">
        <w:rPr>
          <w:rFonts w:ascii="Calibri" w:hAnsi="Calibri" w:cs="Calibri"/>
          <w:szCs w:val="24"/>
        </w:rPr>
        <w:t xml:space="preserve"> </w:t>
      </w:r>
      <w:r w:rsidRPr="00B07B8B" w:rsidR="009002F5">
        <w:rPr>
          <w:rFonts w:ascii="Calibri" w:hAnsi="Calibri" w:cs="Calibri"/>
          <w:szCs w:val="24"/>
        </w:rPr>
        <w:t xml:space="preserve">constante do </w:t>
      </w:r>
      <w:r w:rsidRPr="00B07B8B" w:rsidR="007A0262">
        <w:rPr>
          <w:rFonts w:ascii="Calibri" w:hAnsi="Calibri" w:cs="Calibri"/>
          <w:szCs w:val="24"/>
        </w:rPr>
        <w:t>art. 2º, § 1º</w:t>
      </w:r>
      <w:r w:rsidRPr="00B07B8B" w:rsidR="009002F5">
        <w:rPr>
          <w:rFonts w:ascii="Calibri" w:hAnsi="Calibri" w:cs="Calibri"/>
          <w:szCs w:val="24"/>
        </w:rPr>
        <w:t>, da Lei 5.597/2018</w:t>
      </w:r>
      <w:r w:rsidRPr="00B07B8B">
        <w:rPr>
          <w:rFonts w:ascii="Calibri" w:hAnsi="Calibri" w:cs="Calibri"/>
          <w:szCs w:val="24"/>
        </w:rPr>
        <w:t>,</w:t>
      </w:r>
      <w:r w:rsidRPr="00B07B8B" w:rsidR="007A0262">
        <w:rPr>
          <w:rFonts w:ascii="Calibri" w:hAnsi="Calibri" w:cs="Calibri"/>
          <w:szCs w:val="24"/>
        </w:rPr>
        <w:t xml:space="preserve"> cujo prazo foi ampliado pela Lei 6.474/2023,</w:t>
      </w:r>
      <w:r w:rsidRPr="00B07B8B">
        <w:rPr>
          <w:rFonts w:ascii="Calibri" w:hAnsi="Calibri" w:cs="Calibri"/>
          <w:szCs w:val="24"/>
        </w:rPr>
        <w:t xml:space="preserve"> </w:t>
      </w:r>
      <w:r w:rsidRPr="00215CD7">
        <w:rPr>
          <w:rFonts w:ascii="Calibri" w:hAnsi="Calibri" w:cs="Calibri"/>
          <w:color w:val="000000"/>
          <w:szCs w:val="24"/>
        </w:rPr>
        <w:t>senão vejamos:</w:t>
      </w:r>
    </w:p>
    <w:tbl>
      <w:tblPr>
        <w:tblStyle w:val="TableGrid"/>
        <w:tblW w:w="0" w:type="auto"/>
        <w:tblLook w:val="04A0"/>
      </w:tblPr>
      <w:tblGrid>
        <w:gridCol w:w="3097"/>
        <w:gridCol w:w="2526"/>
        <w:gridCol w:w="3097"/>
      </w:tblGrid>
      <w:tr w:rsidTr="00CA547C">
        <w:tblPrEx>
          <w:tblW w:w="0" w:type="auto"/>
          <w:tblLook w:val="04A0"/>
        </w:tblPrEx>
        <w:tc>
          <w:tcPr>
            <w:tcW w:w="3097" w:type="dxa"/>
          </w:tcPr>
          <w:p w:rsidR="00CA547C" w:rsidRPr="00AE634E" w:rsidP="00300FFE">
            <w:pPr>
              <w:spacing w:after="2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Lei 5.597/2018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(com redação dada pela Lei nº 6.382/2022)</w:t>
            </w:r>
          </w:p>
        </w:tc>
        <w:tc>
          <w:tcPr>
            <w:tcW w:w="2526" w:type="dxa"/>
          </w:tcPr>
          <w:p w:rsidR="00CA547C" w:rsidRPr="005C17D4" w:rsidP="00300FFE">
            <w:pPr>
              <w:spacing w:after="240"/>
              <w:jc w:val="center"/>
              <w:rPr>
                <w:rFonts w:asciiTheme="minorHAnsi" w:hAnsiTheme="minorHAnsi" w:cstheme="minorHAnsi"/>
                <w:b/>
                <w:i/>
                <w:color w:val="00B050"/>
                <w:sz w:val="22"/>
                <w:szCs w:val="22"/>
              </w:rPr>
            </w:pPr>
            <w:r w:rsidRPr="007A026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Lei nº 6.474/2023</w:t>
            </w:r>
          </w:p>
        </w:tc>
        <w:tc>
          <w:tcPr>
            <w:tcW w:w="3097" w:type="dxa"/>
          </w:tcPr>
          <w:p w:rsidR="00CA547C" w:rsidRPr="00AE634E" w:rsidP="00300FFE">
            <w:pPr>
              <w:spacing w:after="24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 108/2024</w:t>
            </w:r>
          </w:p>
        </w:tc>
      </w:tr>
      <w:tr w:rsidTr="00CA547C">
        <w:tblPrEx>
          <w:tblW w:w="0" w:type="auto"/>
          <w:tblLook w:val="04A0"/>
        </w:tblPrEx>
        <w:tc>
          <w:tcPr>
            <w:tcW w:w="3097" w:type="dxa"/>
          </w:tcPr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547C" w:rsidRPr="003E4ECE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4ECE">
              <w:rPr>
                <w:rFonts w:asciiTheme="minorHAnsi" w:hAnsiTheme="minorHAnsi" w:cstheme="minorHAnsi"/>
                <w:i/>
                <w:sz w:val="22"/>
                <w:szCs w:val="22"/>
              </w:rPr>
              <w:t>Art. 2º Para efeitos desta lei</w:t>
            </w:r>
            <w:r w:rsidRPr="003E4ECE">
              <w:rPr>
                <w:rFonts w:asciiTheme="minorHAnsi" w:hAnsiTheme="minorHAnsi" w:cstheme="minorHAnsi"/>
                <w:i/>
                <w:sz w:val="22"/>
                <w:szCs w:val="22"/>
              </w:rPr>
              <w:t>,</w:t>
            </w:r>
            <w:r w:rsidR="007A026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E4ECE">
              <w:rPr>
                <w:rFonts w:asciiTheme="minorHAnsi" w:hAnsiTheme="minorHAnsi" w:cstheme="minorHAnsi"/>
                <w:i/>
                <w:sz w:val="22"/>
                <w:szCs w:val="22"/>
              </w:rPr>
              <w:t>considera-se</w:t>
            </w:r>
            <w:r w:rsidRPr="003E4EC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(...)</w:t>
            </w:r>
          </w:p>
          <w:p w:rsidR="00CA547C" w:rsidRPr="00AE634E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§ 1º </w:t>
            </w:r>
            <w:r w:rsidRPr="003E4ECE">
              <w:rPr>
                <w:rFonts w:asciiTheme="minorHAnsi" w:hAnsiTheme="minorHAnsi" w:cstheme="minorHAnsi"/>
                <w:sz w:val="22"/>
                <w:szCs w:val="22"/>
              </w:rPr>
              <w:t xml:space="preserve">Para a regularização das construções já existentes que contenham ou não pontos de apoio dentro da faixa de viela sanitária, o proprietário ou legítimo possuidor, deverá </w:t>
            </w:r>
            <w:r w:rsidRPr="003C2965">
              <w:rPr>
                <w:rFonts w:asciiTheme="minorHAnsi" w:hAnsiTheme="minorHAnsi" w:cstheme="minorHAnsi"/>
                <w:b/>
                <w:sz w:val="22"/>
                <w:szCs w:val="22"/>
              </w:rPr>
              <w:t>no prazo de até 06 (seis) meses, contados do início da vigência da presente Lei, protocolar requerimento junto ao Departamento de</w:t>
            </w:r>
            <w:r w:rsidRPr="003E4ECE">
              <w:rPr>
                <w:rFonts w:asciiTheme="minorHAnsi" w:hAnsiTheme="minorHAnsi" w:cstheme="minorHAnsi"/>
                <w:sz w:val="22"/>
                <w:szCs w:val="22"/>
              </w:rPr>
              <w:t xml:space="preserve"> Águas e Esgoto de Valinhos (DAEV).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(Incluído pela Lei nº 6.382/2022)</w:t>
            </w:r>
          </w:p>
        </w:tc>
        <w:tc>
          <w:tcPr>
            <w:tcW w:w="2526" w:type="dxa"/>
          </w:tcPr>
          <w:p w:rsidR="00CA547C" w:rsidRPr="005C17D4" w:rsidP="001672E8">
            <w:pPr>
              <w:spacing w:after="240"/>
              <w:jc w:val="both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1241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Art. 1º O prazo para a regularização das construções já existentes que contenham ou não pontos de apoio dentro da faixa de viela sanitária de que trata o </w:t>
            </w:r>
            <w:r w:rsidRPr="0012413B" w:rsidR="001672E8">
              <w:rPr>
                <w:rFonts w:asciiTheme="minorHAnsi" w:hAnsiTheme="minorHAnsi" w:cstheme="minorHAnsi"/>
                <w:i/>
                <w:sz w:val="22"/>
                <w:szCs w:val="22"/>
              </w:rPr>
              <w:t>§</w:t>
            </w:r>
            <w:r w:rsidRPr="001241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1º do artigo 2º da Lei nº 5.597, de 10 de janeiro de 2018,</w:t>
            </w:r>
            <w:r w:rsidRPr="0012413B" w:rsidR="001672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1241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na redação que lhe foi dada pela Lei nº 6.382, de </w:t>
            </w:r>
            <w:r w:rsidRPr="0012413B">
              <w:rPr>
                <w:rFonts w:asciiTheme="minorHAnsi" w:hAnsiTheme="minorHAnsi" w:cstheme="minorHAnsi"/>
                <w:i/>
                <w:sz w:val="22"/>
                <w:szCs w:val="22"/>
              </w:rPr>
              <w:t>9</w:t>
            </w:r>
            <w:r w:rsidRPr="0012413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dezembro de 2022, é ampliado até 31 de dezembro de 2024.</w:t>
            </w:r>
          </w:p>
        </w:tc>
        <w:tc>
          <w:tcPr>
            <w:tcW w:w="3097" w:type="dxa"/>
          </w:tcPr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Art. 1º - O § 1º do Artigo 2º da Lei nº 5.597, de 10 de janeiro de 2018, passa a ter a seguinte redação: </w:t>
            </w:r>
          </w:p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CA547C" w:rsidRPr="00AE634E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§ 1º Para a regularização das construções já existentes que contenham ou não pontos de apoio dentro da faixa de viela sanitária, o proprietário ou legítimo possuidor deverá </w:t>
            </w:r>
            <w:r w:rsidRPr="003C296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protocolar requerimento junto ao Departamento de Águas e Esgotos (DAEV) a qualquer momento.</w:t>
            </w:r>
            <w:r w:rsidRPr="00AE634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Tr="00CA547C">
        <w:tblPrEx>
          <w:tblW w:w="0" w:type="auto"/>
          <w:tblLook w:val="04A0"/>
        </w:tblPrEx>
        <w:tc>
          <w:tcPr>
            <w:tcW w:w="3097" w:type="dxa"/>
          </w:tcPr>
          <w:p w:rsidR="00CA547C" w:rsidRPr="00AE634E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26" w:type="dxa"/>
          </w:tcPr>
          <w:p w:rsidR="00CA547C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097" w:type="dxa"/>
          </w:tcPr>
          <w:p w:rsidR="00CA547C" w:rsidRPr="00AE634E" w:rsidP="00300FFE">
            <w:pPr>
              <w:spacing w:after="24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E634E">
              <w:rPr>
                <w:rFonts w:asciiTheme="minorHAnsi" w:hAnsiTheme="minorHAnsi" w:cstheme="minorHAnsi"/>
                <w:i/>
                <w:sz w:val="22"/>
                <w:szCs w:val="22"/>
              </w:rPr>
              <w:t>Art. 2º – Esta Lei entra em vigor na data de sua publicação, revogando as disposições em contrário.</w:t>
            </w:r>
          </w:p>
        </w:tc>
      </w:tr>
    </w:tbl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bCs/>
        </w:rPr>
      </w:pPr>
      <w:r w:rsidRPr="00215CD7">
        <w:rPr>
          <w:rFonts w:ascii="Calibri" w:hAnsi="Calibri" w:cs="Calibri"/>
          <w:bCs/>
        </w:rPr>
        <w:t>Nessa perspectiva, passamos à análise técnica do projeto em epígrafe solicitado.</w:t>
      </w:r>
    </w:p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15CD7">
        <w:rPr>
          <w:rFonts w:ascii="Calibri" w:hAnsi="Calibri" w:cs="Calibri"/>
          <w:szCs w:val="24"/>
        </w:rPr>
        <w:t>No que se refere à matéria verificamos que se amolda à Constituição Federal, poi</w:t>
      </w:r>
      <w:r w:rsidR="00926489">
        <w:rPr>
          <w:rFonts w:ascii="Calibri" w:hAnsi="Calibri" w:cs="Calibri"/>
          <w:szCs w:val="24"/>
        </w:rPr>
        <w:t>s aos Municípios foi atribuída</w:t>
      </w:r>
      <w:r w:rsidRPr="00215CD7">
        <w:rPr>
          <w:rFonts w:ascii="Calibri" w:hAnsi="Calibri" w:cs="Calibri"/>
          <w:szCs w:val="24"/>
        </w:rPr>
        <w:t xml:space="preserve"> competência para promover o adequado ordenamento territorial, vejamos o inciso VIII, do art. 30:</w:t>
      </w:r>
    </w:p>
    <w:p w:rsidR="00703833" w:rsidRPr="00215CD7" w:rsidP="00B26552">
      <w:pPr>
        <w:pStyle w:val="NormalWeb"/>
        <w:shd w:val="clear" w:color="auto" w:fill="FFFFFF"/>
        <w:spacing w:before="0" w:beforeAutospacing="0" w:after="12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color w:val="000000"/>
          <w:sz w:val="22"/>
          <w:szCs w:val="22"/>
        </w:rPr>
        <w:t>Art. 30. Compete aos Municípios:</w:t>
      </w:r>
    </w:p>
    <w:p w:rsidR="00703833" w:rsidRPr="00215CD7" w:rsidP="00B26552">
      <w:pPr>
        <w:pStyle w:val="NormalWeb"/>
        <w:shd w:val="clear" w:color="auto" w:fill="FFFFFF"/>
        <w:spacing w:before="0" w:beforeAutospacing="0" w:after="12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color w:val="000000"/>
          <w:sz w:val="22"/>
          <w:szCs w:val="22"/>
        </w:rPr>
        <w:t>(...)</w:t>
      </w:r>
    </w:p>
    <w:p w:rsidR="00703833" w:rsidRPr="00215CD7" w:rsidP="00B26552">
      <w:pPr>
        <w:pStyle w:val="NormalWeb"/>
        <w:shd w:val="clear" w:color="auto" w:fill="FFFFFF"/>
        <w:spacing w:before="0" w:beforeAutospacing="0" w:after="12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0" w:name="art30i"/>
      <w:bookmarkStart w:id="1" w:name="art30iii"/>
      <w:bookmarkStart w:id="2" w:name="art30viii"/>
      <w:bookmarkEnd w:id="0"/>
      <w:bookmarkEnd w:id="1"/>
      <w:bookmarkEnd w:id="2"/>
      <w:r w:rsidRPr="00215CD7">
        <w:rPr>
          <w:rFonts w:ascii="Calibri" w:hAnsi="Calibri" w:cs="Calibri"/>
          <w:i/>
          <w:color w:val="000000"/>
          <w:sz w:val="22"/>
          <w:szCs w:val="22"/>
        </w:rPr>
        <w:t>VIII - promover, no que couber, adequado ordenamento territorial, mediante planejamento e controle do uso, do parcelamento e da ocupação do solo urbano;”</w:t>
      </w:r>
    </w:p>
    <w:p w:rsidR="00703833" w:rsidRPr="00215CD7" w:rsidP="00703833">
      <w:pPr>
        <w:pStyle w:val="tj"/>
        <w:spacing w:before="0" w:beforeAutospacing="0" w:after="240" w:afterAutospacing="0" w:line="360" w:lineRule="auto"/>
        <w:ind w:firstLine="1701"/>
        <w:jc w:val="both"/>
        <w:rPr>
          <w:rFonts w:ascii="Calibri" w:hAnsi="Calibri" w:cs="Calibri"/>
          <w:color w:val="000000" w:themeColor="text1"/>
        </w:rPr>
      </w:pPr>
      <w:bookmarkStart w:id="3" w:name="art30ix"/>
      <w:bookmarkEnd w:id="3"/>
      <w:r w:rsidRPr="00215CD7">
        <w:rPr>
          <w:rFonts w:ascii="Calibri" w:hAnsi="Calibri" w:cs="Calibri"/>
          <w:color w:val="000000" w:themeColor="text1"/>
        </w:rPr>
        <w:t>Nesse passo, a Lei Orgânica do Município de Valinhos (LOM) segue o mandamento constitucional:</w:t>
      </w:r>
    </w:p>
    <w:p w:rsidR="00703833" w:rsidRPr="00215CD7" w:rsidP="00B26552">
      <w:pPr>
        <w:pStyle w:val="tj"/>
        <w:spacing w:before="0" w:beforeAutospacing="0" w:after="12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15CD7">
        <w:rPr>
          <w:rFonts w:ascii="Calibri" w:hAnsi="Calibri" w:cs="Calibri"/>
          <w:i/>
          <w:sz w:val="22"/>
          <w:szCs w:val="22"/>
        </w:rPr>
        <w:t>“Art. 5º Compete ao Município, no exercício de sua autonomia, legislar sobre tudo quanto respeite ao interesse local, tendo como objetivo o pleno desenvolvimento de suas funções sociais e garantir o bem-estar de seus habitantes, cabendo-lhe privativamente, entre outras, as seguintes atribuições:</w:t>
      </w:r>
    </w:p>
    <w:p w:rsidR="00703833" w:rsidRPr="00215CD7" w:rsidP="00B26552">
      <w:pPr>
        <w:pStyle w:val="tj"/>
        <w:tabs>
          <w:tab w:val="left" w:pos="4365"/>
        </w:tabs>
        <w:spacing w:before="0" w:beforeAutospacing="0" w:after="12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15CD7">
        <w:rPr>
          <w:rFonts w:ascii="Calibri" w:hAnsi="Calibri" w:cs="Calibri"/>
          <w:i/>
          <w:sz w:val="22"/>
          <w:szCs w:val="22"/>
        </w:rPr>
        <w:t>(...)</w:t>
      </w:r>
      <w:r w:rsidR="00A26518">
        <w:rPr>
          <w:rFonts w:ascii="Calibri" w:hAnsi="Calibri" w:cs="Calibri"/>
          <w:i/>
          <w:sz w:val="22"/>
          <w:szCs w:val="22"/>
        </w:rPr>
        <w:tab/>
      </w:r>
    </w:p>
    <w:p w:rsidR="00703833" w:rsidRPr="00215CD7" w:rsidP="00B26552">
      <w:pPr>
        <w:pStyle w:val="tj"/>
        <w:spacing w:before="0" w:beforeAutospacing="0" w:after="24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15CD7">
        <w:rPr>
          <w:rFonts w:ascii="Calibri" w:hAnsi="Calibri" w:cs="Calibri"/>
          <w:i/>
          <w:sz w:val="22"/>
          <w:szCs w:val="22"/>
        </w:rPr>
        <w:t>IX - promover adequado ordenamento territorial, mediante planejamento e controle quer do uso como do parcelamento e ocupação do solo, estabelecendo normas de edificações, de loteamento e arruamento;”</w:t>
      </w:r>
    </w:p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15CD7">
        <w:rPr>
          <w:rFonts w:ascii="Calibri" w:hAnsi="Calibri" w:cs="Calibri"/>
          <w:szCs w:val="24"/>
        </w:rPr>
        <w:t>No mesmo sentido, o projeto observa o art. 30, I, da CF, reproduzido no art. 8º, inciso I, da LOM:</w:t>
      </w:r>
    </w:p>
    <w:p w:rsidR="00703833" w:rsidRPr="00215CD7" w:rsidP="00E97B06">
      <w:pPr>
        <w:shd w:val="clear" w:color="auto" w:fill="FFFFFF"/>
        <w:spacing w:after="120" w:line="240" w:lineRule="auto"/>
        <w:ind w:left="2268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“Art. 30. Compete aos Municípios:</w:t>
      </w:r>
    </w:p>
    <w:p w:rsidR="00703833" w:rsidRPr="00215CD7" w:rsidP="00E97B06">
      <w:pPr>
        <w:shd w:val="clear" w:color="auto" w:fill="FFFFFF"/>
        <w:spacing w:after="120" w:line="240" w:lineRule="auto"/>
        <w:ind w:left="2268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215CD7">
        <w:rPr>
          <w:rFonts w:ascii="Calibri" w:hAnsi="Calibri" w:cs="Calibri"/>
          <w:i/>
          <w:iCs/>
          <w:color w:val="000000"/>
          <w:sz w:val="22"/>
          <w:szCs w:val="22"/>
        </w:rPr>
        <w:t>I - legislar sobre assuntos de interesse local;</w:t>
      </w:r>
      <w:r w:rsidRPr="00215CD7" w:rsidR="00215CD7">
        <w:rPr>
          <w:rFonts w:ascii="Calibri" w:hAnsi="Calibri" w:cs="Calibri"/>
          <w:i/>
          <w:iCs/>
          <w:color w:val="000000"/>
          <w:sz w:val="22"/>
          <w:szCs w:val="22"/>
        </w:rPr>
        <w:t>”</w:t>
      </w:r>
    </w:p>
    <w:p w:rsidR="00A26518" w:rsidRPr="00E97B06" w:rsidP="00926489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iCs/>
          <w:color w:val="auto"/>
          <w:sz w:val="4"/>
          <w:szCs w:val="4"/>
        </w:rPr>
      </w:pPr>
    </w:p>
    <w:p w:rsidR="00E97B06" w:rsidP="00E97B06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iCs/>
          <w:color w:val="auto"/>
          <w:sz w:val="22"/>
          <w:szCs w:val="22"/>
        </w:rPr>
      </w:pPr>
      <w:r w:rsidRPr="00215CD7">
        <w:rPr>
          <w:rFonts w:ascii="Calibri" w:hAnsi="Calibri" w:cs="Calibri"/>
          <w:i/>
          <w:iCs/>
          <w:color w:val="auto"/>
          <w:sz w:val="22"/>
          <w:szCs w:val="22"/>
        </w:rPr>
        <w:t>“</w:t>
      </w:r>
      <w:r w:rsidRPr="00215CD7" w:rsidR="00703833">
        <w:rPr>
          <w:rFonts w:ascii="Calibri" w:hAnsi="Calibri" w:cs="Calibri"/>
          <w:i/>
          <w:iCs/>
          <w:color w:val="auto"/>
          <w:sz w:val="22"/>
          <w:szCs w:val="22"/>
        </w:rPr>
        <w:t>Artigo 8º -</w:t>
      </w:r>
      <w:r w:rsidRPr="00215CD7" w:rsidR="00703833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Pr="00215CD7" w:rsidR="00703833">
        <w:rPr>
          <w:rFonts w:ascii="Calibri" w:hAnsi="Calibri" w:cs="Calibri"/>
          <w:i/>
          <w:iCs/>
          <w:color w:val="auto"/>
          <w:sz w:val="22"/>
          <w:szCs w:val="22"/>
        </w:rPr>
        <w:t>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703833" w:rsidRPr="00215CD7" w:rsidP="00E97B06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iCs/>
          <w:sz w:val="22"/>
          <w:szCs w:val="22"/>
        </w:rPr>
      </w:pPr>
      <w:r w:rsidRPr="00215CD7">
        <w:rPr>
          <w:rFonts w:ascii="Calibri" w:hAnsi="Calibri" w:cs="Calibri"/>
          <w:i/>
          <w:iCs/>
          <w:sz w:val="22"/>
          <w:szCs w:val="22"/>
        </w:rPr>
        <w:t>I - legislar sobre assuntos de interesse local;</w:t>
      </w:r>
      <w:r w:rsidRPr="00215CD7" w:rsidR="00215CD7">
        <w:rPr>
          <w:rFonts w:ascii="Calibri" w:hAnsi="Calibri" w:cs="Calibri"/>
          <w:i/>
          <w:iCs/>
          <w:sz w:val="22"/>
          <w:szCs w:val="22"/>
        </w:rPr>
        <w:t>”</w:t>
      </w:r>
    </w:p>
    <w:p w:rsidR="00703833" w:rsidRPr="00215CD7" w:rsidP="00703833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215CD7">
        <w:rPr>
          <w:rFonts w:ascii="Calibri" w:hAnsi="Calibri" w:cs="Calibri"/>
          <w:szCs w:val="24"/>
        </w:rPr>
        <w:t xml:space="preserve">O conceito de interesse local encontramos na doutrina: </w:t>
      </w:r>
    </w:p>
    <w:p w:rsidR="00703833" w:rsidRPr="00215CD7" w:rsidP="00926489">
      <w:pPr>
        <w:spacing w:after="2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215CD7">
        <w:rPr>
          <w:rFonts w:ascii="Calibri" w:hAnsi="Calibri" w:cs="Calibri"/>
          <w:i/>
          <w:sz w:val="22"/>
          <w:szCs w:val="22"/>
        </w:rPr>
        <w:t xml:space="preserve">“Interesse local não é interesse exclusivo do Município; não é interesse privativo da localidade; não é interesse único dos munícipes. Se se exigisse essa exclusividade, essa </w:t>
      </w:r>
      <w:r w:rsidRPr="00215CD7">
        <w:rPr>
          <w:rFonts w:ascii="Calibri" w:hAnsi="Calibri" w:cs="Calibri"/>
          <w:i/>
          <w:sz w:val="22"/>
          <w:szCs w:val="22"/>
        </w:rPr>
        <w:t>privatividade</w:t>
      </w:r>
      <w:r w:rsidRPr="00215CD7">
        <w:rPr>
          <w:rFonts w:ascii="Calibri" w:hAnsi="Calibri" w:cs="Calibri"/>
          <w:i/>
          <w:sz w:val="22"/>
          <w:szCs w:val="22"/>
        </w:rPr>
        <w:t xml:space="preserve">, essa unicidade, bem reduzido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‘interesse local’, inscrito como dogma constitucional, é a predominância do interesse do Município sobre o do Estado ou da União.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interessado, não sendo lícita a ingerência de poderes estranhos sem ofensa à autonomia local.” </w:t>
      </w:r>
      <w:r w:rsidRPr="00215CD7">
        <w:rPr>
          <w:rFonts w:ascii="Calibri" w:hAnsi="Calibri" w:cs="Calibri"/>
          <w:sz w:val="22"/>
          <w:szCs w:val="22"/>
        </w:rPr>
        <w:t xml:space="preserve">(MEIRELLES, Hely Lopes, Direito Municipal Brasileiro, 16ª </w:t>
      </w:r>
      <w:r w:rsidRPr="00215CD7">
        <w:rPr>
          <w:rFonts w:ascii="Calibri" w:hAnsi="Calibri" w:cs="Calibri"/>
          <w:sz w:val="22"/>
          <w:szCs w:val="22"/>
        </w:rPr>
        <w:t>ed</w:t>
      </w:r>
      <w:r w:rsidRPr="00215CD7">
        <w:rPr>
          <w:rFonts w:ascii="Calibri" w:hAnsi="Calibri" w:cs="Calibri"/>
          <w:sz w:val="22"/>
          <w:szCs w:val="22"/>
        </w:rPr>
        <w:t>, Malheiros Editores, p. 111)</w:t>
      </w:r>
    </w:p>
    <w:p w:rsidR="00987679" w:rsidRPr="003A7521" w:rsidP="0098767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Pr="003A7521">
        <w:rPr>
          <w:rFonts w:ascii="Calibri" w:hAnsi="Calibri" w:cs="Calibri"/>
          <w:szCs w:val="24"/>
        </w:rPr>
        <w:t>o que tange à competência para deflagrar o processo legislativo</w:t>
      </w:r>
      <w:r>
        <w:rPr>
          <w:rFonts w:ascii="Calibri" w:hAnsi="Calibri" w:cs="Calibri"/>
          <w:szCs w:val="24"/>
        </w:rPr>
        <w:t>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61. A iniciativa das leis complementares e ordinárias cabe a qualquer membro ou Comissão da Câmara dos Deputados, do Senado Federal ou do Congresso Nacional, ao Presidente da República, ao </w:t>
      </w:r>
      <w:r w:rsidRPr="003A7521">
        <w:rPr>
          <w:rFonts w:ascii="Calibri" w:hAnsi="Calibri" w:cs="Calibri"/>
          <w:i/>
          <w:sz w:val="22"/>
          <w:szCs w:val="22"/>
        </w:rPr>
        <w:t>Supremo Tribunal Federal, aos Tribunais Superiores, ao Procurador-Geral da República e aos cidadãos, na forma e nos casos previstos nesta Constituição.</w:t>
      </w:r>
    </w:p>
    <w:p w:rsidR="00987679" w:rsidRPr="00315DC3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b) organização administrativa e judiciária, matéria tributária e orçamentária, serviços públicos e pessoal da administração dos Territórios;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987679" w:rsidRPr="003A7521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>o disposto no art. 84, 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987679" w:rsidP="0098767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987679" w:rsidRPr="003A7521" w:rsidP="00987679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987679" w:rsidRPr="003A7521" w:rsidP="0098767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Por seu turno</w:t>
      </w:r>
      <w:r w:rsidR="00A2503E">
        <w:rPr>
          <w:rFonts w:ascii="Calibri" w:hAnsi="Calibri" w:cs="Calibri"/>
          <w:szCs w:val="24"/>
        </w:rPr>
        <w:t>,</w:t>
      </w:r>
      <w:r>
        <w:rPr>
          <w:rFonts w:ascii="Calibri" w:hAnsi="Calibri" w:cs="Calibri"/>
          <w:szCs w:val="24"/>
        </w:rPr>
        <w:t xml:space="preserve">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987679" w:rsidRPr="003A7521" w:rsidP="00987679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987679" w:rsidRPr="003A7521" w:rsidP="00987679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987679" w:rsidRPr="003A7521" w:rsidP="00987679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987679" w:rsidRPr="003A7521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4" w:name="CESP_ART_024_2_1"/>
      <w:bookmarkEnd w:id="4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987679" w:rsidRPr="003A7521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5" w:name="CESP_ART_024_2_2"/>
      <w:bookmarkEnd w:id="5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987679" w:rsidRPr="003A7521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6" w:name="CESP_ART_024_2_3"/>
      <w:bookmarkEnd w:id="6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987679" w:rsidRPr="003A7521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7" w:name="CESP_ART_024_2_4"/>
      <w:bookmarkEnd w:id="7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987679" w:rsidRPr="003A7521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987679" w:rsidP="00987679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987679" w:rsidRPr="003A7521" w:rsidP="00987679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987679" w:rsidRPr="003A7521" w:rsidP="0098767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987679" w:rsidRPr="003A7521" w:rsidP="00987679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987679" w:rsidRPr="003A7521" w:rsidP="00987679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987679" w:rsidRPr="003A7521" w:rsidP="00987679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987679" w:rsidRPr="003A7521" w:rsidP="00987679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987679" w:rsidP="00987679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987679" w:rsidRPr="00B03206" w:rsidP="00987679">
      <w:pPr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104D6E" w:rsidP="00987679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Deste modo, a princí</w:t>
      </w:r>
      <w:r>
        <w:rPr>
          <w:rFonts w:ascii="Calibri" w:hAnsi="Calibri" w:cs="Calibri"/>
          <w:szCs w:val="24"/>
        </w:rPr>
        <w:t xml:space="preserve">pio, no que tange à competência infere-se que a matéria disciplinada no projeto – </w:t>
      </w:r>
      <w:r w:rsidR="00B26552">
        <w:rPr>
          <w:rFonts w:ascii="Calibri" w:hAnsi="Calibri" w:cs="Calibri"/>
          <w:szCs w:val="24"/>
        </w:rPr>
        <w:t>exclusão</w:t>
      </w:r>
      <w:r>
        <w:rPr>
          <w:rFonts w:ascii="Calibri" w:hAnsi="Calibri" w:cs="Calibri"/>
          <w:szCs w:val="24"/>
        </w:rPr>
        <w:t xml:space="preserve"> do prazo para requerimento</w:t>
      </w:r>
      <w:r w:rsidRPr="00104D6E">
        <w:rPr>
          <w:rFonts w:ascii="Calibri" w:hAnsi="Calibri" w:cs="Calibri"/>
          <w:szCs w:val="24"/>
        </w:rPr>
        <w:t xml:space="preserve"> de aprovação </w:t>
      </w:r>
      <w:r w:rsidRPr="00104D6E">
        <w:rPr>
          <w:rFonts w:ascii="Calibri" w:hAnsi="Calibri" w:cs="Calibri"/>
          <w:szCs w:val="24"/>
        </w:rPr>
        <w:t xml:space="preserve">de regularização de construções </w:t>
      </w:r>
      <w:r w:rsidRPr="00926489" w:rsidR="00926489">
        <w:rPr>
          <w:rFonts w:ascii="Calibri" w:hAnsi="Calibri" w:cs="Calibri"/>
          <w:szCs w:val="24"/>
        </w:rPr>
        <w:t>já existentes que contenham ou não pontos de apoio dentro da faixa de viela sanitária</w:t>
      </w:r>
      <w:r w:rsidR="00926489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- </w:t>
      </w:r>
      <w:r w:rsidRPr="00C36928">
        <w:rPr>
          <w:rFonts w:ascii="Calibri" w:hAnsi="Calibri" w:cs="Calibri"/>
          <w:szCs w:val="24"/>
          <w:u w:val="single"/>
        </w:rPr>
        <w:t xml:space="preserve">não se encontra no rol </w:t>
      </w:r>
      <w:r w:rsidRPr="00C36928" w:rsidR="00926489">
        <w:rPr>
          <w:rFonts w:ascii="Calibri" w:hAnsi="Calibri" w:cs="Calibri"/>
          <w:szCs w:val="24"/>
          <w:u w:val="single"/>
        </w:rPr>
        <w:t xml:space="preserve">restrito </w:t>
      </w:r>
      <w:r w:rsidRPr="00C36928">
        <w:rPr>
          <w:rFonts w:ascii="Calibri" w:hAnsi="Calibri" w:cs="Calibri"/>
          <w:szCs w:val="24"/>
          <w:u w:val="single"/>
        </w:rPr>
        <w:t>de matérias de iniciativa privativa do Chefe do Executivo</w:t>
      </w:r>
      <w:r>
        <w:rPr>
          <w:rFonts w:ascii="Calibri" w:hAnsi="Calibri" w:cs="Calibri"/>
          <w:szCs w:val="24"/>
        </w:rPr>
        <w:t>.</w:t>
      </w:r>
    </w:p>
    <w:p w:rsidR="00987679" w:rsidRPr="003A7521" w:rsidP="00AB1A78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</w:t>
      </w:r>
      <w:r w:rsidR="00AB1A78">
        <w:rPr>
          <w:rFonts w:asciiTheme="minorHAnsi" w:hAnsiTheme="minorHAnsi" w:cs="Calibri"/>
          <w:u w:val="single"/>
        </w:rPr>
        <w:t>slativo desta esfera federativa, t</w:t>
      </w:r>
      <w:r w:rsidRPr="003A7521">
        <w:rPr>
          <w:rFonts w:asciiTheme="minorHAnsi" w:hAnsiTheme="minorHAnsi" w:cs="Calibri"/>
        </w:rPr>
        <w:t xml:space="preserve">rata-se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 xml:space="preserve">917 </w:t>
      </w:r>
      <w:r w:rsidR="00C36928">
        <w:rPr>
          <w:rFonts w:asciiTheme="minorHAnsi" w:hAnsiTheme="minorHAnsi" w:cs="Calibri"/>
          <w:b/>
        </w:rPr>
        <w:t>de Repercussão G</w:t>
      </w:r>
      <w:r w:rsidRPr="003A7521">
        <w:rPr>
          <w:rFonts w:asciiTheme="minorHAnsi" w:hAnsiTheme="minorHAnsi" w:cs="Calibri"/>
          <w:b/>
        </w:rPr>
        <w:t>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987679" w:rsidRPr="003A7521" w:rsidP="00987679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Executivo lei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987679" w:rsidRPr="00B03206" w:rsidP="00B26552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Não usurpa a competência privativa do chefe do Poder Executivo lei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</w:t>
      </w:r>
      <w:r w:rsidRPr="00B03206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(ARE 878911 RG, </w:t>
      </w:r>
      <w:r w:rsidRPr="00B03206">
        <w:rPr>
          <w:rFonts w:asciiTheme="minorHAnsi" w:hAnsiTheme="minorHAnsi" w:cstheme="minorHAnsi"/>
          <w:i/>
          <w:color w:val="auto"/>
          <w:sz w:val="20"/>
          <w:szCs w:val="20"/>
        </w:rPr>
        <w:t>Relator(</w:t>
      </w:r>
      <w:r w:rsidRPr="00B03206">
        <w:rPr>
          <w:rFonts w:asciiTheme="minorHAnsi" w:hAnsiTheme="minorHAns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987679" w:rsidRPr="003A7521" w:rsidP="00987679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B26552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</w:t>
      </w:r>
      <w:r w:rsidR="001672E8">
        <w:rPr>
          <w:rFonts w:asciiTheme="minorHAnsi" w:hAnsiTheme="minorHAnsi" w:cstheme="minorHAnsi"/>
          <w:color w:val="auto"/>
        </w:rPr>
        <w:t>mesmo</w:t>
      </w:r>
      <w:r w:rsidRPr="003A7521">
        <w:rPr>
          <w:rFonts w:asciiTheme="minorHAnsi" w:hAnsiTheme="minorHAnsi" w:cstheme="minorHAnsi"/>
          <w:color w:val="auto"/>
        </w:rPr>
        <w:t xml:space="preserve"> que as propostas legislativas impliquem em criação de despesas.</w:t>
      </w:r>
    </w:p>
    <w:p w:rsidR="004D5FD7" w:rsidRPr="004C45A4" w:rsidP="00B126A3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Ainda</w:t>
      </w:r>
      <w:r w:rsidR="004276C9">
        <w:rPr>
          <w:rFonts w:ascii="Calibri" w:hAnsi="Calibri" w:cs="Calibri"/>
          <w:color w:val="000000" w:themeColor="text1"/>
        </w:rPr>
        <w:t>,</w:t>
      </w:r>
      <w:r w:rsidR="004C45A4">
        <w:rPr>
          <w:rFonts w:ascii="Calibri" w:hAnsi="Calibri" w:cs="Calibri"/>
          <w:color w:val="000000" w:themeColor="text1"/>
        </w:rPr>
        <w:t xml:space="preserve"> cabe</w:t>
      </w:r>
      <w:r>
        <w:rPr>
          <w:rFonts w:ascii="Calibri" w:hAnsi="Calibri" w:cs="Calibri"/>
          <w:color w:val="000000" w:themeColor="text1"/>
        </w:rPr>
        <w:t xml:space="preserve"> </w:t>
      </w:r>
      <w:r w:rsidR="00104D6E">
        <w:rPr>
          <w:rFonts w:ascii="Calibri" w:hAnsi="Calibri" w:cs="Calibri"/>
          <w:color w:val="000000" w:themeColor="text1"/>
        </w:rPr>
        <w:t>ressaltar</w:t>
      </w:r>
      <w:r>
        <w:rPr>
          <w:rFonts w:ascii="Calibri" w:hAnsi="Calibri" w:cs="Calibri"/>
          <w:color w:val="000000" w:themeColor="text1"/>
        </w:rPr>
        <w:t xml:space="preserve"> que em caso </w:t>
      </w:r>
      <w:r w:rsidRPr="004C45A4">
        <w:rPr>
          <w:rFonts w:ascii="Calibri" w:hAnsi="Calibri" w:cs="Calibri"/>
          <w:color w:val="000000" w:themeColor="text1"/>
        </w:rPr>
        <w:t xml:space="preserve">semelhante ao da proposição em análise, </w:t>
      </w:r>
      <w:r w:rsidRPr="004C45A4" w:rsidR="009966F0">
        <w:rPr>
          <w:rFonts w:ascii="Calibri" w:hAnsi="Calibri" w:cs="Calibri"/>
          <w:color w:val="000000" w:themeColor="text1"/>
        </w:rPr>
        <w:t xml:space="preserve">nos autos da Ação Direta de Inconstitucionalidade nº 2188461-58.2019.8.26.0000, </w:t>
      </w:r>
      <w:r w:rsidRPr="004C45A4" w:rsidR="00144475">
        <w:rPr>
          <w:rFonts w:ascii="Calibri" w:hAnsi="Calibri" w:cs="Calibri"/>
          <w:color w:val="000000" w:themeColor="text1"/>
        </w:rPr>
        <w:t xml:space="preserve">em face </w:t>
      </w:r>
      <w:r w:rsidR="004C45A4">
        <w:rPr>
          <w:rFonts w:ascii="Calibri" w:hAnsi="Calibri" w:cs="Calibri"/>
          <w:color w:val="000000" w:themeColor="text1"/>
        </w:rPr>
        <w:t>de</w:t>
      </w:r>
      <w:r w:rsidRPr="004C45A4" w:rsidR="00144475">
        <w:rPr>
          <w:rFonts w:ascii="Calibri" w:hAnsi="Calibri" w:cs="Calibri"/>
          <w:color w:val="000000" w:themeColor="text1"/>
        </w:rPr>
        <w:t xml:space="preserve"> Lei do Município de Valinhos </w:t>
      </w:r>
      <w:r w:rsidRPr="004C45A4">
        <w:rPr>
          <w:rFonts w:ascii="Calibri" w:hAnsi="Calibri" w:cs="Calibri"/>
          <w:color w:val="000000" w:themeColor="text1"/>
        </w:rPr>
        <w:t xml:space="preserve">que tratava da prorrogação de prazo para </w:t>
      </w:r>
      <w:r w:rsidRPr="004C45A4" w:rsidR="00144475">
        <w:rPr>
          <w:rFonts w:ascii="Calibri" w:hAnsi="Calibri" w:cs="Calibri"/>
          <w:color w:val="000000" w:themeColor="text1"/>
        </w:rPr>
        <w:t xml:space="preserve">desdobro e subdivisão de terrenos </w:t>
      </w:r>
      <w:r w:rsidR="009966F0">
        <w:rPr>
          <w:rFonts w:ascii="Calibri" w:hAnsi="Calibri" w:cs="Calibri"/>
          <w:color w:val="000000" w:themeColor="text1"/>
        </w:rPr>
        <w:t>em</w:t>
      </w:r>
      <w:r w:rsidRPr="004C45A4" w:rsidR="00144475">
        <w:rPr>
          <w:rFonts w:ascii="Calibri" w:hAnsi="Calibri" w:cs="Calibri"/>
          <w:color w:val="000000" w:themeColor="text1"/>
        </w:rPr>
        <w:t xml:space="preserve"> determinados loteamentos</w:t>
      </w:r>
      <w:r w:rsidR="004276C9">
        <w:rPr>
          <w:rFonts w:ascii="Calibri" w:hAnsi="Calibri" w:cs="Calibri"/>
          <w:color w:val="000000" w:themeColor="text1"/>
        </w:rPr>
        <w:t>,</w:t>
      </w:r>
      <w:r w:rsidRPr="004C45A4" w:rsidR="00144475">
        <w:rPr>
          <w:rFonts w:ascii="Calibri" w:hAnsi="Calibri" w:cs="Calibri"/>
          <w:color w:val="000000" w:themeColor="text1"/>
        </w:rPr>
        <w:t xml:space="preserve"> </w:t>
      </w:r>
      <w:r w:rsidRPr="004C45A4">
        <w:rPr>
          <w:rFonts w:ascii="Calibri" w:hAnsi="Calibri" w:cs="Calibri"/>
          <w:color w:val="000000" w:themeColor="text1"/>
        </w:rPr>
        <w:t xml:space="preserve">o Tribunal de Justiça do Estado de São Paulo </w:t>
      </w:r>
      <w:r w:rsidR="00104D6E">
        <w:rPr>
          <w:rFonts w:ascii="Calibri" w:hAnsi="Calibri" w:cs="Calibri"/>
          <w:color w:val="000000" w:themeColor="text1"/>
        </w:rPr>
        <w:t>decidiu</w:t>
      </w:r>
      <w:r>
        <w:rPr>
          <w:rFonts w:ascii="Calibri" w:hAnsi="Calibri" w:cs="Calibri"/>
          <w:color w:val="000000" w:themeColor="text1"/>
        </w:rPr>
        <w:t xml:space="preserve"> pela </w:t>
      </w:r>
      <w:r w:rsidRPr="00F5378A">
        <w:rPr>
          <w:rFonts w:ascii="Calibri" w:hAnsi="Calibri" w:cs="Calibri"/>
          <w:color w:val="000000" w:themeColor="text1"/>
          <w:u w:val="single"/>
        </w:rPr>
        <w:t xml:space="preserve">inexistência de vício de iniciativa, entretanto, </w:t>
      </w:r>
      <w:r w:rsidRPr="0079000B">
        <w:rPr>
          <w:rFonts w:ascii="Calibri" w:hAnsi="Calibri" w:cs="Calibri"/>
          <w:color w:val="000000" w:themeColor="text1"/>
          <w:u w:val="single"/>
        </w:rPr>
        <w:t>julgou a lei inconstitucional diante d</w:t>
      </w:r>
      <w:r w:rsidRPr="0079000B" w:rsidR="004276C9">
        <w:rPr>
          <w:rFonts w:ascii="Calibri" w:hAnsi="Calibri" w:cs="Calibri"/>
          <w:color w:val="000000" w:themeColor="text1"/>
          <w:u w:val="single"/>
        </w:rPr>
        <w:t xml:space="preserve">a necessidade de audiência pública e estudos </w:t>
      </w:r>
      <w:r w:rsidRPr="0079000B" w:rsidR="009966F0">
        <w:rPr>
          <w:rFonts w:ascii="Calibri" w:hAnsi="Calibri" w:cs="Calibri"/>
          <w:color w:val="000000" w:themeColor="text1"/>
          <w:u w:val="single"/>
        </w:rPr>
        <w:t>técnicos</w:t>
      </w:r>
      <w:r w:rsidRPr="0079000B" w:rsidR="00671EA5">
        <w:rPr>
          <w:rFonts w:ascii="Calibri" w:hAnsi="Calibri" w:cs="Calibri"/>
          <w:color w:val="000000" w:themeColor="text1"/>
          <w:u w:val="single"/>
        </w:rPr>
        <w:t xml:space="preserve"> por tratar-se de matéria de direito urbanístico</w:t>
      </w:r>
      <w:r w:rsidR="004276C9">
        <w:rPr>
          <w:rFonts w:ascii="Calibri" w:hAnsi="Calibri" w:cs="Calibri"/>
          <w:color w:val="000000" w:themeColor="text1"/>
        </w:rPr>
        <w:t>, vejamos</w:t>
      </w:r>
      <w:r w:rsidRPr="004C45A4">
        <w:rPr>
          <w:rFonts w:ascii="Calibri" w:hAnsi="Calibri" w:cs="Calibri"/>
          <w:color w:val="000000" w:themeColor="text1"/>
        </w:rPr>
        <w:t xml:space="preserve">: </w:t>
      </w:r>
    </w:p>
    <w:p w:rsidR="004276C9" w:rsidP="00B126A3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AÇÃO DIRETA DE INCONSTITUCIONALIDADE. </w:t>
      </w:r>
      <w:r w:rsidRPr="009966F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Lei municipal nº 5.882, de 14 de agosto de 2019, do Município de Valinhos, que altera a redação do artigo 18 da Lei nº 4.186, de 10 de outubro de 2007, a qual, por sua vez, dispõe sobre a ordenação do uso e ocupação do solo no Município e dá outras providências</w:t>
      </w: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. Questão prejudicial suscitada. Lei que, embora de efeitos concretos, não teve a eficácia exaurida. Preliminar rechaçada. </w:t>
      </w:r>
      <w:r w:rsidRPr="009966F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Matéria de interesse local, inserida no âmbito do poder de polícia administrativa. Atuação da Câmara Municipal dentro de sua regular esfera de competência legislativa.</w:t>
      </w: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Desrespeito ao pacto federativo não caracterizado. </w:t>
      </w:r>
      <w:r w:rsidRPr="009966F0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Configurado vício formal, porém, no que se refere à necessidade de participação popular e comunitária, bem como de realização de estudos técnicos</w:t>
      </w: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, durante o processo legiferante respectivo. Norma que versa matéria urbanística. </w:t>
      </w:r>
      <w:r w:rsidRPr="00671EA5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Ofensa ao artigo 180, inciso II, da Constituição do Estado de São Paulo. Precedente</w:t>
      </w: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. Não conhecimento de alegações do requerente baseadas na Lei Orgânica da citada urbe e na Lei </w:t>
      </w:r>
      <w:r w:rsidRPr="009966F0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Complementar nº 101/2000, porquanto no âmbito da presente ação a norma deve ser contrastada somente com dispositivos da Constituição do Estado. Eventual afronta a legislação federal ou municipal consubstanciaria mera ilegalidade. Ação procedente na parte conhecida. </w:t>
      </w:r>
      <w:r w:rsidRPr="009966F0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(TJSP;</w:t>
      </w:r>
      <w:r w:rsidRPr="009966F0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 </w:t>
      </w:r>
      <w:r w:rsidRPr="009966F0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Direta de Inconstitucionalidade 2188461-58.2019.8.26.0000; Relator (a): Geraldo </w:t>
      </w:r>
      <w:r w:rsidRPr="009966F0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Wohlers</w:t>
      </w:r>
      <w:r w:rsidRPr="009966F0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; Órgão Julgador: Órgão Especial; Tribunal de Justiça de São Paulo - N/A; Data do Julgamento: 19/08/2020; Data de Registro: 21/08/2020)</w:t>
      </w:r>
    </w:p>
    <w:p w:rsidR="00B03206" w:rsidP="00B03206">
      <w:pPr>
        <w:pStyle w:val="NormalWeb"/>
        <w:spacing w:before="0" w:beforeAutospacing="0" w:after="120" w:afterAutospacing="0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</w:p>
    <w:p w:rsidR="00104D6E" w:rsidRPr="004276C9" w:rsidP="00104D6E">
      <w:pPr>
        <w:tabs>
          <w:tab w:val="left" w:pos="1701"/>
        </w:tabs>
        <w:autoSpaceDE w:val="0"/>
        <w:autoSpaceDN w:val="0"/>
        <w:adjustRightInd w:val="0"/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iCs/>
          <w:szCs w:val="24"/>
        </w:rPr>
      </w:pPr>
      <w:r>
        <w:rPr>
          <w:rFonts w:eastAsia="Calibri" w:asciiTheme="minorHAnsi" w:hAnsiTheme="minorHAnsi" w:cstheme="minorHAnsi"/>
          <w:iCs/>
          <w:szCs w:val="24"/>
        </w:rPr>
        <w:t>No mesmo</w:t>
      </w:r>
      <w:r w:rsidRPr="004276C9">
        <w:rPr>
          <w:rFonts w:eastAsia="Calibri" w:asciiTheme="minorHAnsi" w:hAnsiTheme="minorHAnsi" w:cstheme="minorHAnsi"/>
          <w:iCs/>
          <w:szCs w:val="24"/>
        </w:rPr>
        <w:t xml:space="preserve"> sentido: </w:t>
      </w:r>
    </w:p>
    <w:p w:rsidR="003A4F48" w:rsidP="00B126A3">
      <w:pPr>
        <w:pStyle w:val="NormalWeb"/>
        <w:pBdr>
          <w:bottom w:val="single" w:sz="12" w:space="1" w:color="auto"/>
        </w:pBdr>
        <w:spacing w:before="0" w:beforeAutospacing="0" w:after="120" w:afterAutospacing="0" w:line="276" w:lineRule="auto"/>
        <w:ind w:left="2268"/>
        <w:jc w:val="both"/>
        <w:rPr>
          <w:rFonts w:asciiTheme="minorHAnsi" w:hAnsiTheme="minorHAnsi"/>
          <w:i/>
          <w:color w:val="000000"/>
          <w:sz w:val="20"/>
          <w:szCs w:val="20"/>
          <w:shd w:val="clear" w:color="auto" w:fill="FFFFFF"/>
        </w:rPr>
      </w:pP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Lei Municipal nº 1.697/2021, de iniciativa parlamentar, </w:t>
      </w:r>
      <w:r w:rsidRPr="003A4F48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dispondo sobre a regularização de construções no perímetro urbano da Municipalidade. </w:t>
      </w: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Vício de iniciativa. Inocorrência. Recente orientação do </w:t>
      </w: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Eg</w:t>
      </w: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. Supremo Tribunal Federal. Separação dos poderes. Inconstitucionalidade. A norma local impõe obrigações concretas à Administração Municipal. Cabe ao Executivo a gestão administrativa. Desrespeito ao princípio constitucional da 'reserva de administração' e separação dos poderes. Afronta a preceitos constitucionais (arts. 5º; 47, inciso XIV e 144 da Constituição Estadual)</w:t>
      </w:r>
      <w:r w:rsidRPr="003A4F48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. Falta de participação popular e estudo prévio. Imprescindível a efetiva participação da comunidade, por suas entidades representativas. A Constituição Estadual prevê a necessidade de participação comunitária em matéria urbanística.</w:t>
      </w: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Necessidade de estudo prévio. Precedentes deste C. Órgão Especial. Inconstitucional o ato normativo impugnado. Violação aos princípios da isonomia e da impessoalidade. Ocorrência. Inexistem motivos razoáveis a fundamentar a instituição do benefício – regularização automática de construções (art. 2º) – exclusivamente em favor de interessados que a erigiram até o ano de 2016 e cujos projetos ainda não foram aprovados (art. 1º). A discriminação legal carece de fundamento lógico. Caracterizada afronta aos arts. 111 e 144 da Constituição Estadual. Ausência de estimativa de impacto orçamentário e financeiro. Norma não cuida – diretamente – de desoneração fiscal. Não infringência ao art. 113, do ADCT. Constitucionalidade. </w:t>
      </w:r>
      <w:r w:rsidRPr="0079000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Procedente a ação.</w:t>
      </w:r>
      <w:r w:rsidRPr="003A4F48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 </w:t>
      </w:r>
      <w:r w:rsidRPr="003A4F48">
        <w:rPr>
          <w:rFonts w:asciiTheme="minorHAnsi" w:hAnsiTheme="minorHAnsi"/>
          <w:i/>
          <w:color w:val="000000"/>
          <w:sz w:val="20"/>
          <w:szCs w:val="20"/>
          <w:shd w:val="clear" w:color="auto" w:fill="FFFFFF"/>
        </w:rPr>
        <w:t>(TJSP;</w:t>
      </w:r>
      <w:r w:rsidRPr="003A4F48">
        <w:rPr>
          <w:rFonts w:asciiTheme="minorHAnsi" w:hAnsiTheme="minorHAnsi"/>
          <w:i/>
          <w:color w:val="000000"/>
          <w:sz w:val="20"/>
          <w:szCs w:val="20"/>
          <w:shd w:val="clear" w:color="auto" w:fill="FFFFFF"/>
        </w:rPr>
        <w:t xml:space="preserve">  </w:t>
      </w:r>
      <w:r w:rsidRPr="003A4F48">
        <w:rPr>
          <w:rFonts w:asciiTheme="minorHAnsi" w:hAnsiTheme="minorHAnsi"/>
          <w:i/>
          <w:color w:val="000000"/>
          <w:sz w:val="20"/>
          <w:szCs w:val="20"/>
          <w:shd w:val="clear" w:color="auto" w:fill="FFFFFF"/>
        </w:rPr>
        <w:t xml:space="preserve">Direta de </w:t>
      </w:r>
      <w:r w:rsidRPr="003A4F48">
        <w:rPr>
          <w:rFonts w:asciiTheme="minorHAnsi" w:hAnsiTheme="minorHAnsi"/>
          <w:i/>
          <w:color w:val="000000"/>
          <w:sz w:val="20"/>
          <w:szCs w:val="20"/>
          <w:shd w:val="clear" w:color="auto" w:fill="FFFFFF"/>
        </w:rPr>
        <w:t>Inconstitucionalidade 2286618-95.2021.8.26.0000; Relator (a): Evaristo dos Santos; Órgão Julgador: Órgão Especial; Tribunal de Justiça de São Paulo - N/A; Data do Julgamento: 27/04/2022; Data de Registro: 02/05/2022)</w:t>
      </w:r>
    </w:p>
    <w:p w:rsidR="00B126A3" w:rsidRPr="00B126A3" w:rsidP="00B126A3">
      <w:pPr>
        <w:pStyle w:val="NormalWeb"/>
        <w:pBdr>
          <w:bottom w:val="single" w:sz="12" w:space="1" w:color="auto"/>
        </w:pBdr>
        <w:spacing w:before="0" w:beforeAutospacing="0" w:after="120" w:afterAutospacing="0" w:line="276" w:lineRule="auto"/>
        <w:ind w:left="2268"/>
        <w:jc w:val="both"/>
        <w:rPr>
          <w:rFonts w:asciiTheme="minorHAnsi" w:hAnsiTheme="minorHAnsi"/>
          <w:i/>
          <w:color w:val="000000"/>
          <w:sz w:val="12"/>
          <w:szCs w:val="12"/>
          <w:shd w:val="clear" w:color="auto" w:fill="FFFFFF"/>
        </w:rPr>
      </w:pPr>
    </w:p>
    <w:p w:rsidR="00104D6E" w:rsidP="003A4F48">
      <w:pPr>
        <w:pStyle w:val="NormalWeb"/>
        <w:spacing w:before="0" w:beforeAutospacing="0" w:after="12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AÇÃO DIRETA DE INCONSTITUCIONALIDADE Lei Complementar Municipal nº 280, de 17.07.2020, </w:t>
      </w:r>
      <w:r w:rsidRPr="004276C9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>d</w:t>
      </w:r>
      <w:r w:rsidRPr="00104D6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e iniciativa parlamentar, dispondo sobre o direito de permanência de edificações na faixa não edificável contígua às faixas de domínio público de rodovias e redução da extensão da faixa não edificável.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104D6E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Vício de iniciativa. Inocorrência</w:t>
      </w:r>
      <w:r w:rsidRPr="00104D6E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Pr="00104D6E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Iniciativa legislativa comum</w:t>
      </w:r>
      <w:r w:rsidRPr="00104D6E">
        <w:rPr>
          <w:rFonts w:ascii="Calibri" w:hAnsi="Calibri" w:cs="Calibri"/>
          <w:i/>
          <w:color w:val="000000"/>
          <w:sz w:val="22"/>
          <w:szCs w:val="22"/>
          <w:u w:val="single"/>
          <w:shd w:val="clear" w:color="auto" w:fill="FFFFFF"/>
        </w:rPr>
        <w:t xml:space="preserve">. </w:t>
      </w:r>
      <w:r w:rsidRPr="00104D6E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Recente orientação do </w:t>
      </w:r>
      <w:r w:rsidRPr="00104D6E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Eg</w:t>
      </w:r>
      <w:r w:rsidRPr="00104D6E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. Supremo Tribunal Federal. Falta de participação popular. Imprescindível a efetiva participação da comunidade, por suas entidades representativas. A Constituição Estadual prevê a necessidade de participação comunitária em matéria urbanística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. Precedentes deste C. Órgão Especial. Inconstitucional o ato normativo impugnado. Estudo prévio. Necessidade. Se no âmbito do Executivo esse planejamento ou prévios estudos se fazem necessários, de igual forma se justificam idênticas medidas para modificar a regra original. Precedentes. </w:t>
      </w:r>
      <w:r w:rsidRPr="0079000B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Procedente a ação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.</w:t>
      </w:r>
    </w:p>
    <w:p w:rsidR="00104D6E" w:rsidP="001672E8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4276C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(TJSP;  Direta de Inconstitucionalidade 2188536-63.2020.8.26.0000; Relator (a): Evaristo dos Santos; Órgão Julgador: Órgão Especial; Tribunal de Justiça de São Paulo - N/A; Data do Julgamento: 03/03/2021; Data de Registro: 04/03/2021)</w:t>
      </w:r>
    </w:p>
    <w:p w:rsidR="00B126A3" w:rsidP="001672E8">
      <w:pPr>
        <w:pStyle w:val="NormalWeb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DIRETA DE INCONSTITUCIONALIDADE - LEI Nº 1.030/2019, DO MUNICÍPIO DE LAGOINHA QUE ALTERA O ZONEAMENTO DE BAIRROS DO MUNICÍPIO - </w:t>
      </w:r>
      <w:r w:rsidRPr="004276C9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MATÉRIA URBANÍSTICA DE INTERESSE LOCAL PARA A QUAL O MUNICÍPIO POSSUI COMPETÊNCIA – RECONHECIMENTO, ENTRETANTO, DE VÍCIO FORMAL PELA AUSÊNCIA DE PARTICIPAÇÃO DA COMUNIDADE LOCAL NO PROJETO DE LEI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- OFENSA AO DISPOSTO NO ARTIGO 180, II, DA CONSTITUIÇÃO ESTADUAL - INCONSTITUCIONALIDADE RECONHECIDA - </w:t>
      </w:r>
      <w:r w:rsidRPr="0079000B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>AÇÃO PROCEDENTE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. </w:t>
      </w:r>
      <w:r w:rsidRPr="004276C9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br/>
      </w:r>
    </w:p>
    <w:p w:rsidR="00104D6E" w:rsidRPr="004276C9" w:rsidP="001672E8">
      <w:pPr>
        <w:pStyle w:val="NormalWeb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  <w:r w:rsidRPr="004276C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(TJSP;</w:t>
      </w:r>
      <w:r w:rsidRPr="004276C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 </w:t>
      </w:r>
      <w:r w:rsidRPr="004276C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Direta de Inconstitucionalidade 2071427-28.2020.8.26.0000; Relator (a): Ferraz de Arruda; Órgão Julgador: Órgão Especial; Tribunal de Justiça de São Paulo - N/A; Data do Julgamento: 14/07/2021; Data de Registro: 15/07/2021)</w:t>
      </w:r>
    </w:p>
    <w:p w:rsidR="00703833" w:rsidRPr="00B07B8B" w:rsidP="00703833">
      <w:pPr>
        <w:pStyle w:val="NormalWeb"/>
        <w:spacing w:line="360" w:lineRule="auto"/>
        <w:ind w:firstLine="1701"/>
        <w:jc w:val="both"/>
        <w:rPr>
          <w:rFonts w:ascii="Calibri" w:hAnsi="Calibri" w:cs="Calibri"/>
        </w:rPr>
      </w:pPr>
      <w:r w:rsidRPr="00B07B8B">
        <w:rPr>
          <w:rFonts w:ascii="Calibri" w:hAnsi="Calibri" w:cs="Calibri"/>
        </w:rPr>
        <w:t xml:space="preserve">Por fim, no que tange à forma </w:t>
      </w:r>
      <w:r w:rsidRPr="00B07B8B" w:rsidR="00457471">
        <w:rPr>
          <w:rFonts w:ascii="Calibri" w:hAnsi="Calibri" w:cs="Calibri"/>
        </w:rPr>
        <w:t>em atenção</w:t>
      </w:r>
      <w:r w:rsidRPr="00B07B8B">
        <w:rPr>
          <w:rFonts w:ascii="Calibri" w:hAnsi="Calibri" w:cs="Calibri"/>
        </w:rPr>
        <w:t xml:space="preserve"> aos preceitos da Lei Complementar nº 95/98 que dispõe sobre a elaboração, a redação, a alteração e a consolidação das leis, </w:t>
      </w:r>
      <w:r w:rsidRPr="00B07B8B" w:rsidR="00457471">
        <w:rPr>
          <w:rFonts w:ascii="Calibri" w:hAnsi="Calibri" w:cs="Calibri"/>
        </w:rPr>
        <w:t>precipuamente art. 9º</w:t>
      </w:r>
      <w:r>
        <w:rPr>
          <w:rStyle w:val="FootnoteReference"/>
          <w:rFonts w:ascii="Calibri" w:hAnsi="Calibri" w:cs="Calibri"/>
        </w:rPr>
        <w:footnoteReference w:id="4"/>
      </w:r>
      <w:r w:rsidRPr="00B07B8B" w:rsidR="00457471">
        <w:rPr>
          <w:rFonts w:ascii="Calibri" w:hAnsi="Calibri" w:cs="Calibri"/>
        </w:rPr>
        <w:t xml:space="preserve">, </w:t>
      </w:r>
      <w:r w:rsidRPr="00B07B8B" w:rsidR="00457471">
        <w:rPr>
          <w:rFonts w:ascii="Calibri" w:hAnsi="Calibri" w:cs="Calibri"/>
          <w:b/>
        </w:rPr>
        <w:t xml:space="preserve">sugerimos alteração do art. 2º para constar </w:t>
      </w:r>
      <w:r w:rsidRPr="00B07B8B" w:rsidR="00BB404A">
        <w:rPr>
          <w:rFonts w:ascii="Calibri" w:hAnsi="Calibri" w:cs="Calibri"/>
          <w:b/>
        </w:rPr>
        <w:t>expressamente a revogação da Lei nº 6.474/2023.</w:t>
      </w:r>
    </w:p>
    <w:p w:rsidR="00703833" w:rsidRPr="00692544" w:rsidP="001672E8">
      <w:pPr>
        <w:pStyle w:val="BodyText"/>
        <w:spacing w:before="240"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BE358E">
        <w:rPr>
          <w:rFonts w:ascii="Calibri" w:hAnsi="Calibri" w:cs="Calibri"/>
          <w:szCs w:val="24"/>
        </w:rPr>
        <w:t xml:space="preserve">Ante </w:t>
      </w:r>
      <w:r w:rsidRPr="00BE358E" w:rsidR="009966F0">
        <w:rPr>
          <w:rFonts w:ascii="Calibri" w:hAnsi="Calibri" w:cs="Calibri"/>
          <w:szCs w:val="24"/>
        </w:rPr>
        <w:t xml:space="preserve">todo </w:t>
      </w:r>
      <w:r w:rsidRPr="00BE358E">
        <w:rPr>
          <w:rFonts w:ascii="Calibri" w:hAnsi="Calibri" w:cs="Calibri"/>
          <w:szCs w:val="24"/>
        </w:rPr>
        <w:t xml:space="preserve">o exposto, </w:t>
      </w:r>
      <w:r w:rsidRPr="00BE358E" w:rsidR="00BE358E">
        <w:rPr>
          <w:rFonts w:ascii="Calibri" w:hAnsi="Calibri" w:cs="Calibri"/>
          <w:szCs w:val="24"/>
        </w:rPr>
        <w:t xml:space="preserve">conclui-se que o projeto </w:t>
      </w:r>
      <w:r w:rsidRPr="00A95AB8" w:rsidR="00BE358E">
        <w:rPr>
          <w:rFonts w:ascii="Calibri" w:hAnsi="Calibri" w:cs="Calibri"/>
          <w:szCs w:val="24"/>
        </w:rPr>
        <w:t xml:space="preserve">poderá </w:t>
      </w:r>
      <w:r w:rsidRPr="00BE358E" w:rsidR="00BE358E">
        <w:rPr>
          <w:rFonts w:ascii="Calibri" w:hAnsi="Calibri" w:cs="Calibri"/>
          <w:szCs w:val="24"/>
        </w:rPr>
        <w:t>reunir condições de constitucionalidade, desde que observado</w:t>
      </w:r>
      <w:r w:rsidR="00BE358E">
        <w:rPr>
          <w:rFonts w:ascii="Calibri" w:hAnsi="Calibri" w:cs="Calibri"/>
          <w:szCs w:val="24"/>
        </w:rPr>
        <w:t>s</w:t>
      </w:r>
      <w:r w:rsidRPr="00BE358E" w:rsidR="00BE358E">
        <w:rPr>
          <w:rFonts w:ascii="Calibri" w:hAnsi="Calibri" w:cs="Calibri"/>
          <w:szCs w:val="24"/>
        </w:rPr>
        <w:t xml:space="preserve"> </w:t>
      </w:r>
      <w:r w:rsidR="00BE358E">
        <w:rPr>
          <w:rFonts w:ascii="Calibri" w:hAnsi="Calibri" w:cs="Calibri"/>
          <w:szCs w:val="24"/>
        </w:rPr>
        <w:t xml:space="preserve">os </w:t>
      </w:r>
      <w:r w:rsidRPr="00BE358E" w:rsidR="00BE358E">
        <w:rPr>
          <w:rFonts w:ascii="Calibri" w:hAnsi="Calibri" w:cs="Calibri"/>
          <w:szCs w:val="24"/>
        </w:rPr>
        <w:t>procedimentos formais</w:t>
      </w:r>
      <w:r w:rsidR="00BE358E">
        <w:rPr>
          <w:rFonts w:ascii="Calibri" w:hAnsi="Calibri" w:cs="Calibri"/>
          <w:szCs w:val="24"/>
        </w:rPr>
        <w:t xml:space="preserve"> em matéria urbanística estabelecidos </w:t>
      </w:r>
      <w:r w:rsidR="00692544">
        <w:rPr>
          <w:rFonts w:ascii="Calibri" w:hAnsi="Calibri" w:cs="Calibri"/>
          <w:szCs w:val="24"/>
        </w:rPr>
        <w:t>pela</w:t>
      </w:r>
      <w:r w:rsidRPr="00BE358E" w:rsidR="00BE358E">
        <w:rPr>
          <w:rFonts w:ascii="Calibri" w:hAnsi="Calibri" w:cs="Calibri"/>
          <w:szCs w:val="24"/>
        </w:rPr>
        <w:t xml:space="preserve"> Constituição Estadual</w:t>
      </w:r>
      <w:r w:rsidR="00BE358E">
        <w:rPr>
          <w:rFonts w:ascii="Calibri" w:hAnsi="Calibri" w:cs="Calibri"/>
          <w:szCs w:val="24"/>
        </w:rPr>
        <w:t xml:space="preserve">, consoante </w:t>
      </w:r>
      <w:r w:rsidR="00E41567">
        <w:rPr>
          <w:rFonts w:ascii="Calibri" w:hAnsi="Calibri" w:cs="Calibri"/>
          <w:szCs w:val="24"/>
        </w:rPr>
        <w:t>posicionamento jurisprudencial</w:t>
      </w:r>
      <w:r w:rsidR="00BE358E">
        <w:rPr>
          <w:rFonts w:ascii="Calibri" w:hAnsi="Calibri" w:cs="Calibri"/>
          <w:szCs w:val="24"/>
        </w:rPr>
        <w:t>.</w:t>
      </w:r>
      <w:r w:rsidRPr="00BE358E" w:rsidR="00BE358E">
        <w:rPr>
          <w:rFonts w:ascii="Calibri" w:hAnsi="Calibri" w:cs="Calibri"/>
          <w:szCs w:val="24"/>
        </w:rPr>
        <w:t xml:space="preserve"> </w:t>
      </w:r>
      <w:r w:rsidRPr="00692544">
        <w:rPr>
          <w:rFonts w:ascii="Calibri" w:hAnsi="Calibri" w:cs="Calibri"/>
          <w:b/>
          <w:szCs w:val="24"/>
        </w:rPr>
        <w:t>Sobre o mérito, o Plenário é soberano.</w:t>
      </w:r>
    </w:p>
    <w:p w:rsidR="00AE634E" w:rsidP="001672E8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parecer, a superior consideração.</w:t>
      </w:r>
    </w:p>
    <w:p w:rsidR="00AE634E" w:rsidP="001672E8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Cs/>
          <w:szCs w:val="24"/>
        </w:rPr>
      </w:pPr>
      <w:r w:rsidRPr="00BB4A32">
        <w:rPr>
          <w:rFonts w:asciiTheme="minorHAnsi" w:hAnsiTheme="minorHAnsi" w:cstheme="minorHAnsi"/>
          <w:iCs/>
          <w:szCs w:val="24"/>
        </w:rPr>
        <w:t>Procuradoria</w:t>
      </w:r>
      <w:r w:rsidRPr="00DD7C7E">
        <w:rPr>
          <w:rFonts w:asciiTheme="minorHAnsi" w:hAnsiTheme="minorHAnsi" w:cstheme="minorHAnsi"/>
          <w:iCs/>
          <w:szCs w:val="24"/>
        </w:rPr>
        <w:t xml:space="preserve">, </w:t>
      </w:r>
      <w:r>
        <w:rPr>
          <w:rFonts w:asciiTheme="minorHAnsi" w:hAnsiTheme="minorHAnsi" w:cstheme="minorHAnsi"/>
          <w:iCs/>
          <w:szCs w:val="24"/>
        </w:rPr>
        <w:t>25</w:t>
      </w:r>
      <w:r w:rsidRPr="00DD7C7E">
        <w:rPr>
          <w:rFonts w:asciiTheme="minorHAnsi" w:hAnsiTheme="minorHAnsi" w:cstheme="minorHAnsi"/>
          <w:iCs/>
          <w:szCs w:val="24"/>
        </w:rPr>
        <w:t xml:space="preserve"> de </w:t>
      </w:r>
      <w:r>
        <w:rPr>
          <w:rFonts w:asciiTheme="minorHAnsi" w:hAnsiTheme="minorHAnsi" w:cstheme="minorHAnsi"/>
          <w:iCs/>
          <w:szCs w:val="24"/>
        </w:rPr>
        <w:t>novembro</w:t>
      </w:r>
      <w:r w:rsidRPr="00DD7C7E">
        <w:rPr>
          <w:rFonts w:asciiTheme="minorHAnsi" w:hAnsiTheme="minorHAnsi" w:cstheme="minorHAnsi"/>
          <w:iCs/>
          <w:szCs w:val="24"/>
        </w:rPr>
        <w:t xml:space="preserve"> de 2024.</w:t>
      </w:r>
    </w:p>
    <w:p w:rsidR="001672E8" w:rsidP="001672E8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Cs/>
          <w:szCs w:val="24"/>
        </w:rPr>
      </w:pPr>
    </w:p>
    <w:p w:rsidR="00AE634E" w:rsidRPr="002738C6" w:rsidP="00AE634E">
      <w:pPr>
        <w:spacing w:after="0" w:line="240" w:lineRule="auto"/>
        <w:rPr>
          <w:rFonts w:ascii="Calibri" w:hAnsi="Calibri" w:cs="Calibri"/>
          <w:szCs w:val="24"/>
        </w:rPr>
      </w:pPr>
      <w:r w:rsidRPr="002738C6">
        <w:rPr>
          <w:rFonts w:ascii="Calibri" w:hAnsi="Calibri" w:cs="Calibri"/>
          <w:b/>
          <w:szCs w:val="24"/>
        </w:rPr>
        <w:t>Rosemeire de Souza Cardoso Barbosa                           Tiago Fadel Malghosian</w:t>
      </w:r>
    </w:p>
    <w:p w:rsidR="00AE634E" w:rsidRPr="002738C6" w:rsidP="00AE634E">
      <w:pPr>
        <w:tabs>
          <w:tab w:val="left" w:pos="2880"/>
        </w:tabs>
        <w:spacing w:after="0" w:line="240" w:lineRule="auto"/>
        <w:rPr>
          <w:rFonts w:ascii="Calibri" w:hAnsi="Calibri" w:cs="Calibri"/>
          <w:b/>
          <w:szCs w:val="24"/>
        </w:rPr>
      </w:pPr>
      <w:r w:rsidRPr="002738C6">
        <w:rPr>
          <w:rFonts w:ascii="Calibri" w:hAnsi="Calibri" w:cs="Calibri"/>
          <w:b/>
          <w:szCs w:val="24"/>
        </w:rPr>
        <w:t xml:space="preserve">     Procuradora - OAB/SP 308.298                               Procurador - OAB/SP 319.159</w:t>
      </w:r>
    </w:p>
    <w:p w:rsidR="00AE634E" w:rsidRPr="00BB4A32" w:rsidP="00AE634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2738C6">
        <w:rPr>
          <w:rFonts w:ascii="Calibri" w:hAnsi="Calibri" w:cs="Calibri"/>
          <w:szCs w:val="24"/>
        </w:rPr>
        <w:t xml:space="preserve">             Assinatura eletrônica                                                Assinatura eletrônica</w:t>
      </w:r>
    </w:p>
    <w:p w:rsidR="00CF0986" w:rsidRPr="00CF0986" w:rsidP="00AE634E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</w:rPr>
      </w:pPr>
    </w:p>
    <w:sectPr w:rsidSect="003D0BDE">
      <w:headerReference w:type="default" r:id="rId6"/>
      <w:footerReference w:type="default" r:id="rId7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11DB3" w:rsidP="00FC3987">
            <w:pPr>
              <w:pStyle w:val="Footer"/>
              <w:jc w:val="right"/>
            </w:pPr>
          </w:p>
          <w:p w:rsidR="00011DB3" w:rsidP="000F6284">
            <w:pPr>
              <w:pStyle w:val="Footer"/>
              <w:ind w:right="-313"/>
              <w:rPr>
                <w:sz w:val="18"/>
                <w:lang w:val="pt-PT"/>
              </w:rPr>
            </w:pPr>
          </w:p>
          <w:p w:rsidR="00011DB3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11DB3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011DB3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site: www.camaravalinhos.sp.gov.br   </w:t>
            </w:r>
          </w:p>
          <w:p w:rsidR="00011DB3" w:rsidP="000F6284">
            <w:pPr>
              <w:pStyle w:val="Footer"/>
              <w:ind w:left="-1985" w:right="-313"/>
              <w:jc w:val="center"/>
            </w:pPr>
          </w:p>
          <w:p w:rsidR="00011DB3" w:rsidP="000F6284">
            <w:pPr>
              <w:pStyle w:val="Footer"/>
              <w:ind w:left="-1985" w:right="-313"/>
              <w:jc w:val="center"/>
            </w:pPr>
          </w:p>
          <w:p w:rsidR="00011DB3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42A4F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42A4F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C760E">
      <w:pPr>
        <w:spacing w:after="0" w:line="240" w:lineRule="auto"/>
      </w:pPr>
      <w:r>
        <w:separator/>
      </w:r>
    </w:p>
  </w:footnote>
  <w:footnote w:type="continuationSeparator" w:id="1">
    <w:p w:rsidR="007C760E">
      <w:pPr>
        <w:spacing w:after="0" w:line="240" w:lineRule="auto"/>
      </w:pPr>
      <w:r>
        <w:continuationSeparator/>
      </w:r>
    </w:p>
  </w:footnote>
  <w:footnote w:id="2">
    <w:p w:rsidR="003C2965" w:rsidRPr="001672E8" w:rsidP="001672E8">
      <w:pPr>
        <w:pStyle w:val="FootnoteText"/>
        <w:jc w:val="both"/>
        <w:rPr>
          <w:rFonts w:asciiTheme="minorHAnsi" w:hAnsiTheme="minorHAnsi" w:cstheme="minorHAnsi"/>
          <w:sz w:val="18"/>
          <w:szCs w:val="18"/>
        </w:rPr>
      </w:pPr>
      <w:r w:rsidRPr="00E2434B">
        <w:rPr>
          <w:rStyle w:val="FootnoteReference"/>
        </w:rPr>
        <w:footnoteRef/>
      </w:r>
      <w:r w:rsidRPr="00E2434B">
        <w:t xml:space="preserve"> </w:t>
      </w:r>
      <w:r w:rsidRPr="001672E8">
        <w:rPr>
          <w:rFonts w:asciiTheme="minorHAnsi" w:hAnsiTheme="minorHAnsi" w:cstheme="minorHAnsi"/>
          <w:i/>
          <w:sz w:val="18"/>
          <w:szCs w:val="18"/>
        </w:rPr>
        <w:t xml:space="preserve">Art. 38. Compete à Comissão de Justiça e Redação manifestar-se sobre todos os assuntos entregues à sua apreciação, </w:t>
      </w:r>
      <w:r w:rsidRPr="001672E8">
        <w:rPr>
          <w:rFonts w:asciiTheme="minorHAnsi" w:hAnsiTheme="minorHAnsi" w:cstheme="minorHAnsi"/>
          <w:b/>
          <w:i/>
          <w:sz w:val="18"/>
          <w:szCs w:val="18"/>
        </w:rPr>
        <w:t xml:space="preserve">quanto ao seu aspecto constitucional, legal ou jurídico </w:t>
      </w:r>
      <w:r w:rsidRPr="001672E8">
        <w:rPr>
          <w:rFonts w:asciiTheme="minorHAnsi" w:hAnsiTheme="minorHAnsi" w:cstheme="minorHAnsi"/>
          <w:i/>
          <w:sz w:val="18"/>
          <w:szCs w:val="18"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1672E8">
        <w:rPr>
          <w:rFonts w:asciiTheme="minorHAnsi" w:hAnsiTheme="minorHAnsi" w:cstheme="minorHAnsi"/>
          <w:i/>
          <w:sz w:val="18"/>
          <w:szCs w:val="18"/>
        </w:rPr>
        <w:t>a</w:t>
      </w:r>
      <w:r w:rsidRPr="001672E8">
        <w:rPr>
          <w:rFonts w:asciiTheme="minorHAnsi" w:hAnsiTheme="minorHAnsi" w:cstheme="minorHAnsi"/>
          <w:i/>
          <w:sz w:val="18"/>
          <w:szCs w:val="18"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1672E8">
        <w:rPr>
          <w:rFonts w:asciiTheme="minorHAnsi" w:hAnsiTheme="minorHAnsi" w:cstheme="minorHAnsi"/>
          <w:i/>
          <w:sz w:val="18"/>
          <w:szCs w:val="18"/>
        </w:rPr>
        <w:t>G.n</w:t>
      </w:r>
      <w:r w:rsidRPr="001672E8">
        <w:rPr>
          <w:rFonts w:asciiTheme="minorHAnsi" w:hAnsiTheme="minorHAnsi" w:cstheme="minorHAnsi"/>
          <w:i/>
          <w:sz w:val="18"/>
          <w:szCs w:val="18"/>
        </w:rPr>
        <w:t>).</w:t>
      </w:r>
    </w:p>
  </w:footnote>
  <w:footnote w:id="3">
    <w:p w:rsidR="003C2965" w:rsidRPr="001672E8" w:rsidP="001672E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footnoteRef/>
      </w: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Nesse sentido é o entendimento do C.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ex</w:t>
      </w: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</w:t>
      </w: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>oficio</w:t>
      </w:r>
      <w:r w:rsidRPr="001672E8">
        <w:rPr>
          <w:rFonts w:asciiTheme="minorHAnsi" w:eastAsiaTheme="minorHAnsi" w:hAnsiTheme="minorHAnsi" w:cstheme="minorHAnsi"/>
          <w:i/>
          <w:sz w:val="18"/>
          <w:szCs w:val="18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  <w:footnote w:id="4">
    <w:p w:rsidR="00457471" w:rsidP="004574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2A4F">
        <w:rPr>
          <w:rFonts w:asciiTheme="minorHAnsi" w:hAnsiTheme="minorHAnsi" w:cs="Arial"/>
          <w:i/>
          <w:color w:val="000000"/>
          <w:shd w:val="clear" w:color="auto" w:fill="FFFFFF"/>
        </w:rPr>
        <w:t>Art. 9</w:t>
      </w:r>
      <w:r w:rsidRPr="00B42A4F">
        <w:rPr>
          <w:rFonts w:asciiTheme="minorHAnsi" w:hAnsiTheme="minorHAnsi" w:cs="Arial"/>
          <w:b/>
          <w:bCs/>
          <w:i/>
          <w:color w:val="000000"/>
          <w:u w:val="single"/>
          <w:shd w:val="clear" w:color="auto" w:fill="FFFFFF"/>
          <w:vertAlign w:val="superscript"/>
        </w:rPr>
        <w:t>o</w:t>
      </w:r>
      <w:r w:rsidRPr="00B42A4F">
        <w:rPr>
          <w:rFonts w:asciiTheme="minorHAnsi" w:hAnsiTheme="minorHAnsi" w:cs="Arial"/>
          <w:i/>
          <w:color w:val="000000"/>
          <w:shd w:val="clear" w:color="auto" w:fill="FFFFFF"/>
        </w:rPr>
        <w:t> A cláusula de revogação deverá enumerar, expressamente, as leis ou disposições legais revogadas.</w:t>
      </w:r>
      <w:r w:rsidRPr="00457471">
        <w:rPr>
          <w:rFonts w:asciiTheme="minorHAnsi" w:hAnsiTheme="minorHAnsi" w:cs="Arial"/>
          <w:color w:val="000000"/>
          <w:shd w:val="clear" w:color="auto" w:fill="FFFFFF"/>
        </w:rPr>
        <w:t>      </w:t>
      </w:r>
      <w:hyperlink r:id="rId1" w:anchor="art1" w:history="1">
        <w:r w:rsidRPr="00457471">
          <w:rPr>
            <w:rStyle w:val="Hyperlink"/>
            <w:rFonts w:asciiTheme="minorHAnsi" w:hAnsiTheme="minorHAnsi" w:cs="Arial"/>
            <w:shd w:val="clear" w:color="auto" w:fill="FFFFFF"/>
          </w:rPr>
          <w:t>(Redação dada pela Lei Complementar nº 107, de 26.4.2001)</w:t>
        </w:r>
      </w:hyperlink>
      <w:r w:rsidRPr="00457471">
        <w:rPr>
          <w:rFonts w:asciiTheme="minorHAnsi" w:hAnsiTheme="minorHAnsi"/>
        </w:rPr>
        <w:t>.</w:t>
      </w:r>
      <w:bookmarkStart w:id="8" w:name="_GoBack"/>
      <w:bookmarkEnd w:id="8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DB3" w:rsidP="000F6284">
    <w:pPr>
      <w:pStyle w:val="Header"/>
      <w:jc w:val="center"/>
      <w:rPr>
        <w:b/>
        <w:sz w:val="26"/>
        <w:lang w:val="pt-PT"/>
      </w:rPr>
    </w:pPr>
  </w:p>
  <w:p w:rsidR="00011DB3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DB3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5466527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5303991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5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9405568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11DB3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780825645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034139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4pt" o:oleicon="f" o:ole="">
                        <v:imagedata r:id="rId2" o:title=""/>
                      </v:shape>
                      <o:OLEObject Type="Embed" ProgID="MSPhotoEd.3" ShapeID="_x0000_i2050" DrawAspect="Content" ObjectID="_17940089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11DB3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11DB3" w:rsidP="000F628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011DB3" w:rsidP="000F6284">
    <w:pPr>
      <w:pStyle w:val="Header"/>
    </w:pPr>
  </w:p>
  <w:p w:rsidR="00011DB3" w:rsidP="006D7024">
    <w:pPr>
      <w:pStyle w:val="Header"/>
    </w:pPr>
  </w:p>
  <w:p w:rsidR="00011DB3" w:rsidP="006D7024">
    <w:pPr>
      <w:pStyle w:val="Header"/>
    </w:pPr>
  </w:p>
  <w:p w:rsidR="00011DB3" w:rsidP="006D7024">
    <w:pPr>
      <w:pStyle w:val="Header"/>
    </w:pPr>
  </w:p>
  <w:p w:rsidR="00011DB3" w:rsidRPr="00824829" w:rsidP="006D702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1DB3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0F6284"/>
    <w:rsid w:val="00104D6E"/>
    <w:rsid w:val="00117687"/>
    <w:rsid w:val="0012413B"/>
    <w:rsid w:val="0013060F"/>
    <w:rsid w:val="00132824"/>
    <w:rsid w:val="00141BA0"/>
    <w:rsid w:val="001420FA"/>
    <w:rsid w:val="0014270F"/>
    <w:rsid w:val="00144475"/>
    <w:rsid w:val="00146CE5"/>
    <w:rsid w:val="00152692"/>
    <w:rsid w:val="0016364A"/>
    <w:rsid w:val="001672E8"/>
    <w:rsid w:val="00174657"/>
    <w:rsid w:val="001C4D63"/>
    <w:rsid w:val="00215CD7"/>
    <w:rsid w:val="0022477A"/>
    <w:rsid w:val="002268B5"/>
    <w:rsid w:val="002324DA"/>
    <w:rsid w:val="002433C5"/>
    <w:rsid w:val="002438CC"/>
    <w:rsid w:val="00252ADC"/>
    <w:rsid w:val="00261689"/>
    <w:rsid w:val="0026654A"/>
    <w:rsid w:val="00267382"/>
    <w:rsid w:val="002738C6"/>
    <w:rsid w:val="0028702B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0FFE"/>
    <w:rsid w:val="00304A13"/>
    <w:rsid w:val="00304D47"/>
    <w:rsid w:val="00315DC3"/>
    <w:rsid w:val="00324DAA"/>
    <w:rsid w:val="0036016D"/>
    <w:rsid w:val="00365F07"/>
    <w:rsid w:val="0038135B"/>
    <w:rsid w:val="0039289D"/>
    <w:rsid w:val="003A2C23"/>
    <w:rsid w:val="003A4F48"/>
    <w:rsid w:val="003A7521"/>
    <w:rsid w:val="003B02E8"/>
    <w:rsid w:val="003B0AE0"/>
    <w:rsid w:val="003C02A2"/>
    <w:rsid w:val="003C2965"/>
    <w:rsid w:val="003C2EAD"/>
    <w:rsid w:val="003D0BDE"/>
    <w:rsid w:val="003D329B"/>
    <w:rsid w:val="003D3DD2"/>
    <w:rsid w:val="003E0849"/>
    <w:rsid w:val="003E4ECE"/>
    <w:rsid w:val="003E68E7"/>
    <w:rsid w:val="003F5D28"/>
    <w:rsid w:val="00402E15"/>
    <w:rsid w:val="00412E7C"/>
    <w:rsid w:val="00421304"/>
    <w:rsid w:val="00422E38"/>
    <w:rsid w:val="004276C9"/>
    <w:rsid w:val="00442AE0"/>
    <w:rsid w:val="00445AFC"/>
    <w:rsid w:val="00450D7D"/>
    <w:rsid w:val="00451661"/>
    <w:rsid w:val="00457471"/>
    <w:rsid w:val="00483A4D"/>
    <w:rsid w:val="00484EF7"/>
    <w:rsid w:val="00494E9F"/>
    <w:rsid w:val="00497A57"/>
    <w:rsid w:val="004A1DBC"/>
    <w:rsid w:val="004B170A"/>
    <w:rsid w:val="004B1CA3"/>
    <w:rsid w:val="004C45A4"/>
    <w:rsid w:val="004C5E2E"/>
    <w:rsid w:val="004D3AA4"/>
    <w:rsid w:val="004D5FD7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27CA"/>
    <w:rsid w:val="0058201A"/>
    <w:rsid w:val="005A5A31"/>
    <w:rsid w:val="005B5B3A"/>
    <w:rsid w:val="005C17D4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71EA5"/>
    <w:rsid w:val="006738DE"/>
    <w:rsid w:val="00683121"/>
    <w:rsid w:val="00684901"/>
    <w:rsid w:val="00692544"/>
    <w:rsid w:val="00696105"/>
    <w:rsid w:val="006B19C9"/>
    <w:rsid w:val="006B7254"/>
    <w:rsid w:val="006C1ABF"/>
    <w:rsid w:val="006C37F5"/>
    <w:rsid w:val="006D7024"/>
    <w:rsid w:val="006E59A6"/>
    <w:rsid w:val="006F674F"/>
    <w:rsid w:val="00703833"/>
    <w:rsid w:val="007042A1"/>
    <w:rsid w:val="007125D7"/>
    <w:rsid w:val="00713C73"/>
    <w:rsid w:val="00745F2C"/>
    <w:rsid w:val="00747C65"/>
    <w:rsid w:val="0075062B"/>
    <w:rsid w:val="00750FEA"/>
    <w:rsid w:val="0075311E"/>
    <w:rsid w:val="00757B87"/>
    <w:rsid w:val="007627E3"/>
    <w:rsid w:val="00777ACF"/>
    <w:rsid w:val="0079000B"/>
    <w:rsid w:val="007949FB"/>
    <w:rsid w:val="00795897"/>
    <w:rsid w:val="007A0262"/>
    <w:rsid w:val="007A7435"/>
    <w:rsid w:val="007C28D8"/>
    <w:rsid w:val="007C2ECA"/>
    <w:rsid w:val="007C3B92"/>
    <w:rsid w:val="007C61AB"/>
    <w:rsid w:val="007C760E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24829"/>
    <w:rsid w:val="00834F2B"/>
    <w:rsid w:val="00837714"/>
    <w:rsid w:val="00844764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2F5"/>
    <w:rsid w:val="0090054E"/>
    <w:rsid w:val="00900653"/>
    <w:rsid w:val="009028B1"/>
    <w:rsid w:val="00903636"/>
    <w:rsid w:val="0091678F"/>
    <w:rsid w:val="00926489"/>
    <w:rsid w:val="00935C32"/>
    <w:rsid w:val="009369FB"/>
    <w:rsid w:val="00946FC6"/>
    <w:rsid w:val="00967B88"/>
    <w:rsid w:val="0097203E"/>
    <w:rsid w:val="0098472D"/>
    <w:rsid w:val="00987679"/>
    <w:rsid w:val="009966F0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2503E"/>
    <w:rsid w:val="00A26518"/>
    <w:rsid w:val="00A31F50"/>
    <w:rsid w:val="00A33C51"/>
    <w:rsid w:val="00A35149"/>
    <w:rsid w:val="00A63ED4"/>
    <w:rsid w:val="00A67E63"/>
    <w:rsid w:val="00A7176E"/>
    <w:rsid w:val="00A71D06"/>
    <w:rsid w:val="00A95AB8"/>
    <w:rsid w:val="00AA0F4F"/>
    <w:rsid w:val="00AA13F0"/>
    <w:rsid w:val="00AB1A78"/>
    <w:rsid w:val="00AB498A"/>
    <w:rsid w:val="00AC01B0"/>
    <w:rsid w:val="00AC08AA"/>
    <w:rsid w:val="00AC6896"/>
    <w:rsid w:val="00AD05AC"/>
    <w:rsid w:val="00AD740D"/>
    <w:rsid w:val="00AE634E"/>
    <w:rsid w:val="00B03206"/>
    <w:rsid w:val="00B07B8B"/>
    <w:rsid w:val="00B126A3"/>
    <w:rsid w:val="00B20A65"/>
    <w:rsid w:val="00B22C55"/>
    <w:rsid w:val="00B26552"/>
    <w:rsid w:val="00B42A4F"/>
    <w:rsid w:val="00B60874"/>
    <w:rsid w:val="00B67CC4"/>
    <w:rsid w:val="00B778AA"/>
    <w:rsid w:val="00B93ED4"/>
    <w:rsid w:val="00BA65D2"/>
    <w:rsid w:val="00BB3B11"/>
    <w:rsid w:val="00BB404A"/>
    <w:rsid w:val="00BB4A32"/>
    <w:rsid w:val="00BC2ABB"/>
    <w:rsid w:val="00BC387A"/>
    <w:rsid w:val="00BD7FBE"/>
    <w:rsid w:val="00BE358E"/>
    <w:rsid w:val="00BF55F6"/>
    <w:rsid w:val="00C0003E"/>
    <w:rsid w:val="00C02E72"/>
    <w:rsid w:val="00C24ABB"/>
    <w:rsid w:val="00C34111"/>
    <w:rsid w:val="00C36928"/>
    <w:rsid w:val="00C46C1C"/>
    <w:rsid w:val="00C551CD"/>
    <w:rsid w:val="00C552BE"/>
    <w:rsid w:val="00C61066"/>
    <w:rsid w:val="00C6291C"/>
    <w:rsid w:val="00C62A22"/>
    <w:rsid w:val="00C63602"/>
    <w:rsid w:val="00C6456D"/>
    <w:rsid w:val="00C83C7F"/>
    <w:rsid w:val="00C86B57"/>
    <w:rsid w:val="00C96DEE"/>
    <w:rsid w:val="00CA547C"/>
    <w:rsid w:val="00CB2D83"/>
    <w:rsid w:val="00CB369D"/>
    <w:rsid w:val="00CC1FE4"/>
    <w:rsid w:val="00CE0C3C"/>
    <w:rsid w:val="00CE5172"/>
    <w:rsid w:val="00CF0986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7481A"/>
    <w:rsid w:val="00D822CC"/>
    <w:rsid w:val="00DA1655"/>
    <w:rsid w:val="00DA4495"/>
    <w:rsid w:val="00DA485E"/>
    <w:rsid w:val="00DB2D3E"/>
    <w:rsid w:val="00DD4EC2"/>
    <w:rsid w:val="00DD7C7E"/>
    <w:rsid w:val="00DE5290"/>
    <w:rsid w:val="00DF4BF9"/>
    <w:rsid w:val="00DF576F"/>
    <w:rsid w:val="00E20AD6"/>
    <w:rsid w:val="00E2434B"/>
    <w:rsid w:val="00E307C3"/>
    <w:rsid w:val="00E41567"/>
    <w:rsid w:val="00E51513"/>
    <w:rsid w:val="00E60FD0"/>
    <w:rsid w:val="00E654B2"/>
    <w:rsid w:val="00E65F4B"/>
    <w:rsid w:val="00E661C5"/>
    <w:rsid w:val="00E67342"/>
    <w:rsid w:val="00E67B0A"/>
    <w:rsid w:val="00E7515C"/>
    <w:rsid w:val="00E82F4A"/>
    <w:rsid w:val="00E9216A"/>
    <w:rsid w:val="00E97B06"/>
    <w:rsid w:val="00EA0F15"/>
    <w:rsid w:val="00EA1DB6"/>
    <w:rsid w:val="00EB2D50"/>
    <w:rsid w:val="00EB315E"/>
    <w:rsid w:val="00ED1E87"/>
    <w:rsid w:val="00ED612E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2F45"/>
    <w:rsid w:val="00F5378A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tj">
    <w:name w:val="tj"/>
    <w:basedOn w:val="Normal"/>
    <w:uiPriority w:val="99"/>
    <w:rsid w:val="0070383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B2D50"/>
    <w:pPr>
      <w:ind w:left="720"/>
      <w:contextualSpacing/>
    </w:pPr>
  </w:style>
  <w:style w:type="paragraph" w:customStyle="1" w:styleId="paragrafo">
    <w:name w:val="paragrafo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95A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planalto.gov.br/ccivil_03/leis/lcp/Lcp107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493CE-DB07-49BF-94BC-79186543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2806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Tiago Fadel Malghosian</cp:lastModifiedBy>
  <cp:revision>39</cp:revision>
  <cp:lastPrinted>2021-12-03T16:31:00Z</cp:lastPrinted>
  <dcterms:created xsi:type="dcterms:W3CDTF">2024-11-25T13:33:00Z</dcterms:created>
  <dcterms:modified xsi:type="dcterms:W3CDTF">2024-11-25T19:02:00Z</dcterms:modified>
</cp:coreProperties>
</file>