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FAA" w:rsidRPr="00B40AD8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5D54F2" w:rsidRPr="00B40AD8" w:rsidP="005D54F2">
      <w:pPr>
        <w:pStyle w:val="Default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  <w:r w:rsidRPr="00B40AD8">
        <w:rPr>
          <w:rFonts w:asciiTheme="minorHAnsi" w:hAnsiTheme="minorHAnsi" w:cstheme="minorHAnsi"/>
          <w:b/>
          <w:color w:val="auto"/>
        </w:rPr>
        <w:t xml:space="preserve">Parecer </w:t>
      </w:r>
      <w:r w:rsidRPr="00B40AD8">
        <w:rPr>
          <w:rFonts w:eastAsia="Times New Roman" w:asciiTheme="minorHAnsi" w:hAnsiTheme="minorHAnsi" w:cstheme="minorHAnsi"/>
          <w:b/>
          <w:color w:val="auto"/>
          <w:szCs w:val="20"/>
        </w:rPr>
        <w:t xml:space="preserve">Jurídico nº </w:t>
      </w:r>
      <w:r w:rsidRPr="00B40AD8" w:rsidR="00B40AD8">
        <w:rPr>
          <w:rFonts w:eastAsia="Times New Roman" w:asciiTheme="minorHAnsi" w:hAnsiTheme="minorHAnsi" w:cstheme="minorHAnsi"/>
          <w:b/>
          <w:color w:val="auto"/>
          <w:szCs w:val="20"/>
        </w:rPr>
        <w:t>267</w:t>
      </w:r>
      <w:r w:rsidRPr="00B40AD8">
        <w:rPr>
          <w:rFonts w:eastAsia="Times New Roman" w:asciiTheme="minorHAnsi" w:hAnsiTheme="minorHAnsi" w:cstheme="minorHAnsi"/>
          <w:b/>
          <w:color w:val="auto"/>
          <w:szCs w:val="20"/>
        </w:rPr>
        <w:t>/202</w:t>
      </w:r>
      <w:r w:rsidRPr="00B40AD8" w:rsidR="00334A0D">
        <w:rPr>
          <w:rFonts w:eastAsia="Times New Roman" w:asciiTheme="minorHAnsi" w:hAnsiTheme="minorHAnsi" w:cstheme="minorHAnsi"/>
          <w:b/>
          <w:color w:val="auto"/>
          <w:szCs w:val="20"/>
        </w:rPr>
        <w:t>4</w:t>
      </w:r>
      <w:r w:rsidRPr="00B40AD8">
        <w:rPr>
          <w:rFonts w:eastAsia="Times New Roman" w:asciiTheme="minorHAnsi" w:hAnsiTheme="minorHAnsi" w:cstheme="minorHAnsi"/>
          <w:b/>
          <w:color w:val="auto"/>
          <w:szCs w:val="20"/>
        </w:rPr>
        <w:t>.</w:t>
      </w:r>
    </w:p>
    <w:p w:rsidR="005D5925" w:rsidRPr="007D4776" w:rsidP="005D54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  <w:b/>
        </w:rPr>
        <w:t>Assunto:</w:t>
      </w:r>
      <w:r w:rsidRPr="00F23DDB">
        <w:rPr>
          <w:rFonts w:asciiTheme="minorHAnsi" w:hAnsiTheme="minorHAnsi" w:cstheme="minorHAnsi"/>
          <w:b/>
        </w:rPr>
        <w:t xml:space="preserve"> </w:t>
      </w:r>
      <w:r w:rsidRPr="00E42A2E">
        <w:rPr>
          <w:rFonts w:asciiTheme="minorHAnsi" w:hAnsiTheme="minorHAnsi" w:cstheme="minorHAnsi"/>
          <w:b/>
        </w:rPr>
        <w:t xml:space="preserve">Projeto de Lei nº </w:t>
      </w:r>
      <w:r w:rsidR="00064AD8">
        <w:rPr>
          <w:rFonts w:asciiTheme="minorHAnsi" w:hAnsiTheme="minorHAnsi" w:cstheme="minorHAnsi"/>
          <w:b/>
        </w:rPr>
        <w:t>0</w:t>
      </w:r>
      <w:r w:rsidR="005E4FCC">
        <w:rPr>
          <w:rFonts w:asciiTheme="minorHAnsi" w:hAnsiTheme="minorHAnsi" w:cstheme="minorHAnsi"/>
          <w:b/>
        </w:rPr>
        <w:t>99</w:t>
      </w:r>
      <w:r w:rsidRPr="00E42A2E">
        <w:rPr>
          <w:rFonts w:asciiTheme="minorHAnsi" w:hAnsiTheme="minorHAnsi" w:cstheme="minorHAnsi"/>
          <w:b/>
        </w:rPr>
        <w:t>/202</w:t>
      </w:r>
      <w:r w:rsidR="00334A0D">
        <w:rPr>
          <w:rFonts w:asciiTheme="minorHAnsi" w:hAnsiTheme="minorHAnsi" w:cstheme="minorHAnsi"/>
          <w:b/>
        </w:rPr>
        <w:t>4</w:t>
      </w:r>
      <w:r w:rsidRPr="00E42A2E">
        <w:rPr>
          <w:rFonts w:asciiTheme="minorHAnsi" w:hAnsiTheme="minorHAnsi" w:cstheme="minorHAnsi"/>
          <w:b/>
        </w:rPr>
        <w:t xml:space="preserve"> – </w:t>
      </w:r>
      <w:r w:rsidR="006E6FAA">
        <w:rPr>
          <w:rFonts w:asciiTheme="minorHAnsi" w:hAnsiTheme="minorHAnsi" w:cstheme="minorHAnsi"/>
          <w:b/>
        </w:rPr>
        <w:t>“</w:t>
      </w:r>
      <w:r w:rsidRPr="006E6FAA">
        <w:rPr>
          <w:rFonts w:asciiTheme="minorHAnsi" w:hAnsiTheme="minorHAnsi" w:cstheme="minorHAnsi"/>
          <w:i/>
        </w:rPr>
        <w:t>Dispõe sobre autorização para a</w:t>
      </w:r>
      <w:r w:rsidRPr="006E6FAA" w:rsidR="00064AD8">
        <w:rPr>
          <w:rFonts w:asciiTheme="minorHAnsi" w:hAnsiTheme="minorHAnsi" w:cstheme="minorHAnsi"/>
          <w:i/>
        </w:rPr>
        <w:t xml:space="preserve"> abertura de crédito adicional </w:t>
      </w:r>
      <w:r w:rsidRPr="006E6FAA" w:rsidR="0044394D">
        <w:rPr>
          <w:rFonts w:asciiTheme="minorHAnsi" w:hAnsiTheme="minorHAnsi" w:cstheme="minorHAnsi"/>
          <w:i/>
        </w:rPr>
        <w:t>suplementar</w:t>
      </w:r>
      <w:r w:rsidRPr="006E6FAA">
        <w:rPr>
          <w:rFonts w:asciiTheme="minorHAnsi" w:hAnsiTheme="minorHAnsi" w:cstheme="minorHAnsi"/>
          <w:i/>
        </w:rPr>
        <w:t xml:space="preserve">, até o valor de </w:t>
      </w:r>
      <w:r w:rsidRPr="006E6FAA" w:rsidR="00F23DDB">
        <w:rPr>
          <w:rFonts w:asciiTheme="minorHAnsi" w:hAnsiTheme="minorHAnsi" w:cstheme="minorHAnsi"/>
          <w:i/>
        </w:rPr>
        <w:t xml:space="preserve">R$ </w:t>
      </w:r>
      <w:r w:rsidR="005E4FCC">
        <w:rPr>
          <w:rFonts w:asciiTheme="minorHAnsi" w:hAnsiTheme="minorHAnsi" w:cstheme="minorHAnsi"/>
          <w:i/>
        </w:rPr>
        <w:t>649.398,16</w:t>
      </w:r>
      <w:r w:rsidR="006E6FAA">
        <w:rPr>
          <w:rFonts w:asciiTheme="minorHAnsi" w:hAnsiTheme="minorHAnsi" w:cstheme="minorHAnsi"/>
        </w:rPr>
        <w:t>”</w:t>
      </w:r>
      <w:r w:rsidRPr="007D4776">
        <w:rPr>
          <w:rFonts w:asciiTheme="minorHAnsi" w:hAnsiTheme="minorHAnsi" w:cstheme="minorHAnsi"/>
        </w:rPr>
        <w:t>.</w:t>
      </w:r>
    </w:p>
    <w:p w:rsidR="005D54F2" w:rsidRPr="004627C3" w:rsidP="005D54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42A2E">
        <w:rPr>
          <w:rFonts w:asciiTheme="minorHAnsi" w:hAnsiTheme="minorHAnsi" w:cstheme="minorHAnsi"/>
          <w:b/>
        </w:rPr>
        <w:t xml:space="preserve">Autoria do Poder Executivo </w:t>
      </w:r>
      <w:r w:rsidRPr="00E42A2E">
        <w:rPr>
          <w:rFonts w:asciiTheme="minorHAnsi" w:hAnsiTheme="minorHAnsi" w:cstheme="minorHAnsi"/>
          <w:b/>
        </w:rPr>
        <w:t xml:space="preserve">- Mensagem nº </w:t>
      </w:r>
      <w:r w:rsidR="005E4FCC">
        <w:rPr>
          <w:rFonts w:asciiTheme="minorHAnsi" w:hAnsiTheme="minorHAnsi" w:cstheme="minorHAnsi"/>
          <w:b/>
        </w:rPr>
        <w:t>54</w:t>
      </w:r>
      <w:r w:rsidRPr="00E42A2E">
        <w:rPr>
          <w:rFonts w:asciiTheme="minorHAnsi" w:hAnsiTheme="minorHAnsi" w:cstheme="minorHAnsi"/>
          <w:b/>
        </w:rPr>
        <w:t>/202</w:t>
      </w:r>
      <w:r w:rsidR="00935DCD">
        <w:rPr>
          <w:rFonts w:asciiTheme="minorHAnsi" w:hAnsiTheme="minorHAnsi" w:cstheme="minorHAnsi"/>
          <w:b/>
        </w:rPr>
        <w:t>4</w:t>
      </w:r>
      <w:r w:rsidRPr="00E42A2E">
        <w:rPr>
          <w:rFonts w:asciiTheme="minorHAnsi" w:hAnsiTheme="minorHAnsi" w:cstheme="minorHAnsi"/>
          <w:b/>
        </w:rPr>
        <w:t>.</w:t>
      </w:r>
    </w:p>
    <w:p w:rsidR="005D54F2" w:rsidP="005D54F2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7D4776" w:rsidRPr="004627C3" w:rsidP="005D54F2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5D54F2" w:rsidRPr="00E42A2E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>À Comissão de Justiça e Redação</w:t>
      </w:r>
      <w:r w:rsidR="00334A0D">
        <w:rPr>
          <w:rFonts w:asciiTheme="minorHAnsi" w:hAnsiTheme="minorHAnsi" w:cstheme="minorHAnsi"/>
          <w:b/>
          <w:color w:val="auto"/>
        </w:rPr>
        <w:t>,</w:t>
      </w:r>
    </w:p>
    <w:p w:rsidR="005D54F2" w:rsidRPr="00E42A2E" w:rsidP="005D54F2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="00064AD8">
        <w:rPr>
          <w:rFonts w:asciiTheme="minorHAnsi" w:hAnsiTheme="minorHAnsi" w:cstheme="minorHAnsi"/>
          <w:b/>
          <w:color w:val="auto"/>
        </w:rPr>
        <w:t>Gabriel Bueno</w:t>
      </w:r>
      <w:r w:rsidR="00334A0D">
        <w:rPr>
          <w:rFonts w:asciiTheme="minorHAnsi" w:hAnsiTheme="minorHAnsi" w:cstheme="minorHAnsi"/>
          <w:b/>
          <w:color w:val="auto"/>
        </w:rPr>
        <w:t>.</w:t>
      </w:r>
    </w:p>
    <w:p w:rsidR="00AA38F0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5D54F2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color w:val="auto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>Trata-se de parecer jurídico relativo ao projeto de lei em epígrafe de autoria da Prefeita que</w:t>
      </w:r>
      <w:r w:rsidRPr="00E42A2E">
        <w:rPr>
          <w:rFonts w:asciiTheme="minorHAnsi" w:hAnsiTheme="minorHAnsi" w:cstheme="minorHAnsi"/>
          <w:i/>
          <w:color w:val="auto"/>
        </w:rPr>
        <w:t xml:space="preserve"> “Dispõe sobre autorização para a abertura de crédito adicional </w:t>
      </w:r>
      <w:r w:rsidR="00935DCD">
        <w:rPr>
          <w:rFonts w:asciiTheme="minorHAnsi" w:hAnsiTheme="minorHAnsi" w:cstheme="minorHAnsi"/>
          <w:i/>
          <w:color w:val="auto"/>
        </w:rPr>
        <w:t>suplementar</w:t>
      </w:r>
      <w:r w:rsidRPr="00E42A2E">
        <w:rPr>
          <w:rFonts w:asciiTheme="minorHAnsi" w:hAnsiTheme="minorHAnsi" w:cstheme="minorHAnsi"/>
          <w:i/>
          <w:color w:val="auto"/>
        </w:rPr>
        <w:t xml:space="preserve">, </w:t>
      </w:r>
      <w:r w:rsidRPr="0009113E" w:rsidR="0009113E">
        <w:rPr>
          <w:rFonts w:asciiTheme="minorHAnsi" w:hAnsiTheme="minorHAnsi" w:cstheme="minorHAnsi"/>
          <w:i/>
          <w:color w:val="auto"/>
        </w:rPr>
        <w:t>até o valor de</w:t>
      </w:r>
      <w:r w:rsidR="007D4776">
        <w:rPr>
          <w:rFonts w:asciiTheme="minorHAnsi" w:hAnsiTheme="minorHAnsi" w:cstheme="minorHAnsi"/>
          <w:i/>
          <w:color w:val="auto"/>
        </w:rPr>
        <w:t xml:space="preserve"> </w:t>
      </w:r>
      <w:r w:rsidR="005E4FCC">
        <w:rPr>
          <w:rFonts w:asciiTheme="minorHAnsi" w:hAnsiTheme="minorHAnsi" w:cstheme="minorHAnsi"/>
          <w:i/>
          <w:color w:val="auto"/>
        </w:rPr>
        <w:t>649.398,16</w:t>
      </w:r>
      <w:r w:rsidR="000E65EF">
        <w:rPr>
          <w:rFonts w:asciiTheme="minorHAnsi" w:hAnsiTheme="minorHAnsi" w:cstheme="minorHAnsi"/>
          <w:i/>
        </w:rPr>
        <w:t>”</w:t>
      </w:r>
      <w:r w:rsidR="0009113E">
        <w:rPr>
          <w:rFonts w:asciiTheme="minorHAnsi" w:hAnsiTheme="minorHAnsi" w:cstheme="minorHAnsi"/>
          <w:i/>
          <w:color w:val="auto"/>
        </w:rPr>
        <w:t xml:space="preserve">, </w:t>
      </w:r>
      <w:r w:rsidRPr="007D4776" w:rsidR="007D4776">
        <w:rPr>
          <w:rFonts w:asciiTheme="minorHAnsi" w:hAnsiTheme="minorHAnsi" w:cstheme="minorHAnsi"/>
          <w:color w:val="auto"/>
        </w:rPr>
        <w:t xml:space="preserve">destinado </w:t>
      </w:r>
      <w:r w:rsidR="00064D4E">
        <w:rPr>
          <w:rFonts w:asciiTheme="minorHAnsi" w:hAnsiTheme="minorHAnsi" w:cstheme="minorHAnsi"/>
          <w:color w:val="auto"/>
        </w:rPr>
        <w:t>a suprir demandas da Secretaria de Saúde</w:t>
      </w:r>
      <w:r w:rsidRPr="00C95584" w:rsidR="00361DD5">
        <w:rPr>
          <w:rFonts w:asciiTheme="minorHAnsi" w:hAnsiTheme="minorHAnsi" w:cstheme="minorHAnsi"/>
          <w:color w:val="auto"/>
        </w:rPr>
        <w:t xml:space="preserve">, </w:t>
      </w:r>
      <w:r w:rsidR="009927FC">
        <w:rPr>
          <w:rFonts w:asciiTheme="minorHAnsi" w:hAnsiTheme="minorHAnsi" w:cstheme="minorHAnsi"/>
          <w:color w:val="auto"/>
        </w:rPr>
        <w:t xml:space="preserve">considerando </w:t>
      </w:r>
      <w:r w:rsidR="00457F4B">
        <w:rPr>
          <w:rFonts w:asciiTheme="minorHAnsi" w:hAnsiTheme="minorHAnsi" w:cstheme="minorHAnsi"/>
          <w:color w:val="auto"/>
        </w:rPr>
        <w:t>autorização para transposição e transferência conferida pela</w:t>
      </w:r>
      <w:r w:rsidR="009927FC">
        <w:rPr>
          <w:rFonts w:asciiTheme="minorHAnsi" w:hAnsiTheme="minorHAnsi" w:cstheme="minorHAnsi"/>
          <w:color w:val="auto"/>
        </w:rPr>
        <w:t xml:space="preserve"> Lei Complementar nº 205/2024, nos termos</w:t>
      </w:r>
      <w:r w:rsidR="00F7535E">
        <w:rPr>
          <w:rFonts w:asciiTheme="minorHAnsi" w:hAnsiTheme="minorHAnsi" w:cstheme="minorHAnsi"/>
          <w:color w:val="auto"/>
        </w:rPr>
        <w:t xml:space="preserve"> da mensagem do projeto:</w:t>
      </w:r>
    </w:p>
    <w:p w:rsidR="00F7535E" w:rsidRPr="00F7535E" w:rsidP="00F7535E">
      <w:pPr>
        <w:pStyle w:val="Default"/>
        <w:spacing w:after="240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F7535E">
        <w:rPr>
          <w:rFonts w:asciiTheme="minorHAnsi" w:hAnsiTheme="minorHAnsi" w:cstheme="minorHAnsi"/>
          <w:i/>
          <w:color w:val="auto"/>
          <w:sz w:val="22"/>
          <w:szCs w:val="22"/>
        </w:rPr>
        <w:t xml:space="preserve">“A presente propositura, decorrente do Memorando/CI nº 13.116/24-DFP/SF, visa obter autorização legislativa para a abertura de crédito adicional suplementar, até o valor de R$ 649.398,16 (seiscentos e quarenta e nove mil, trezentos e noventa e oito reais e dezesseis centavos), os recursos em questão incluem saldos financeiros de repasses efetuados até 31 de dezembro de 2022, que estão dispensados do cumprimento de seus objetos originais, e saldos financeiros transferidos durante os anos de 2023 e 2024, cujos objetos devem ser atendidos. </w:t>
      </w:r>
      <w:r w:rsidRPr="00F7535E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A autorização para a realização de atos de transposição e transferência foi concedida pela Lei Complementar Nº 205, de </w:t>
      </w:r>
      <w:r w:rsidRPr="00F7535E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9</w:t>
      </w:r>
      <w:r w:rsidRPr="00F7535E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 de maio de 2024</w:t>
      </w:r>
      <w:r w:rsidRPr="00F7535E">
        <w:rPr>
          <w:rFonts w:asciiTheme="minorHAnsi" w:hAnsiTheme="minorHAnsi" w:cstheme="minorHAnsi"/>
          <w:i/>
          <w:color w:val="auto"/>
          <w:sz w:val="22"/>
          <w:szCs w:val="22"/>
        </w:rPr>
        <w:t>, sendo necessária ainda a adequação orçamentária para suprir as necessidades gerais da Secretaria de Saúde”.</w:t>
      </w:r>
    </w:p>
    <w:p w:rsidR="005D54F2" w:rsidRPr="00E42A2E" w:rsidP="005D54F2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  <w:u w:val="single"/>
        </w:rPr>
      </w:pPr>
      <w:r w:rsidRPr="00E42A2E">
        <w:rPr>
          <w:rFonts w:asciiTheme="minorHAnsi" w:hAnsiTheme="minorHAnsi" w:cstheme="minorHAnsi"/>
          <w:color w:val="auto"/>
          <w:u w:val="single"/>
        </w:rPr>
        <w:t>Dada solicitação de parecer jurídico, em análise estritamente jurídica, não incidindo sobre quaisquer aspectos financeiros, orçamentários e contábeis, temos o que segue.</w:t>
      </w:r>
    </w:p>
    <w:p w:rsidR="00361DD5" w:rsidP="00AF7A9A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i/>
          <w:color w:val="auto"/>
        </w:rPr>
        <w:t>Ab initio</w:t>
      </w:r>
      <w:r w:rsidRPr="00E42A2E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  <w:r w:rsidR="00AF7A9A">
        <w:rPr>
          <w:rFonts w:asciiTheme="minorHAnsi" w:hAnsiTheme="minorHAnsi" w:cstheme="minorHAnsi"/>
          <w:color w:val="auto"/>
        </w:rPr>
        <w:t xml:space="preserve"> </w:t>
      </w:r>
    </w:p>
    <w:p w:rsidR="005D54F2" w:rsidRPr="00E42A2E" w:rsidP="00AF7A9A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</w:rPr>
        <w:t>Outrossim</w:t>
      </w:r>
      <w:r w:rsidRPr="00E42A2E">
        <w:rPr>
          <w:rFonts w:asciiTheme="minorHAnsi" w:hAnsiTheme="minorHAnsi" w:cstheme="minorHAnsi"/>
        </w:rPr>
        <w:t>, ressalta-se que a opinião jurídica exarada neste parecer não tem força vinculante, 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E42A2E">
        <w:rPr>
          <w:rFonts w:asciiTheme="minorHAnsi" w:hAnsiTheme="minorHAnsi" w:cstheme="minorHAnsi"/>
        </w:rPr>
        <w:t xml:space="preserve"> não fundamentando decisão proferida pelas Comissões e/ou nobres vereadores.</w:t>
      </w:r>
      <w:r w:rsidR="00AF7A9A">
        <w:rPr>
          <w:rFonts w:asciiTheme="minorHAnsi" w:hAnsiTheme="minorHAnsi" w:cstheme="minorHAnsi"/>
        </w:rPr>
        <w:t xml:space="preserve"> </w:t>
      </w:r>
    </w:p>
    <w:p w:rsidR="00C95584" w:rsidP="00C95584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Desta feita, considerando os aspectos constitucionais,</w:t>
      </w:r>
      <w:r>
        <w:rPr>
          <w:rFonts w:asciiTheme="minorHAnsi" w:hAnsiTheme="minorHAnsi" w:cstheme="minorHAnsi"/>
          <w:szCs w:val="24"/>
        </w:rPr>
        <w:t xml:space="preserve"> legais e jurídicos</w:t>
      </w:r>
      <w:r w:rsidRPr="00E42A2E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C95584" w:rsidRPr="00C95584" w:rsidP="00C95584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C121CA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C121CA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C95584" w:rsidRPr="007979E0" w:rsidP="00C95584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asciiTheme="minorHAnsi" w:hAnsiTheme="minorHAnsi" w:cstheme="minorHAnsi"/>
          <w:i/>
          <w:sz w:val="4"/>
          <w:szCs w:val="4"/>
        </w:rPr>
      </w:pPr>
    </w:p>
    <w:p w:rsidR="00C95584" w:rsidRPr="00C121CA" w:rsidP="00C95584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D54F2" w:rsidP="005D54F2">
      <w:pPr>
        <w:pStyle w:val="Default"/>
        <w:spacing w:after="300" w:line="360" w:lineRule="auto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 xml:space="preserve">No que tange à abertura de créditos adicionais, a Constituição Federal, no artigo 167, inciso V e a Constituição do Estado de São Paulo, no artigo 176, inciso V </w:t>
      </w:r>
      <w:r w:rsidRPr="00E42A2E">
        <w:rPr>
          <w:rFonts w:asciiTheme="minorHAnsi" w:hAnsiTheme="minorHAnsi" w:cstheme="minorHAnsi"/>
          <w:color w:val="auto"/>
          <w:u w:val="single"/>
        </w:rPr>
        <w:t>vedam a abertura de crédito suplementar ou especial sem prévia autorização legislativa e sem indicação dos recursos correspondentes</w:t>
      </w:r>
      <w:r w:rsidR="00F23DDB">
        <w:rPr>
          <w:rFonts w:asciiTheme="minorHAnsi" w:hAnsiTheme="minorHAnsi" w:cstheme="minorHAnsi"/>
          <w:color w:val="auto"/>
        </w:rPr>
        <w:t>: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9B3CE6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9B3CE6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VI - a transposição, o remanejamento ou a transferência de recursos de uma categoria de programação para outra ou de um órgão para outro, sem prévia autorização legislativa;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CC4534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C4534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VI - a transposição, o remanejamento ou a transferência de recursos de uma categoria de programação para outra ou de um órgão para outro, sem prévia autorização legislativa;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E42A2E">
        <w:rPr>
          <w:rFonts w:eastAsia="Calibri" w:asciiTheme="minorHAnsi" w:hAnsiTheme="minorHAnsi" w:cstheme="minorHAnsi"/>
          <w:szCs w:val="24"/>
        </w:rPr>
        <w:t xml:space="preserve">Do mesmo modo, a Lei Orgânica deste Município estabelece que a abertura de créditos adicionais </w:t>
      </w:r>
      <w:r w:rsidRPr="00E42A2E">
        <w:rPr>
          <w:rFonts w:eastAsia="Calibri" w:asciiTheme="minorHAnsi" w:hAnsiTheme="minorHAnsi" w:cstheme="minorHAnsi"/>
          <w:szCs w:val="24"/>
        </w:rPr>
        <w:t>exige</w:t>
      </w:r>
      <w:r w:rsidRPr="00E42A2E">
        <w:rPr>
          <w:rFonts w:eastAsia="Calibri" w:asciiTheme="minorHAnsi" w:hAnsiTheme="minorHAnsi" w:cstheme="minorHAnsi"/>
          <w:szCs w:val="24"/>
        </w:rPr>
        <w:t xml:space="preserve"> autorização legislativa, conforme artigos a seguir colacionados: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; 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(</w:t>
      </w:r>
      <w:r w:rsidRPr="00E42A2E">
        <w:rPr>
          <w:rFonts w:asciiTheme="minorHAnsi" w:hAnsiTheme="minorHAnsi" w:cstheme="minorHAnsi"/>
          <w:sz w:val="22"/>
          <w:szCs w:val="22"/>
        </w:rPr>
        <w:t>Grifo nosso).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064AD8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>Trata-se do exercício do controle financeiro-orçamentário pelo Legislativo em atinência ao sistema de freios e contrapesos que almeja preservar o equilíbrio necessário à realização do bem estar da coletividade.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 </w:t>
      </w:r>
      <w:r>
        <w:rPr>
          <w:rFonts w:asciiTheme="minorHAnsi" w:hAnsiTheme="minorHAnsi" w:cstheme="minorHAnsi"/>
          <w:szCs w:val="24"/>
          <w:lang w:val="pt-PT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 xml:space="preserve">Em seguimento, a </w:t>
      </w:r>
      <w:r w:rsidRPr="00E42A2E">
        <w:rPr>
          <w:rFonts w:asciiTheme="minorHAnsi" w:hAnsiTheme="minorHAnsi" w:cstheme="minorHAnsi"/>
          <w:szCs w:val="24"/>
          <w:u w:val="single"/>
          <w:lang w:val="pt-PT"/>
        </w:rPr>
        <w:t>iniciativa legislativa de projetos de lei que versem sobre a abertura de créditos adicionais é exclusiva do Chefe do Poder Executivo Municipal</w:t>
      </w:r>
      <w:r w:rsidRPr="00E42A2E">
        <w:rPr>
          <w:rFonts w:asciiTheme="minorHAnsi" w:hAnsiTheme="minorHAnsi" w:cstheme="minorHAnsi"/>
          <w:szCs w:val="24"/>
          <w:lang w:val="pt-PT"/>
        </w:rPr>
        <w:t>, uma vez que tal operação implica na alteração da peça orçamentária referente ao exercício financeiro em curso, conforme art. 48, inciso IV, da Lei Orgânica Municipal:</w:t>
      </w:r>
    </w:p>
    <w:p w:rsidR="005D54F2" w:rsidRPr="00E42A2E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5D54F2" w:rsidRPr="00E42A2E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DD6D04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IV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>. (Grifo nosso).</w:t>
      </w: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A abertura de créditos adicionais está prevista na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E42A2E">
        <w:rPr>
          <w:rFonts w:asciiTheme="minorHAnsi" w:hAnsiTheme="minorHAnsi" w:cstheme="minorHAnsi"/>
          <w:szCs w:val="24"/>
          <w:lang w:val="pt-PT"/>
        </w:rPr>
        <w:t xml:space="preserve">, que estatui as normas gerais de direito financeiro e assim conceitua: </w:t>
      </w:r>
    </w:p>
    <w:p w:rsidR="005D54F2" w:rsidP="00DD6D04">
      <w:pPr>
        <w:tabs>
          <w:tab w:val="left" w:pos="1701"/>
        </w:tabs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E42A2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 A propósito, o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 xml:space="preserve">artigo 41 </w:t>
      </w:r>
      <w:r w:rsidRPr="00E42A2E">
        <w:rPr>
          <w:rFonts w:asciiTheme="minorHAnsi" w:hAnsiTheme="minorHAnsi" w:cstheme="minorHAnsi"/>
          <w:szCs w:val="24"/>
          <w:lang w:val="pt-PT"/>
        </w:rPr>
        <w:t>da referida lei federal assim enuncia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5D54F2" w:rsidRPr="00E42A2E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Style w:val="apple-converted-space"/>
          <w:rFonts w:asciiTheme="minorHAnsi" w:hAnsiTheme="minorHAnsi" w:cstheme="minorHAnsi"/>
          <w:i/>
        </w:rPr>
        <w:t> </w:t>
      </w:r>
      <w:bookmarkStart w:id="0" w:name="art41"/>
      <w:bookmarkEnd w:id="0"/>
      <w:r w:rsidRPr="00E42A2E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1" w:name="art41i"/>
      <w:bookmarkEnd w:id="1"/>
    </w:p>
    <w:p w:rsidR="005D54F2" w:rsidRPr="00C95584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95584">
        <w:rPr>
          <w:rFonts w:asciiTheme="minorHAnsi" w:hAnsiTheme="minorHAnsi" w:cstheme="minorHAnsi"/>
          <w:b/>
          <w:i/>
          <w:sz w:val="22"/>
          <w:szCs w:val="22"/>
        </w:rPr>
        <w:t>I - suplementares, os destinados a reforço de dotação orçamentária;</w:t>
      </w:r>
    </w:p>
    <w:p w:rsidR="005D54F2" w:rsidRPr="00C95584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4AD8"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  <w:t> </w:t>
      </w:r>
      <w:bookmarkStart w:id="2" w:name="art41ii"/>
      <w:bookmarkEnd w:id="2"/>
      <w:r w:rsidRPr="00C95584">
        <w:rPr>
          <w:rFonts w:asciiTheme="minorHAnsi" w:hAnsiTheme="minorHAnsi" w:cstheme="minorHAnsi"/>
          <w:i/>
          <w:sz w:val="22"/>
          <w:szCs w:val="22"/>
        </w:rPr>
        <w:t>II - especiais, os destinados a despesas para as quais não haja dotação orçamentária específica;</w:t>
      </w:r>
    </w:p>
    <w:p w:rsidR="005D54F2" w:rsidRPr="00E42A2E" w:rsidP="00DD6D04">
      <w:pPr>
        <w:pStyle w:val="NormalWeb"/>
        <w:spacing w:before="0" w:beforeAutospacing="0" w:after="24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5D54F2" w:rsidRPr="00E42A2E" w:rsidP="005D54F2">
      <w:pPr>
        <w:pStyle w:val="BodyText2"/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E42A2E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5D54F2" w:rsidRPr="00E42A2E" w:rsidP="00F7535E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E42A2E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E42A2E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5D54F2" w:rsidRPr="00E42A2E" w:rsidP="00F7535E">
      <w:pPr>
        <w:tabs>
          <w:tab w:val="left" w:pos="3420"/>
        </w:tabs>
        <w:spacing w:after="12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§ 1º Consideram-se recursos para o fim deste artigo, desde que não comprometidos:</w:t>
      </w:r>
      <w:bookmarkStart w:id="3" w:name="art43§1i"/>
      <w:bookmarkEnd w:id="3"/>
    </w:p>
    <w:p w:rsidR="005D54F2" w:rsidRPr="00E42A2E" w:rsidP="00F7535E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7094B">
        <w:rPr>
          <w:rFonts w:asciiTheme="minorHAnsi" w:hAnsiTheme="minorHAnsi" w:cstheme="minorHAnsi"/>
          <w:i/>
          <w:sz w:val="22"/>
          <w:szCs w:val="22"/>
        </w:rPr>
        <w:t>I - o superávit financeiro apurado em balanço patrimonial do exercício anterior;</w:t>
      </w:r>
      <w:bookmarkStart w:id="4" w:name="art43§1ii"/>
      <w:bookmarkEnd w:id="4"/>
    </w:p>
    <w:p w:rsidR="005D54F2" w:rsidRPr="00E42A2E" w:rsidP="00F7535E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 - os provenientes de excesso de arrecadação;</w:t>
      </w:r>
      <w:bookmarkStart w:id="5" w:name="art43§1iii"/>
      <w:bookmarkEnd w:id="5"/>
    </w:p>
    <w:p w:rsidR="005D54F2" w:rsidRPr="00F7094B" w:rsidP="00F7535E">
      <w:pPr>
        <w:tabs>
          <w:tab w:val="left" w:pos="3420"/>
        </w:tabs>
        <w:spacing w:after="12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iCs/>
          <w:sz w:val="22"/>
          <w:szCs w:val="22"/>
        </w:rPr>
      </w:pPr>
      <w:r w:rsidRPr="00F7094B">
        <w:rPr>
          <w:rFonts w:asciiTheme="minorHAnsi" w:hAnsiTheme="minorHAnsi" w:cstheme="minorHAnsi"/>
          <w:b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F7094B">
        <w:rPr>
          <w:rFonts w:asciiTheme="minorHAnsi" w:hAnsiTheme="minorHAnsi" w:cstheme="minorHAnsi"/>
          <w:b/>
          <w:i/>
          <w:iCs/>
          <w:sz w:val="22"/>
          <w:szCs w:val="22"/>
        </w:rPr>
        <w:t>;</w:t>
      </w:r>
      <w:bookmarkStart w:id="6" w:name="art43§1iv"/>
      <w:bookmarkEnd w:id="6"/>
    </w:p>
    <w:p w:rsidR="005D54F2" w:rsidRPr="00E42A2E" w:rsidP="00F7535E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IV</w:t>
      </w:r>
      <w:r w:rsidRPr="00E42A2E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E42A2E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7" w:name="art43§2"/>
      <w:bookmarkEnd w:id="7"/>
    </w:p>
    <w:p w:rsidR="005D54F2" w:rsidRPr="00E42A2E" w:rsidP="00F7535E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7094B">
        <w:rPr>
          <w:rFonts w:asciiTheme="minorHAnsi" w:hAnsiTheme="minorHAnsi" w:cstheme="minorHAnsi"/>
          <w:i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</w:t>
      </w:r>
      <w:r w:rsidRPr="00E42A2E">
        <w:rPr>
          <w:rFonts w:asciiTheme="minorHAnsi" w:hAnsiTheme="minorHAnsi" w:cstheme="minorHAnsi"/>
          <w:i/>
          <w:sz w:val="22"/>
          <w:szCs w:val="22"/>
        </w:rPr>
        <w:t>.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8" w:name="art43§3"/>
      <w:bookmarkEnd w:id="8"/>
    </w:p>
    <w:p w:rsidR="005D54F2" w:rsidRPr="00E42A2E" w:rsidP="00F7535E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§ 3º Entende-se por excesso de arrecadação, para os fins deste artigo, o saldo positivo das diferenças acumuladas mês a mês entre a arrecadação prevista e a realizada, considerando-se, </w:t>
      </w:r>
      <w:r w:rsidRPr="00E42A2E">
        <w:rPr>
          <w:rFonts w:asciiTheme="minorHAnsi" w:hAnsiTheme="minorHAnsi" w:cstheme="minorHAnsi"/>
          <w:i/>
          <w:sz w:val="22"/>
          <w:szCs w:val="22"/>
        </w:rPr>
        <w:t>ainda, a tendência do exercício. 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E42A2E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E42A2E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7" w:anchor="art2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9" w:name="art43§4"/>
      <w:bookmarkEnd w:id="9"/>
    </w:p>
    <w:p w:rsidR="005D54F2" w:rsidP="00F7535E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E42A2E">
        <w:rPr>
          <w:rFonts w:asciiTheme="minorHAnsi" w:hAnsiTheme="minorHAnsi" w:cstheme="minorHAnsi"/>
          <w:b/>
          <w:i/>
          <w:szCs w:val="24"/>
        </w:rPr>
        <w:t>   </w:t>
      </w:r>
      <w:r w:rsidRPr="00E42A2E">
        <w:rPr>
          <w:rFonts w:asciiTheme="minorHAnsi" w:hAnsiTheme="minorHAnsi" w:cstheme="minorHAnsi"/>
          <w:b/>
          <w:i/>
          <w:szCs w:val="24"/>
        </w:rPr>
        <w:t>  </w:t>
      </w:r>
    </w:p>
    <w:p w:rsidR="00E53E13" w:rsidP="0009113E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Do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>art. 2º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do projeto consta que a cobertura do referido crédito adic</w:t>
      </w:r>
      <w:r w:rsidR="00780742">
        <w:rPr>
          <w:rFonts w:asciiTheme="minorHAnsi" w:hAnsiTheme="minorHAnsi" w:cstheme="minorHAnsi"/>
          <w:szCs w:val="24"/>
          <w:u w:val="single"/>
        </w:rPr>
        <w:t>ional suplementar far-se-á com recurso proveniente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</w:t>
      </w:r>
      <w:r w:rsidR="00780742">
        <w:rPr>
          <w:rFonts w:asciiTheme="minorHAnsi" w:hAnsiTheme="minorHAnsi" w:cstheme="minorHAnsi"/>
          <w:szCs w:val="24"/>
          <w:u w:val="single"/>
        </w:rPr>
        <w:t xml:space="preserve">da </w:t>
      </w:r>
      <w:r w:rsidRPr="00064D4E" w:rsidR="00780742">
        <w:rPr>
          <w:rFonts w:asciiTheme="minorHAnsi" w:hAnsiTheme="minorHAnsi" w:cstheme="minorHAnsi"/>
          <w:b/>
          <w:szCs w:val="24"/>
          <w:u w:val="single"/>
        </w:rPr>
        <w:t>anulação parcial</w:t>
      </w:r>
      <w:r w:rsidRPr="00064D4E" w:rsidR="00F7094B">
        <w:rPr>
          <w:rFonts w:asciiTheme="minorHAnsi" w:hAnsiTheme="minorHAnsi" w:cstheme="minorHAnsi"/>
          <w:b/>
          <w:szCs w:val="24"/>
          <w:u w:val="single"/>
        </w:rPr>
        <w:t xml:space="preserve"> da</w:t>
      </w:r>
      <w:r w:rsidRPr="00064D4E" w:rsidR="00780742">
        <w:rPr>
          <w:rFonts w:asciiTheme="minorHAnsi" w:hAnsiTheme="minorHAnsi" w:cstheme="minorHAnsi"/>
          <w:b/>
          <w:szCs w:val="24"/>
          <w:u w:val="single"/>
        </w:rPr>
        <w:t xml:space="preserve"> dotação que especifica</w:t>
      </w:r>
      <w:r w:rsidRPr="004627C3" w:rsidR="005D54F2">
        <w:rPr>
          <w:rFonts w:asciiTheme="minorHAnsi" w:hAnsiTheme="minorHAnsi" w:cstheme="minorHAnsi"/>
          <w:b/>
          <w:szCs w:val="24"/>
          <w:u w:val="single"/>
        </w:rPr>
        <w:t>,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com fundamento no artigo 43, § 1°, inciso </w:t>
      </w:r>
      <w:r w:rsidR="00780742">
        <w:rPr>
          <w:rFonts w:asciiTheme="minorHAnsi" w:hAnsiTheme="minorHAnsi" w:cstheme="minorHAnsi"/>
          <w:szCs w:val="24"/>
          <w:u w:val="single"/>
        </w:rPr>
        <w:t>II</w:t>
      </w:r>
      <w:r w:rsidRPr="00E42A2E" w:rsidR="005D54F2">
        <w:rPr>
          <w:rFonts w:asciiTheme="minorHAnsi" w:hAnsiTheme="minorHAnsi" w:cstheme="minorHAnsi"/>
          <w:szCs w:val="24"/>
          <w:u w:val="single"/>
        </w:rPr>
        <w:t>I, da Lei Federal n</w:t>
      </w:r>
      <w:r w:rsidR="00DA49DD">
        <w:rPr>
          <w:rFonts w:asciiTheme="minorHAnsi" w:hAnsiTheme="minorHAnsi" w:cstheme="minorHAnsi"/>
          <w:szCs w:val="24"/>
          <w:u w:val="single"/>
        </w:rPr>
        <w:t>° 4.320, de 17 de março de 1964</w:t>
      </w:r>
      <w:r>
        <w:rPr>
          <w:rFonts w:asciiTheme="minorHAnsi" w:hAnsiTheme="minorHAnsi" w:cstheme="minorHAnsi"/>
          <w:szCs w:val="24"/>
          <w:u w:val="single"/>
        </w:rPr>
        <w:t>.</w:t>
      </w:r>
      <w:r w:rsidRPr="00E53E13">
        <w:rPr>
          <w:rFonts w:asciiTheme="minorHAnsi" w:hAnsiTheme="minorHAnsi" w:cstheme="minorHAnsi"/>
          <w:szCs w:val="24"/>
        </w:rPr>
        <w:t xml:space="preserve"> </w:t>
      </w:r>
    </w:p>
    <w:p w:rsidR="005D54F2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Em âmbito municipal cumpre mencionar a Lei nº 6.136, de 25 de agosto de 2021, que dispõe sobre diretrizes a serem observadas quanto </w:t>
      </w:r>
      <w:r w:rsidRPr="00E42A2E" w:rsidR="00715ADB">
        <w:rPr>
          <w:rFonts w:asciiTheme="minorHAnsi" w:hAnsiTheme="minorHAnsi" w:cstheme="minorHAnsi"/>
          <w:szCs w:val="24"/>
        </w:rPr>
        <w:t>à</w:t>
      </w:r>
      <w:r w:rsidRPr="00E42A2E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C95584" w:rsidRPr="00C95584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4"/>
          <w:szCs w:val="4"/>
        </w:rPr>
      </w:pP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D54F2" w:rsidRPr="008348B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48BA">
        <w:rPr>
          <w:rFonts w:asciiTheme="minorHAnsi" w:hAnsiTheme="minorHAnsi" w:cstheme="minorHAnsi"/>
          <w:b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D54F2" w:rsidRPr="001F1B99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F1B99"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 w:rsidRPr="001F1B99">
        <w:rPr>
          <w:rFonts w:asciiTheme="minorHAnsi" w:hAnsiTheme="minorHAnsi" w:cstheme="minorHAnsi"/>
          <w:i/>
          <w:sz w:val="22"/>
          <w:szCs w:val="22"/>
        </w:rPr>
        <w:t>e</w:t>
      </w:r>
      <w:r w:rsidRPr="001F1B9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5D54F2" w:rsidRPr="00E42A2E" w:rsidP="00C95584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5D54F2" w:rsidRPr="00E42A2E" w:rsidP="00C95584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5D54F2" w:rsidRPr="00E42A2E" w:rsidP="00C95584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5D54F2" w:rsidRPr="00C95584" w:rsidP="005D54F2">
      <w:pPr>
        <w:pStyle w:val="BodyText"/>
        <w:spacing w:line="277" w:lineRule="auto"/>
        <w:jc w:val="both"/>
        <w:rPr>
          <w:rFonts w:asciiTheme="minorHAnsi" w:hAnsiTheme="minorHAnsi" w:cstheme="minorHAnsi"/>
          <w:sz w:val="4"/>
          <w:szCs w:val="4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</w:p>
    <w:p w:rsidR="00780742" w:rsidP="00780742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  <w:u w:val="single"/>
        </w:rPr>
      </w:pPr>
      <w:r w:rsidRPr="00780742">
        <w:rPr>
          <w:rFonts w:asciiTheme="minorHAnsi" w:hAnsiTheme="minorHAnsi" w:cstheme="minorHAnsi"/>
          <w:u w:val="single"/>
        </w:rPr>
        <w:t xml:space="preserve">Neste aspecto, </w:t>
      </w:r>
      <w:r w:rsidRPr="00780742">
        <w:rPr>
          <w:rFonts w:asciiTheme="minorHAnsi" w:hAnsiTheme="minorHAnsi" w:cstheme="minorHAnsi"/>
          <w:u w:val="single"/>
        </w:rPr>
        <w:t>consta do projeto a especificação detalhada da</w:t>
      </w:r>
      <w:r w:rsidR="007D4776">
        <w:rPr>
          <w:rFonts w:asciiTheme="minorHAnsi" w:hAnsiTheme="minorHAnsi" w:cstheme="minorHAnsi"/>
          <w:u w:val="single"/>
        </w:rPr>
        <w:t>s dotações que estão</w:t>
      </w:r>
      <w:r w:rsidRPr="00780742">
        <w:rPr>
          <w:rFonts w:asciiTheme="minorHAnsi" w:hAnsiTheme="minorHAnsi" w:cstheme="minorHAnsi"/>
          <w:u w:val="single"/>
        </w:rPr>
        <w:t xml:space="preserve"> sendo parcialmente anulada</w:t>
      </w:r>
      <w:r w:rsidR="007D4776">
        <w:rPr>
          <w:rFonts w:asciiTheme="minorHAnsi" w:hAnsiTheme="minorHAnsi" w:cstheme="minorHAnsi"/>
          <w:u w:val="single"/>
        </w:rPr>
        <w:t>s</w:t>
      </w:r>
      <w:r w:rsidRPr="00780742">
        <w:rPr>
          <w:rFonts w:asciiTheme="minorHAnsi" w:hAnsiTheme="minorHAnsi" w:cstheme="minorHAnsi"/>
          <w:u w:val="single"/>
        </w:rPr>
        <w:t>, bem como o</w:t>
      </w:r>
      <w:r w:rsidR="007D4776">
        <w:rPr>
          <w:rFonts w:asciiTheme="minorHAnsi" w:hAnsiTheme="minorHAnsi" w:cstheme="minorHAnsi"/>
          <w:u w:val="single"/>
        </w:rPr>
        <w:t>s</w:t>
      </w:r>
      <w:r w:rsidRPr="00780742">
        <w:rPr>
          <w:rFonts w:asciiTheme="minorHAnsi" w:hAnsiTheme="minorHAnsi" w:cstheme="minorHAnsi"/>
          <w:u w:val="single"/>
        </w:rPr>
        <w:t xml:space="preserve"> valor</w:t>
      </w:r>
      <w:r w:rsidR="007D4776">
        <w:rPr>
          <w:rFonts w:asciiTheme="minorHAnsi" w:hAnsiTheme="minorHAnsi" w:cstheme="minorHAnsi"/>
          <w:u w:val="single"/>
        </w:rPr>
        <w:t>es</w:t>
      </w:r>
      <w:r w:rsidRPr="00780742">
        <w:rPr>
          <w:rFonts w:asciiTheme="minorHAnsi" w:hAnsiTheme="minorHAnsi" w:cstheme="minorHAnsi"/>
          <w:u w:val="single"/>
        </w:rPr>
        <w:t xml:space="preserve"> retirado</w:t>
      </w:r>
      <w:r w:rsidR="007D4776">
        <w:rPr>
          <w:rFonts w:asciiTheme="minorHAnsi" w:hAnsiTheme="minorHAnsi" w:cstheme="minorHAnsi"/>
          <w:u w:val="single"/>
        </w:rPr>
        <w:t>s</w:t>
      </w:r>
      <w:r w:rsidRPr="00780742">
        <w:rPr>
          <w:rFonts w:asciiTheme="minorHAnsi" w:hAnsiTheme="minorHAnsi" w:cstheme="minorHAnsi"/>
          <w:u w:val="single"/>
        </w:rPr>
        <w:t xml:space="preserve"> e sua respectiva destinação, atendendo ao disposto na legislação municipal supracitada</w:t>
      </w:r>
      <w:r>
        <w:rPr>
          <w:rFonts w:asciiTheme="minorHAnsi" w:hAnsiTheme="minorHAnsi" w:cstheme="minorHAnsi"/>
          <w:u w:val="single"/>
        </w:rPr>
        <w:t>.</w:t>
      </w:r>
    </w:p>
    <w:p w:rsidR="005D54F2" w:rsidRPr="00E42A2E" w:rsidP="005D54F2">
      <w:pPr>
        <w:pStyle w:val="BodyText"/>
        <w:spacing w:after="240"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No concernente ao quórum de votação deverá ser observado o disposto no art. 159 do Regimento Interno:</w:t>
      </w:r>
    </w:p>
    <w:p w:rsidR="005D54F2" w:rsidP="007D4776">
      <w:pPr>
        <w:pStyle w:val="NormalWeb"/>
        <w:spacing w:before="0" w:beforeAutospacing="0" w:after="0" w:afterAutospacing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E42A2E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780742" w:rsidRPr="00E42A2E" w:rsidP="00C95584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5D54F2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5D54F2" w:rsidRPr="00E42A2E" w:rsidP="005D54F2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 xml:space="preserve"> Ante o exposto, sob o aspecto estritamente juríd</w:t>
      </w:r>
      <w:bookmarkStart w:id="10" w:name="_GoBack"/>
      <w:bookmarkEnd w:id="10"/>
      <w:r w:rsidRPr="00E42A2E">
        <w:rPr>
          <w:rFonts w:asciiTheme="minorHAnsi" w:hAnsiTheme="minorHAnsi" w:cstheme="minorHAnsi"/>
        </w:rPr>
        <w:t xml:space="preserve">ico, </w:t>
      </w:r>
      <w:r w:rsidR="00DA1392">
        <w:rPr>
          <w:rFonts w:asciiTheme="minorHAnsi" w:hAnsiTheme="minorHAnsi" w:cstheme="minorHAnsi"/>
        </w:rPr>
        <w:t>opinamos pela</w:t>
      </w:r>
      <w:r w:rsidRPr="00E42A2E">
        <w:rPr>
          <w:rFonts w:asciiTheme="minorHAnsi" w:hAnsiTheme="minorHAnsi" w:cstheme="minorHAnsi"/>
        </w:rPr>
        <w:t xml:space="preserve"> constitucionalidade</w:t>
      </w:r>
      <w:r w:rsidR="00DA1392">
        <w:rPr>
          <w:rFonts w:asciiTheme="minorHAnsi" w:hAnsiTheme="minorHAnsi" w:cstheme="minorHAnsi"/>
        </w:rPr>
        <w:t xml:space="preserve"> e legalidade do projeto</w:t>
      </w:r>
      <w:r w:rsidRPr="007F0D88" w:rsidR="00DA1392">
        <w:rPr>
          <w:rFonts w:asciiTheme="minorHAnsi" w:hAnsiTheme="minorHAnsi" w:cstheme="minorHAnsi"/>
        </w:rPr>
        <w:t>.</w:t>
      </w:r>
      <w:r w:rsidR="00DA1392">
        <w:rPr>
          <w:rFonts w:asciiTheme="minorHAnsi" w:hAnsiTheme="minorHAnsi" w:cstheme="minorHAnsi"/>
        </w:rPr>
        <w:t xml:space="preserve"> </w:t>
      </w:r>
      <w:r w:rsidRPr="00E42A2E">
        <w:rPr>
          <w:rFonts w:asciiTheme="minorHAnsi" w:hAnsiTheme="minorHAnsi" w:cstheme="minorHAnsi"/>
        </w:rPr>
        <w:t>Com relação aos aspectos financeiro, orçamentário e contábil, nos termos do art. 39, do Regimento Interno incumbe à Comissão de Finanças e Orçamento a emissão de parecer. No mérito, o Plenário é soberano.</w:t>
      </w:r>
    </w:p>
    <w:p w:rsidR="005D54F2" w:rsidRPr="00E42A2E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  <w:t>É o parecer.</w:t>
      </w:r>
    </w:p>
    <w:p w:rsidR="005D54F2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53E13">
        <w:rPr>
          <w:rFonts w:asciiTheme="minorHAnsi" w:hAnsiTheme="minorHAnsi" w:cstheme="minorHAnsi"/>
          <w:szCs w:val="24"/>
        </w:rPr>
        <w:tab/>
      </w:r>
      <w:r w:rsidRPr="00F7535E">
        <w:rPr>
          <w:rFonts w:asciiTheme="minorHAnsi" w:hAnsiTheme="minorHAnsi" w:cstheme="minorHAnsi"/>
          <w:szCs w:val="24"/>
        </w:rPr>
        <w:t xml:space="preserve">Procuradoria, </w:t>
      </w:r>
      <w:r w:rsidRPr="00F7535E" w:rsidR="00F7535E">
        <w:rPr>
          <w:rFonts w:asciiTheme="minorHAnsi" w:hAnsiTheme="minorHAnsi" w:cstheme="minorHAnsi"/>
          <w:szCs w:val="24"/>
        </w:rPr>
        <w:t>31</w:t>
      </w:r>
      <w:r w:rsidRPr="00F7535E" w:rsidR="00E53E13">
        <w:rPr>
          <w:rFonts w:asciiTheme="minorHAnsi" w:hAnsiTheme="minorHAnsi" w:cstheme="minorHAnsi"/>
          <w:szCs w:val="24"/>
        </w:rPr>
        <w:t xml:space="preserve"> </w:t>
      </w:r>
      <w:r w:rsidRPr="00F7535E">
        <w:rPr>
          <w:rFonts w:asciiTheme="minorHAnsi" w:hAnsiTheme="minorHAnsi" w:cstheme="minorHAnsi"/>
          <w:szCs w:val="24"/>
        </w:rPr>
        <w:t xml:space="preserve">de </w:t>
      </w:r>
      <w:r w:rsidRPr="00F7535E" w:rsidR="005E4FCC">
        <w:rPr>
          <w:rFonts w:asciiTheme="minorHAnsi" w:hAnsiTheme="minorHAnsi" w:cstheme="minorHAnsi"/>
          <w:szCs w:val="24"/>
        </w:rPr>
        <w:t>outubro</w:t>
      </w:r>
      <w:r w:rsidRPr="00F7535E">
        <w:rPr>
          <w:rFonts w:asciiTheme="minorHAnsi" w:hAnsiTheme="minorHAnsi" w:cstheme="minorHAnsi"/>
          <w:szCs w:val="24"/>
        </w:rPr>
        <w:t xml:space="preserve"> de 202</w:t>
      </w:r>
      <w:r w:rsidRPr="00F7535E" w:rsidR="00497088">
        <w:rPr>
          <w:rFonts w:asciiTheme="minorHAnsi" w:hAnsiTheme="minorHAnsi" w:cstheme="minorHAnsi"/>
          <w:szCs w:val="24"/>
        </w:rPr>
        <w:t>4</w:t>
      </w:r>
      <w:r w:rsidRPr="00F7535E">
        <w:rPr>
          <w:rFonts w:asciiTheme="minorHAnsi" w:hAnsiTheme="minorHAnsi" w:cstheme="minorHAnsi"/>
          <w:szCs w:val="24"/>
        </w:rPr>
        <w:t>.</w:t>
      </w:r>
    </w:p>
    <w:p w:rsidR="00DC370E" w:rsidRPr="0096162A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5D54F2" w:rsidRPr="0096162A" w:rsidP="00DC370E">
      <w:pPr>
        <w:pStyle w:val="BodyText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DC370E" w:rsidRPr="00BC24F1" w:rsidP="00DC370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Rosemeire de Souza Cardoso Barbosa                        </w:t>
      </w:r>
      <w:r w:rsidR="00B40A7D">
        <w:rPr>
          <w:rFonts w:asciiTheme="minorHAnsi" w:hAnsiTheme="minorHAnsi" w:cstheme="minorHAnsi"/>
          <w:b/>
          <w:szCs w:val="24"/>
        </w:rPr>
        <w:t xml:space="preserve">  </w:t>
      </w:r>
      <w:r w:rsidRPr="00BC24F1">
        <w:rPr>
          <w:rFonts w:asciiTheme="minorHAnsi" w:hAnsiTheme="minorHAnsi" w:cstheme="minorHAnsi"/>
          <w:b/>
          <w:szCs w:val="24"/>
        </w:rPr>
        <w:t xml:space="preserve">  Tiago Fadel Malghosian</w:t>
      </w:r>
    </w:p>
    <w:p w:rsidR="00DC370E" w:rsidRPr="00BC24F1" w:rsidP="00DC370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     </w:t>
      </w:r>
      <w:r>
        <w:rPr>
          <w:rFonts w:asciiTheme="minorHAnsi" w:hAnsiTheme="minorHAnsi" w:cstheme="minorHAnsi"/>
          <w:b/>
          <w:szCs w:val="24"/>
        </w:rPr>
        <w:t xml:space="preserve">     </w:t>
      </w:r>
      <w:r w:rsidRPr="00BC24F1">
        <w:rPr>
          <w:rFonts w:asciiTheme="minorHAnsi" w:hAnsiTheme="minorHAnsi" w:cstheme="minorHAnsi"/>
          <w:b/>
          <w:szCs w:val="24"/>
        </w:rPr>
        <w:t>Procuradora - OAB/SP 308.298                               Procurador - OAB/SP 319.159</w:t>
      </w:r>
    </w:p>
    <w:p w:rsidR="00387C85" w:rsidP="00DC370E">
      <w:pPr>
        <w:pStyle w:val="BodyText"/>
        <w:spacing w:after="0" w:line="240" w:lineRule="auto"/>
        <w:ind w:firstLine="709"/>
      </w:pPr>
      <w:r>
        <w:rPr>
          <w:rFonts w:asciiTheme="minorHAnsi" w:hAnsiTheme="minorHAnsi" w:cstheme="minorHAnsi"/>
          <w:b/>
          <w:szCs w:val="24"/>
        </w:rPr>
        <w:t xml:space="preserve">    </w:t>
      </w:r>
      <w:r w:rsidRPr="00BC24F1">
        <w:rPr>
          <w:rFonts w:asciiTheme="minorHAnsi" w:hAnsiTheme="minorHAnsi" w:cstheme="minorHAnsi"/>
          <w:b/>
          <w:szCs w:val="24"/>
        </w:rPr>
        <w:t xml:space="preserve"> Assinatura eletrônica             </w:t>
      </w:r>
      <w:r>
        <w:rPr>
          <w:rFonts w:asciiTheme="minorHAnsi" w:hAnsiTheme="minorHAnsi" w:cstheme="minorHAnsi"/>
          <w:b/>
          <w:szCs w:val="24"/>
        </w:rPr>
        <w:t xml:space="preserve">                                      </w:t>
      </w:r>
      <w:r w:rsidRPr="00BC24F1">
        <w:rPr>
          <w:rFonts w:asciiTheme="minorHAnsi" w:hAnsiTheme="minorHAnsi" w:cstheme="minorHAnsi"/>
          <w:b/>
          <w:szCs w:val="24"/>
        </w:rPr>
        <w:t>Assinatura eletrônica</w:t>
      </w:r>
    </w:p>
    <w:sectPr w:rsidSect="00361DD5">
      <w:headerReference w:type="default" r:id="rId8"/>
      <w:footerReference w:type="default" r:id="rId9"/>
      <w:pgSz w:w="11906" w:h="16838"/>
      <w:pgMar w:top="266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5D5925" w:rsidP="005D5925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5D5925" w:rsidP="00361DD5">
                    <w:pPr>
                      <w:pStyle w:val="Footer"/>
                      <w:ind w:left="-1985" w:right="-313"/>
                      <w:jc w:val="center"/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</w:sdtContent>
              </w:sdt>
            </w:sdtContent>
          </w:sdt>
          <w:p w:rsidR="005D5925" w:rsidP="005D5925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F0D88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F0D88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D5925">
      <w:pPr>
        <w:spacing w:after="0" w:line="240" w:lineRule="auto"/>
      </w:pPr>
      <w:r>
        <w:separator/>
      </w:r>
    </w:p>
  </w:footnote>
  <w:footnote w:type="continuationSeparator" w:id="1">
    <w:p w:rsidR="005D5925">
      <w:pPr>
        <w:spacing w:after="0" w:line="240" w:lineRule="auto"/>
      </w:pPr>
      <w:r>
        <w:continuationSeparator/>
      </w:r>
    </w:p>
  </w:footnote>
  <w:footnote w:id="2">
    <w:p w:rsidR="005E4FCC" w:rsidRPr="00361DD5" w:rsidP="005E4FCC">
      <w:pPr>
        <w:pStyle w:val="Default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361DD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61DD5">
        <w:rPr>
          <w:rFonts w:asciiTheme="minorHAnsi" w:hAnsiTheme="minorHAnsi" w:cstheme="minorHAnsi"/>
          <w:sz w:val="18"/>
          <w:szCs w:val="18"/>
        </w:rPr>
        <w:t xml:space="preserve"> </w:t>
      </w:r>
      <w:r w:rsidRPr="005E4FCC">
        <w:rPr>
          <w:rFonts w:asciiTheme="minorHAnsi" w:hAnsiTheme="minorHAnsi" w:cstheme="minorHAnsi"/>
          <w:i/>
          <w:color w:val="auto"/>
          <w:sz w:val="18"/>
          <w:szCs w:val="18"/>
        </w:rPr>
        <w:t>Nesse sentido é o entendimento do C. Supremo Tribunal Federal: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>ex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>oficio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5E4FCC" w:rsidP="005E4FC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925" w:rsidP="005D5925">
    <w:pPr>
      <w:pStyle w:val="Header"/>
      <w:jc w:val="center"/>
      <w:rPr>
        <w:b/>
        <w:sz w:val="26"/>
        <w:lang w:val="pt-PT"/>
      </w:rPr>
    </w:pPr>
  </w:p>
  <w:p w:rsidR="005D5925" w:rsidP="005D5925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925" w:rsidP="005D59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0381428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312007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7.9pt" o:oleicon="f" o:ole="">
                                <v:imagedata r:id="rId2" o:title=""/>
                              </v:shape>
                              <o:OLEObject Type="Embed" ProgID="MSPhotoEd.3" ShapeID="_x0000_i2051" DrawAspect="Content" ObjectID="_179188124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D5925" w:rsidP="005D5925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430771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70124018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5D5925" w:rsidP="005D5925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5D5925" w:rsidP="005D5925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5D5925" w:rsidP="005D5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2"/>
    <w:rsid w:val="00050B31"/>
    <w:rsid w:val="00064AD8"/>
    <w:rsid w:val="00064D4E"/>
    <w:rsid w:val="0009113E"/>
    <w:rsid w:val="000B4405"/>
    <w:rsid w:val="000C48B2"/>
    <w:rsid w:val="000E65EF"/>
    <w:rsid w:val="001054C4"/>
    <w:rsid w:val="00161626"/>
    <w:rsid w:val="00172937"/>
    <w:rsid w:val="00183CCC"/>
    <w:rsid w:val="001E6901"/>
    <w:rsid w:val="001F1B99"/>
    <w:rsid w:val="002C75CE"/>
    <w:rsid w:val="00334A0D"/>
    <w:rsid w:val="00340E43"/>
    <w:rsid w:val="00361DD5"/>
    <w:rsid w:val="00387C85"/>
    <w:rsid w:val="003F5967"/>
    <w:rsid w:val="0044394D"/>
    <w:rsid w:val="00457F4B"/>
    <w:rsid w:val="004627C3"/>
    <w:rsid w:val="0048369E"/>
    <w:rsid w:val="00497088"/>
    <w:rsid w:val="004A1DFE"/>
    <w:rsid w:val="005D54F2"/>
    <w:rsid w:val="005D5925"/>
    <w:rsid w:val="005E4C76"/>
    <w:rsid w:val="005E4FCC"/>
    <w:rsid w:val="006E6FAA"/>
    <w:rsid w:val="00715ADB"/>
    <w:rsid w:val="0075196B"/>
    <w:rsid w:val="00770578"/>
    <w:rsid w:val="00780742"/>
    <w:rsid w:val="007864AB"/>
    <w:rsid w:val="007979E0"/>
    <w:rsid w:val="007A6BCE"/>
    <w:rsid w:val="007B4D1C"/>
    <w:rsid w:val="007B54FC"/>
    <w:rsid w:val="007C2671"/>
    <w:rsid w:val="007D4776"/>
    <w:rsid w:val="007F0D88"/>
    <w:rsid w:val="007F53BA"/>
    <w:rsid w:val="008026A8"/>
    <w:rsid w:val="00806C10"/>
    <w:rsid w:val="008228F5"/>
    <w:rsid w:val="00832110"/>
    <w:rsid w:val="008348BA"/>
    <w:rsid w:val="008932D5"/>
    <w:rsid w:val="00916CF0"/>
    <w:rsid w:val="00935DCD"/>
    <w:rsid w:val="00957DD4"/>
    <w:rsid w:val="0096162A"/>
    <w:rsid w:val="009927FC"/>
    <w:rsid w:val="009B3CE6"/>
    <w:rsid w:val="009C58BD"/>
    <w:rsid w:val="00AA38F0"/>
    <w:rsid w:val="00AC7AB7"/>
    <w:rsid w:val="00AF7A9A"/>
    <w:rsid w:val="00B40A7D"/>
    <w:rsid w:val="00B40AD8"/>
    <w:rsid w:val="00B97636"/>
    <w:rsid w:val="00BC24F1"/>
    <w:rsid w:val="00C121CA"/>
    <w:rsid w:val="00C95584"/>
    <w:rsid w:val="00CC4534"/>
    <w:rsid w:val="00D06A92"/>
    <w:rsid w:val="00D10537"/>
    <w:rsid w:val="00D7043A"/>
    <w:rsid w:val="00DA1392"/>
    <w:rsid w:val="00DA49DD"/>
    <w:rsid w:val="00DB64DF"/>
    <w:rsid w:val="00DC370E"/>
    <w:rsid w:val="00DD6D04"/>
    <w:rsid w:val="00E2285D"/>
    <w:rsid w:val="00E42A2E"/>
    <w:rsid w:val="00E53E13"/>
    <w:rsid w:val="00E74A27"/>
    <w:rsid w:val="00F13FDF"/>
    <w:rsid w:val="00F23DDB"/>
    <w:rsid w:val="00F53BEF"/>
    <w:rsid w:val="00F7094B"/>
    <w:rsid w:val="00F7535E"/>
    <w:rsid w:val="00FA647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54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5D54F2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5D54F2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5D5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5D54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D54F2"/>
  </w:style>
  <w:style w:type="paragraph" w:styleId="Header">
    <w:name w:val="header"/>
    <w:basedOn w:val="Normal"/>
    <w:link w:val="CabealhoChar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D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D54F2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F7A9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F7A9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F7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leis/l4320.htm" TargetMode="External" /><Relationship Id="rId7" Type="http://schemas.openxmlformats.org/officeDocument/2006/relationships/hyperlink" Target="http://www.planalto.gov.br/ccivil_03/leis/1970-1979/L6343.htm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1E92-5B8D-48CA-928F-116F0CD4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1817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16</cp:revision>
  <dcterms:created xsi:type="dcterms:W3CDTF">2024-10-29T19:44:00Z</dcterms:created>
  <dcterms:modified xsi:type="dcterms:W3CDTF">2024-10-31T15:01:00Z</dcterms:modified>
</cp:coreProperties>
</file>