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6E4C" w:rsidRPr="009431CA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9431CA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1A121A">
        <w:rPr>
          <w:rFonts w:asciiTheme="minorHAnsi" w:hAnsiTheme="minorHAnsi" w:cstheme="minorHAnsi"/>
          <w:b/>
          <w:color w:val="auto"/>
        </w:rPr>
        <w:t>239</w:t>
      </w:r>
      <w:r w:rsidR="00A118FC">
        <w:rPr>
          <w:rFonts w:asciiTheme="minorHAnsi" w:hAnsiTheme="minorHAnsi" w:cstheme="minorHAnsi"/>
          <w:b/>
          <w:color w:val="auto"/>
        </w:rPr>
        <w:t>/2024</w:t>
      </w:r>
      <w:r w:rsidR="00615DC2">
        <w:rPr>
          <w:rFonts w:asciiTheme="minorHAnsi" w:hAnsiTheme="minorHAnsi" w:cstheme="minorHAnsi"/>
          <w:b/>
          <w:color w:val="auto"/>
        </w:rPr>
        <w:t>.</w:t>
      </w:r>
    </w:p>
    <w:p w:rsidR="00A118FC" w:rsidRPr="00A118FC" w:rsidP="00806E4C">
      <w:pPr>
        <w:jc w:val="both"/>
        <w:rPr>
          <w:rFonts w:asciiTheme="minorHAnsi" w:hAnsiTheme="minorHAnsi" w:cstheme="minorHAnsi"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>
        <w:rPr>
          <w:rFonts w:asciiTheme="minorHAnsi" w:hAnsiTheme="minorHAnsi" w:cstheme="minorHAnsi"/>
          <w:b/>
          <w:bCs/>
          <w:szCs w:val="24"/>
        </w:rPr>
        <w:t>86</w:t>
      </w:r>
      <w:r w:rsidRPr="00D33B2B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</w:t>
      </w:r>
      <w:r>
        <w:rPr>
          <w:rFonts w:asciiTheme="minorHAnsi" w:hAnsiTheme="minorHAnsi" w:cstheme="minorHAnsi"/>
          <w:b/>
          <w:bCs/>
          <w:szCs w:val="24"/>
        </w:rPr>
        <w:t>4</w:t>
      </w:r>
      <w:r w:rsidRPr="00D33B2B">
        <w:rPr>
          <w:rFonts w:asciiTheme="minorHAnsi" w:hAnsiTheme="minorHAnsi" w:cstheme="minorHAnsi"/>
          <w:b/>
          <w:bCs/>
          <w:szCs w:val="24"/>
        </w:rPr>
        <w:t>–</w:t>
      </w:r>
      <w:r w:rsidR="00C76E2F">
        <w:rPr>
          <w:rFonts w:asciiTheme="minorHAnsi" w:hAnsiTheme="minorHAnsi" w:cstheme="minorHAnsi"/>
          <w:b/>
          <w:bCs/>
          <w:szCs w:val="24"/>
        </w:rPr>
        <w:t xml:space="preserve"> </w:t>
      </w:r>
      <w:r w:rsidRPr="00A118FC">
        <w:rPr>
          <w:rFonts w:asciiTheme="minorHAnsi" w:hAnsiTheme="minorHAnsi" w:cstheme="minorHAnsi"/>
          <w:b/>
          <w:bCs/>
          <w:szCs w:val="24"/>
        </w:rPr>
        <w:t>Institui o “</w:t>
      </w:r>
      <w:r w:rsidRPr="00DF1469">
        <w:rPr>
          <w:rFonts w:asciiTheme="minorHAnsi" w:hAnsiTheme="minorHAnsi" w:cstheme="minorHAnsi"/>
          <w:b/>
          <w:bCs/>
          <w:i/>
          <w:szCs w:val="24"/>
        </w:rPr>
        <w:t>Dia Municipal de Defesa dos Direitos da Pessoa com epilepsia</w:t>
      </w:r>
      <w:r w:rsidRPr="00A118FC">
        <w:rPr>
          <w:rFonts w:asciiTheme="minorHAnsi" w:hAnsiTheme="minorHAnsi" w:cstheme="minorHAnsi"/>
          <w:b/>
          <w:bCs/>
          <w:szCs w:val="24"/>
        </w:rPr>
        <w:t>”</w:t>
      </w:r>
      <w:r>
        <w:rPr>
          <w:rFonts w:asciiTheme="minorHAnsi" w:hAnsiTheme="minorHAnsi" w:cstheme="minorHAnsi"/>
          <w:b/>
          <w:bCs/>
          <w:szCs w:val="24"/>
        </w:rPr>
        <w:t>.</w:t>
      </w:r>
    </w:p>
    <w:p w:rsidR="00806E4C" w:rsidRPr="00806E4C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>Autoria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806E4C">
        <w:rPr>
          <w:rFonts w:asciiTheme="minorHAnsi" w:hAnsiTheme="minorHAnsi" w:cstheme="minorHAnsi"/>
          <w:bCs/>
          <w:szCs w:val="24"/>
        </w:rPr>
        <w:t xml:space="preserve">Vereador </w:t>
      </w:r>
      <w:r w:rsidR="00A118FC">
        <w:rPr>
          <w:rFonts w:asciiTheme="minorHAnsi" w:hAnsiTheme="minorHAnsi" w:cstheme="minorHAnsi"/>
          <w:bCs/>
          <w:szCs w:val="24"/>
        </w:rPr>
        <w:t>Alécio Cau.</w:t>
      </w: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806E4C" w:rsidRPr="00BF4D8D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06E4C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À Comissão de Justiça e Redação</w:t>
      </w:r>
    </w:p>
    <w:p w:rsidR="00806E4C" w:rsidRPr="008A7563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Exmo. Presidente Vereador Gabriel Bueno</w:t>
      </w:r>
    </w:p>
    <w:p w:rsidR="00806E4C" w:rsidRPr="00BF4D8D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06E4C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Cs w:val="24"/>
        </w:rPr>
      </w:pPr>
    </w:p>
    <w:p w:rsidR="00A118FC" w:rsidRPr="00A118FC" w:rsidP="00A118F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</w:rPr>
      </w:pPr>
      <w:r w:rsidRPr="00D33B2B">
        <w:rPr>
          <w:rFonts w:asciiTheme="minorHAnsi" w:hAnsiTheme="minorHAnsi" w:cstheme="minorHAnsi"/>
          <w:szCs w:val="24"/>
        </w:rPr>
        <w:t xml:space="preserve">Trata-se de parecer jurídico </w:t>
      </w:r>
      <w:r>
        <w:rPr>
          <w:rFonts w:asciiTheme="minorHAnsi" w:hAnsiTheme="minorHAnsi" w:cstheme="minorHAnsi"/>
          <w:szCs w:val="24"/>
        </w:rPr>
        <w:t>ao</w:t>
      </w:r>
      <w:r w:rsidRPr="00D33B2B">
        <w:rPr>
          <w:rFonts w:asciiTheme="minorHAnsi" w:hAnsiTheme="minorHAnsi" w:cstheme="minorHAnsi"/>
          <w:szCs w:val="24"/>
        </w:rPr>
        <w:t xml:space="preserve"> projeto em epígrafe</w:t>
      </w:r>
      <w:r>
        <w:rPr>
          <w:rFonts w:asciiTheme="minorHAnsi" w:hAnsiTheme="minorHAnsi" w:cstheme="minorHAnsi"/>
          <w:szCs w:val="24"/>
        </w:rPr>
        <w:t xml:space="preserve"> que</w:t>
      </w:r>
      <w:r>
        <w:rPr>
          <w:rFonts w:asciiTheme="minorHAnsi" w:hAnsiTheme="minorHAnsi" w:cstheme="minorHAnsi"/>
          <w:szCs w:val="24"/>
        </w:rPr>
        <w:t xml:space="preserve"> i</w:t>
      </w:r>
      <w:r w:rsidRPr="00A118FC">
        <w:rPr>
          <w:rFonts w:asciiTheme="minorHAnsi" w:hAnsiTheme="minorHAnsi" w:cstheme="minorHAnsi"/>
          <w:szCs w:val="24"/>
        </w:rPr>
        <w:t>nstitui o “</w:t>
      </w:r>
      <w:r w:rsidRPr="00A118FC">
        <w:rPr>
          <w:rFonts w:asciiTheme="minorHAnsi" w:hAnsiTheme="minorHAnsi" w:cstheme="minorHAnsi"/>
          <w:i/>
          <w:szCs w:val="24"/>
        </w:rPr>
        <w:t>Dia Municipal de Defesa dos Direitos da Pessoa com epilepsia”.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 w:rsidRPr="005F05D5">
        <w:rPr>
          <w:rFonts w:asciiTheme="minorHAnsi" w:hAnsiTheme="minorHAnsi" w:cstheme="minorHAnsi"/>
          <w:i/>
        </w:rPr>
        <w:t>Ab initio</w:t>
      </w:r>
      <w:r w:rsidRPr="005F05D5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806E4C" w:rsidRPr="000A7105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05D5">
        <w:rPr>
          <w:rFonts w:asciiTheme="minorHAnsi" w:hAnsiTheme="minorHAnsi" w:cstheme="minorHAnsi"/>
          <w:szCs w:val="24"/>
        </w:rPr>
        <w:t>Outrossim</w:t>
      </w:r>
      <w:r w:rsidRPr="005F05D5">
        <w:rPr>
          <w:rFonts w:asciiTheme="minorHAnsi" w:hAnsiTheme="minorHAnsi" w:cstheme="minorHAnsi"/>
          <w:szCs w:val="24"/>
        </w:rPr>
        <w:t xml:space="preserve">, ressalta-se que a opinião jurídica exarada neste parecer não tem força vinculante, sendo meramente opinativo não fundamentando decisão </w:t>
      </w:r>
      <w:r w:rsidRPr="005F05D5">
        <w:rPr>
          <w:rFonts w:asciiTheme="minorHAnsi" w:hAnsiTheme="minorHAnsi" w:cstheme="minorHAnsi"/>
          <w:szCs w:val="24"/>
        </w:rPr>
        <w:t>proferida</w:t>
      </w:r>
      <w:r w:rsidRPr="005F05D5">
        <w:rPr>
          <w:rFonts w:asciiTheme="minorHAnsi" w:hAnsiTheme="minorHAnsi" w:cstheme="minorHAnsi"/>
          <w:szCs w:val="24"/>
        </w:rPr>
        <w:t xml:space="preserve">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5F05D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F05D5">
        <w:rPr>
          <w:rFonts w:asciiTheme="minorHAnsi" w:hAnsiTheme="minorHAnsi" w:cstheme="minorHAnsi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Cs w:val="24"/>
        </w:rPr>
        <w:t>jurídicos</w:t>
      </w:r>
      <w:r w:rsidRPr="005F05D5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E3552B" w:rsidP="00E3552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2770B">
        <w:rPr>
          <w:rFonts w:ascii="Calibri" w:hAnsi="Calibri" w:cs="Calibri"/>
        </w:rPr>
        <w:t xml:space="preserve">A proposta em exame no que tange à matéria afigura-se revestida de </w:t>
      </w:r>
      <w:r w:rsidR="009678F6">
        <w:rPr>
          <w:rFonts w:ascii="Calibri" w:hAnsi="Calibri" w:cs="Calibri"/>
        </w:rPr>
        <w:t>constitucionalidade</w:t>
      </w:r>
      <w:r w:rsidRPr="00B2770B">
        <w:rPr>
          <w:rFonts w:ascii="Calibri" w:hAnsi="Calibri" w:cs="Calibri"/>
        </w:rPr>
        <w:t>, tendo em vista a competência</w:t>
      </w:r>
      <w:r w:rsidRPr="00722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municipal </w:t>
      </w:r>
      <w:r w:rsidRPr="00722999">
        <w:rPr>
          <w:rFonts w:ascii="Calibri" w:hAnsi="Calibri" w:cs="Calibri"/>
        </w:rPr>
        <w:t xml:space="preserve">de legislar sobre assuntos de interesse local (art. 30, I, da CRFB). </w:t>
      </w:r>
    </w:p>
    <w:p w:rsidR="00806E4C" w:rsidRPr="003A7521" w:rsidP="00E3552B">
      <w:pPr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</w:t>
      </w:r>
      <w:r w:rsidRPr="003A7521">
        <w:rPr>
          <w:rFonts w:ascii="Calibri" w:hAnsi="Calibri" w:cs="Calibri"/>
          <w:szCs w:val="24"/>
        </w:rPr>
        <w:t xml:space="preserve">o que tange à </w:t>
      </w:r>
      <w:r w:rsidRPr="004764DA">
        <w:rPr>
          <w:rFonts w:ascii="Calibri" w:hAnsi="Calibri" w:cs="Calibri"/>
          <w:b/>
          <w:szCs w:val="24"/>
        </w:rPr>
        <w:t>competência para deflagrar o processo legislativo</w:t>
      </w:r>
      <w:r>
        <w:rPr>
          <w:rFonts w:ascii="Calibri" w:hAnsi="Calibri" w:cs="Calibri"/>
          <w:szCs w:val="24"/>
        </w:rPr>
        <w:t xml:space="preserve"> o</w:t>
      </w:r>
      <w:r w:rsidRPr="009D16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artigo 24, § 2º,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da </w:t>
      </w:r>
      <w:r w:rsidRPr="003A7521">
        <w:rPr>
          <w:rFonts w:ascii="Calibri" w:hAnsi="Calibri" w:cs="Calibri"/>
          <w:szCs w:val="24"/>
        </w:rPr>
        <w:t>Constituição do Estado de São</w:t>
      </w:r>
      <w:r>
        <w:rPr>
          <w:rFonts w:ascii="Calibri" w:hAnsi="Calibri" w:cs="Calibri"/>
          <w:szCs w:val="24"/>
        </w:rPr>
        <w:t xml:space="preserve"> Paulo em simetria com o</w:t>
      </w:r>
      <w:r w:rsidRPr="003A7521">
        <w:rPr>
          <w:rFonts w:ascii="Calibri" w:hAnsi="Calibri" w:cs="Calibri"/>
          <w:szCs w:val="24"/>
        </w:rPr>
        <w:t xml:space="preserve"> artigo 61, § 1º, </w:t>
      </w:r>
      <w:r w:rsidR="002E3006">
        <w:rPr>
          <w:rFonts w:ascii="Calibri" w:hAnsi="Calibri" w:cs="Calibri"/>
          <w:szCs w:val="24"/>
        </w:rPr>
        <w:t>da CF</w:t>
      </w:r>
      <w:r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 do Chefe do Executivo</w:t>
      </w:r>
      <w:r w:rsidRPr="003A7521">
        <w:rPr>
          <w:rFonts w:ascii="Calibri" w:hAnsi="Calibri" w:cs="Calibri"/>
          <w:szCs w:val="24"/>
        </w:rPr>
        <w:t>: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806E4C" w:rsidRPr="003A7521" w:rsidP="00806E4C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06E4C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E3552B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3A752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06E4C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806E4C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BD0B9D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BD0B9D">
        <w:rPr>
          <w:rFonts w:ascii="Calibri" w:hAnsi="Calibri" w:cs="Calibri"/>
          <w:szCs w:val="24"/>
        </w:rPr>
        <w:t xml:space="preserve">Destarte, a princípio, no que tange à competência a Constituição vigente não contém nenhuma disposição que impeça </w:t>
      </w:r>
      <w:r w:rsidR="00E3552B">
        <w:rPr>
          <w:rFonts w:ascii="Calibri" w:hAnsi="Calibri" w:cs="Calibri"/>
          <w:szCs w:val="24"/>
        </w:rPr>
        <w:t>a iniciativa legislativa</w:t>
      </w:r>
      <w:r w:rsidR="006003DC">
        <w:rPr>
          <w:rFonts w:ascii="Calibri" w:hAnsi="Calibri" w:cs="Calibri"/>
          <w:szCs w:val="24"/>
        </w:rPr>
        <w:t xml:space="preserve"> parlamentar</w:t>
      </w:r>
      <w:r w:rsidR="00E3552B">
        <w:rPr>
          <w:rFonts w:ascii="Calibri" w:hAnsi="Calibri" w:cs="Calibri"/>
          <w:szCs w:val="24"/>
        </w:rPr>
        <w:t xml:space="preserve"> sobre a matéria.</w:t>
      </w:r>
    </w:p>
    <w:p w:rsidR="00806E4C" w:rsidRPr="003A7521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 xml:space="preserve">Aliás, </w:t>
      </w:r>
      <w:r>
        <w:rPr>
          <w:rFonts w:asciiTheme="minorHAnsi" w:hAnsiTheme="minorHAnsi" w:cs="Calibri"/>
        </w:rPr>
        <w:t>no concernente</w:t>
      </w:r>
      <w:r w:rsidRPr="003A75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</w:t>
      </w:r>
      <w:r w:rsidRPr="003A7521">
        <w:rPr>
          <w:rFonts w:asciiTheme="minorHAnsi" w:hAnsiTheme="minorHAnsi" w:cs="Calibri"/>
        </w:rPr>
        <w:t>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>
        <w:rPr>
          <w:rFonts w:asciiTheme="minorHAnsi" w:hAnsiTheme="minorHAnsi" w:cs="Calibri"/>
          <w:u w:val="single"/>
        </w:rPr>
        <w:t>lativo desta esfera federativa</w:t>
      </w:r>
      <w:r w:rsidRPr="00A60C51">
        <w:rPr>
          <w:rFonts w:asciiTheme="minorHAnsi" w:hAnsiTheme="minorHAnsi" w:cs="Calibri"/>
        </w:rPr>
        <w:t>, trata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06E4C" w:rsidP="00806E4C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="00E3552B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</w:t>
      </w:r>
      <w:r w:rsidRPr="003A7521">
        <w:rPr>
          <w:rFonts w:asciiTheme="minorHAnsi" w:hAnsiTheme="minorHAnsi" w:cstheme="minorHAnsi"/>
          <w:color w:val="auto"/>
        </w:rPr>
        <w:t>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06E4C" w:rsidP="00806E4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O </w:t>
      </w:r>
      <w:r w:rsidR="00601869">
        <w:rPr>
          <w:rFonts w:ascii="Calibri" w:hAnsi="Calibri" w:cs="Calibri"/>
          <w:color w:val="auto"/>
        </w:rPr>
        <w:t xml:space="preserve">E. </w:t>
      </w:r>
      <w:bookmarkStart w:id="4" w:name="_GoBack"/>
      <w:bookmarkEnd w:id="4"/>
      <w:r>
        <w:rPr>
          <w:rFonts w:ascii="Calibri" w:hAnsi="Calibri" w:cs="Calibri"/>
          <w:color w:val="auto"/>
        </w:rPr>
        <w:t>Tribunal de Justiça do Estado de São Paulo vem se posicionando no seguinte sentido acerca da matéria</w:t>
      </w:r>
      <w:r w:rsidRPr="00722999">
        <w:rPr>
          <w:rFonts w:ascii="Calibri" w:hAnsi="Calibri" w:cs="Calibri"/>
          <w:color w:val="auto"/>
        </w:rPr>
        <w:t>:</w:t>
      </w:r>
    </w:p>
    <w:p w:rsidR="00304CD1" w:rsidP="00C76E2F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– PEDIDO IMPROCEDENTE. </w:t>
      </w:r>
    </w:p>
    <w:p w:rsidR="00304CD1" w:rsidRPr="00304CD1" w:rsidP="00C76E2F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2180713-67.2022.8.26.0000; Relator (a): Francisco Casconi; Órgão Julgador: Órgão Especial; Tribunal de Justiça de São Paulo - N/A; Data do Julgamento: 15/02/2023; Data de Registro: 17/02/2023)</w:t>
      </w:r>
    </w:p>
    <w:p w:rsidR="00304CD1" w:rsidRPr="00E3552B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RPr="00C76E2F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institui a 'Semana Municipal de Conscientização e Prevenção à Anorexia Nervosa e Bulimia Nervosa', a qual passará a integrar o Calendário Oficial de Eventos do Município de Mauá, e dá outras providências"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 – Ausência de 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Norma que dispõe de forma genérica que a execução da lei correrá por conta de dotações orçamentárias próprias, suplementadas, se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E3552B" w:rsidRPr="00E3552B" w:rsidP="00E3552B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4214CD" w:rsidRPr="000B4AF0" w:rsidP="004214CD">
      <w:pPr>
        <w:spacing w:after="120" w:line="360" w:lineRule="auto"/>
        <w:ind w:firstLine="1701"/>
        <w:jc w:val="both"/>
        <w:rPr>
          <w:rFonts w:asciiTheme="minorHAnsi" w:hAnsiTheme="minorHAnsi" w:cstheme="minorHAnsi"/>
          <w:i/>
          <w:iCs/>
        </w:rPr>
      </w:pPr>
      <w:r w:rsidRPr="000B4AF0">
        <w:rPr>
          <w:rFonts w:ascii="Calibri" w:hAnsi="Calibri" w:cs="Calibri"/>
        </w:rPr>
        <w:t>Todavia,</w:t>
      </w:r>
      <w:r w:rsidRPr="000B4AF0">
        <w:rPr>
          <w:rFonts w:ascii="Calibri" w:hAnsi="Calibri" w:cs="Calibri"/>
          <w:b/>
        </w:rPr>
        <w:t xml:space="preserve"> </w:t>
      </w:r>
      <w:r w:rsidRPr="000B4AF0">
        <w:rPr>
          <w:rFonts w:ascii="Calibri" w:hAnsi="Calibri" w:cs="Calibri"/>
          <w:i/>
        </w:rPr>
        <w:t xml:space="preserve">data máxima vênia, </w:t>
      </w:r>
      <w:r w:rsidR="0092731A">
        <w:rPr>
          <w:rFonts w:ascii="Calibri" w:hAnsi="Calibri" w:cs="Calibri"/>
        </w:rPr>
        <w:t>sugerimos a supressão do</w:t>
      </w:r>
      <w:r w:rsidRPr="000B4AF0">
        <w:rPr>
          <w:rFonts w:ascii="Calibri" w:hAnsi="Calibri" w:cs="Calibri"/>
          <w:b/>
        </w:rPr>
        <w:t xml:space="preserve"> </w:t>
      </w:r>
      <w:r w:rsidR="00A118FC">
        <w:rPr>
          <w:rFonts w:ascii="Calibri" w:hAnsi="Calibri" w:cs="Calibri"/>
          <w:b/>
        </w:rPr>
        <w:t xml:space="preserve">inciso VII, do </w:t>
      </w:r>
      <w:r w:rsidRPr="000B4AF0">
        <w:rPr>
          <w:rFonts w:ascii="Calibri" w:hAnsi="Calibri" w:cs="Calibri"/>
          <w:b/>
        </w:rPr>
        <w:t xml:space="preserve">art. </w:t>
      </w:r>
      <w:r>
        <w:rPr>
          <w:rFonts w:ascii="Calibri" w:hAnsi="Calibri" w:cs="Calibri"/>
          <w:b/>
        </w:rPr>
        <w:t>2</w:t>
      </w:r>
      <w:r w:rsidRPr="000B4AF0">
        <w:rPr>
          <w:rFonts w:ascii="Calibri" w:hAnsi="Calibri" w:cs="Calibri"/>
          <w:b/>
        </w:rPr>
        <w:t>º</w:t>
      </w:r>
      <w:r>
        <w:rPr>
          <w:rFonts w:ascii="Calibri" w:hAnsi="Calibri" w:cs="Calibri"/>
          <w:b/>
        </w:rPr>
        <w:t xml:space="preserve"> </w:t>
      </w:r>
      <w:r w:rsidRPr="000B4AF0">
        <w:rPr>
          <w:rFonts w:ascii="Calibri" w:hAnsi="Calibri" w:cs="Calibri"/>
          <w:b/>
        </w:rPr>
        <w:t>do projeto</w:t>
      </w:r>
      <w:r w:rsidRPr="000B4AF0">
        <w:rPr>
          <w:rFonts w:ascii="Calibri" w:hAnsi="Calibri" w:cs="Calibri"/>
        </w:rPr>
        <w:t xml:space="preserve">, </w:t>
      </w:r>
      <w:r w:rsidR="0092731A">
        <w:rPr>
          <w:rFonts w:ascii="Calibri" w:hAnsi="Calibri" w:cs="Calibri"/>
        </w:rPr>
        <w:t xml:space="preserve">porquanto </w:t>
      </w:r>
      <w:r>
        <w:rPr>
          <w:rFonts w:ascii="Calibri" w:hAnsi="Calibri" w:cs="Calibri"/>
        </w:rPr>
        <w:t xml:space="preserve">ao dispor sobre </w:t>
      </w:r>
      <w:r w:rsidR="00A118FC">
        <w:rPr>
          <w:rFonts w:ascii="Calibri" w:hAnsi="Calibri" w:cs="Calibri"/>
        </w:rPr>
        <w:t>debates nos Conselhos e Secretarias Municipais</w:t>
      </w:r>
      <w:r w:rsidR="002E6711">
        <w:rPr>
          <w:rFonts w:ascii="Calibri" w:hAnsi="Calibri" w:cs="Calibri"/>
        </w:rPr>
        <w:t xml:space="preserve"> </w:t>
      </w:r>
      <w:r w:rsidR="0092731A">
        <w:rPr>
          <w:rFonts w:asciiTheme="minorHAnsi" w:hAnsiTheme="minorHAnsi" w:cstheme="minorHAnsi"/>
          <w:szCs w:val="24"/>
          <w:shd w:val="clear" w:color="auto" w:fill="FFFFFF"/>
        </w:rPr>
        <w:t>vulnera</w:t>
      </w:r>
      <w:r w:rsidRPr="000B4AF0">
        <w:rPr>
          <w:rFonts w:asciiTheme="minorHAnsi" w:hAnsiTheme="minorHAnsi" w:cstheme="minorHAnsi"/>
          <w:szCs w:val="24"/>
          <w:shd w:val="clear" w:color="auto" w:fill="FFFFFF"/>
        </w:rPr>
        <w:t xml:space="preserve"> o princípio da separação dos poderes e da reserva de administração</w:t>
      </w:r>
      <w:r w:rsidR="0092731A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0B4AF0">
        <w:rPr>
          <w:rFonts w:asciiTheme="minorHAnsi" w:hAnsiTheme="minorHAnsi" w:cstheme="minorHAnsi"/>
          <w:szCs w:val="24"/>
          <w:shd w:val="clear" w:color="auto" w:fill="FFFFFF"/>
        </w:rPr>
        <w:t xml:space="preserve"> dispostos nos artigos 5º e 47, incisos </w:t>
      </w:r>
      <w:r w:rsidRPr="000B4AF0">
        <w:rPr>
          <w:rFonts w:asciiTheme="minorHAnsi" w:hAnsiTheme="minorHAnsi" w:cstheme="minorHAnsi"/>
        </w:rPr>
        <w:t xml:space="preserve">II e XIV, da Constituição Estadual, que constituem dispositivos de observância obrigatória aos Municípios, in </w:t>
      </w:r>
      <w:r w:rsidRPr="000B4AF0">
        <w:rPr>
          <w:rFonts w:asciiTheme="minorHAnsi" w:hAnsiTheme="minorHAnsi" w:cstheme="minorHAnsi"/>
          <w:i/>
          <w:iCs/>
        </w:rPr>
        <w:t>verbis: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“Art. 5º - São Poderes do Estado, independentes e harmônicos entre si, o Legislativo, o Executivo e o Judiciário.”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“Art. 47 - Compete privativamente ao Governador, além de outras atribuições previstas nesta Constituição: 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 [...]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II - exercer, com o auxílio dos Secretários de Estado, a direção superior da administração estadual;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[...]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XIV - praticar os demais atos de administração, nos limites da competência do Executivo;”</w:t>
      </w: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;</w:t>
      </w:r>
    </w:p>
    <w:p w:rsidR="004214CD" w:rsidRPr="000B4AF0" w:rsidP="004214CD">
      <w:pPr>
        <w:autoSpaceDE w:val="0"/>
        <w:autoSpaceDN w:val="0"/>
        <w:adjustRightInd w:val="0"/>
        <w:spacing w:after="80"/>
        <w:ind w:left="2835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</w:p>
    <w:p w:rsidR="004214CD" w:rsidRPr="000B4AF0" w:rsidP="004214CD">
      <w:pPr>
        <w:spacing w:after="120" w:line="360" w:lineRule="auto"/>
        <w:ind w:firstLine="1701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>Nessa linha</w:t>
      </w:r>
      <w:r w:rsidR="0092731A">
        <w:rPr>
          <w:rFonts w:asciiTheme="minorHAnsi" w:hAnsiTheme="minorHAnsi" w:cstheme="minorHAnsi"/>
          <w:szCs w:val="24"/>
        </w:rPr>
        <w:t>,</w:t>
      </w:r>
      <w:r w:rsidRPr="000B4AF0">
        <w:rPr>
          <w:rFonts w:asciiTheme="minorHAnsi" w:hAnsiTheme="minorHAnsi" w:cstheme="minorHAnsi"/>
          <w:szCs w:val="24"/>
        </w:rPr>
        <w:t xml:space="preserve"> colacionamos decisões do E. Tribunal de Justiça do Estado de São Paulo</w:t>
      </w:r>
      <w:r w:rsidRPr="000B4AF0">
        <w:rPr>
          <w:rFonts w:ascii="Calibri" w:hAnsi="Calibri" w:cs="Calibri"/>
        </w:rPr>
        <w:t>:</w:t>
      </w:r>
    </w:p>
    <w:p w:rsidR="004214CD" w:rsidRPr="009C607C" w:rsidP="004214CD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/>
          <w:b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14.685, DE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2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MAIO DE 2022, DO MUNICÍPIO DE RIBEIRÃO PRETO/SP, QUE </w:t>
      </w:r>
      <w:r w:rsidRPr="002A4F0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"INSTITUI NO DIA 21 DE JANEIRO O DIA MUNICIPAL DE COMBATE À INTOLERÂNCIA A RELIGIÕES DE MATRIZ AFRICANA, E EM 21 DE MARÇO A SEMANA MUNICIPAL DE ELIMINAÇÃO DA DISCRIMINAÇÃO RACIAL E A INTOLERÂNCIA ÀS RELIGIÕES DE MATRIZ AFRICANA EM RIBEIRÃO PRETO E DÁ OUTRAS PROVIDÊNCIAS CONFORME ESPECIFICA – LEI MÃE GILDA</w:t>
      </w:r>
      <w:r w:rsidRPr="002A4F02">
        <w:rPr>
          <w:rFonts w:asciiTheme="minorHAnsi" w:hAnsiTheme="minorHAnsi"/>
          <w:i/>
          <w:sz w:val="22"/>
          <w:szCs w:val="22"/>
          <w:shd w:val="clear" w:color="auto" w:fill="FFFFFF"/>
        </w:rPr>
        <w:t>"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</w:t>
      </w:r>
      <w:r w:rsidRPr="002A4F02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</w:t>
      </w:r>
      <w:r w:rsidRPr="002A4F02">
        <w:rPr>
          <w:rFonts w:asciiTheme="minorHAnsi" w:hAnsiTheme="minorHAnsi"/>
          <w:i/>
          <w:sz w:val="22"/>
          <w:szCs w:val="22"/>
          <w:shd w:val="clear" w:color="auto" w:fill="FFFFFF"/>
        </w:rPr>
        <w:t>TESE FIXADA EM REPERCUSSÃO GERAL NO ÂMBITO DO C. STF – TEMA NO 917 – ARE 878.911/RJ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RESSALVA QUANTO ÀS EXPRESSÕES "EXECUTIVO" E "E OS CONSELHOS MUNICIPAIS" DO ARTIGO 3º, BEM COMO NAS DISPOSIÇÕES DOS INCISOS I A IV DO ARTIGO 4º, E DOS ARTIGOS 5º E 6º, </w:t>
      </w:r>
      <w:r w:rsidRPr="002A4F0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POR DISCIPLINAREM OBRIGAÇÕES E FORMA DE EXECUÇÃO AO EXECUTIVO E SEUS ÓRGÃOS – MATÉRIA DE RESERVA DE ADMINISTRAÇÃO </w:t>
      </w:r>
      <w:r w:rsidRPr="009C607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– INCONSTITUCIONALIDADE, NO PONTO – VIOLAÇÃO DO PRINCÍPIO DA SEPARAÇÃO DOS PODERES (ARTIGOS 5º, 24, §2º, ITEM 2, 47, INCISOS II, XIV E XIX, ALÍNEA 'A', DA CE) – PEDIDO PROCEDENTE EM PARTE PARA RECONHECER A INCONSTITUCIONALIDADE DAS EXPRESSÕES "EXECUTIVO" E "E OS CONSELHOS MUNICIPAIS" DO ARTIGO 3º, BEM COMO A INCONSTITUCIONALIDADE PARCIAL, SEM REDUÇÃO DE TEXTO, DOS INCISOS I A IV DO ARTIGO 4º, E DOS ARTIGOS 5º E 6º DA NORMA CONTRASTADA, PARA AFASTAR SUA APLICABILIDADE EM RELAÇÃO AO EXECUTIVO E SEUS ÓRGÃOS. </w:t>
      </w:r>
    </w:p>
    <w:p w:rsidR="004214CD" w:rsidP="004214CD">
      <w:pPr>
        <w:pStyle w:val="Default"/>
        <w:pBdr>
          <w:bottom w:val="single" w:sz="12" w:space="1" w:color="auto"/>
        </w:pBdr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2150619-39.2022.8.26.0000; Relator (a): Francisco Casconi; Órgão Julgador: Órgão Especial; Tribunal de Justiça de São Paulo - N/A; Data do Julgamento: 01/03/2023; Data de Registro: 02/03/2023)</w:t>
      </w:r>
    </w:p>
    <w:p w:rsidR="004214CD" w:rsidRPr="002A4F02" w:rsidP="004214CD">
      <w:pPr>
        <w:spacing w:after="120" w:line="360" w:lineRule="auto"/>
        <w:ind w:left="2268" w:firstLine="1701"/>
        <w:jc w:val="both"/>
        <w:rPr>
          <w:rFonts w:ascii="Calibri" w:hAnsi="Calibri" w:cs="Calibri"/>
          <w:sz w:val="4"/>
          <w:szCs w:val="4"/>
        </w:rPr>
      </w:pPr>
    </w:p>
    <w:p w:rsidR="004214CD" w:rsidP="004214CD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Lei nº 10.291, de 12 de março de 2020, do Município de Santo André, que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"institui no calendário oficial do município a celebração da campanha 'Julho Verde'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 dá outras providências" –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Lei que, ao instituir aludida data comemorativa, não trata de nenhuma das matérias de iniciativa legislativa exclusiva do Chefe do Poder Executivo, não viola o princípio da separação de poderes (ao instituir a data comemorativa),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mas invade a esfera da gestão administrativa, ao impor atribuições ao Poder Executivo,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em seu art. 2º, incisos I e II – Artigo 2º, incisos I e II da Lei 10.291/2020 </w:t>
      </w:r>
      <w:r w:rsidRPr="0092731A">
        <w:rPr>
          <w:rFonts w:asciiTheme="minorHAnsi" w:hAnsiTheme="minorHAnsi" w:cstheme="minorHAnsi"/>
          <w:i/>
          <w:sz w:val="22"/>
          <w:szCs w:val="22"/>
          <w:u w:val="thick"/>
          <w:shd w:val="clear" w:color="auto" w:fill="FFFFFF"/>
        </w:rPr>
        <w:t xml:space="preserve">que impõe ao Poder </w:t>
      </w:r>
      <w:r w:rsidRPr="0092731A">
        <w:rPr>
          <w:rFonts w:asciiTheme="minorHAnsi" w:hAnsiTheme="minorHAnsi" w:cstheme="minorHAnsi"/>
          <w:i/>
          <w:sz w:val="22"/>
          <w:szCs w:val="22"/>
          <w:u w:val="thick"/>
          <w:shd w:val="clear" w:color="auto" w:fill="FFFFFF"/>
        </w:rPr>
        <w:t>Executivo a realização</w:t>
      </w:r>
      <w:r w:rsidRPr="0092731A">
        <w:rPr>
          <w:rFonts w:asciiTheme="minorHAnsi" w:hAnsiTheme="minorHAnsi" w:cstheme="minorHAnsi"/>
          <w:i/>
          <w:sz w:val="22"/>
          <w:szCs w:val="22"/>
          <w:u w:val="thick"/>
          <w:shd w:val="clear" w:color="auto" w:fill="FFFFFF"/>
        </w:rPr>
        <w:t>, "durante o mês de julho de cada ano", "nas escolas públicas do Município", de "atividades e debates que terão como objetivo: I – conscientizar as crianças das necessidades de cuidados precoces e dos bons hábitos para evitar o câncer; II – promover diagnósticos e identificar dentre os alunos possíveis casos clínicos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" –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Dispositivos que criam e disciplinam obrigações e tarefas para os órgãos do Poder Executivo, atos típicos de gestão administrativa, destinados à sua organização e funcionamento – Ofensa aos princípios da separação de poderes, de iniciativa e da reserva de administração (arts. 5º, caput, §§ 1º e 2º; 24, § 2º, "2"; 47, II, XI, XIV e XIX, "a", da Constituição do Estado, aplicáveis aos Municípios por força do art. 144 da mesma Carta) – Inconstitucionalidade configurada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. AÇÃO DIRETA DE INCONSTITUCIONALIDADE – Alegação de violação do artigo 25 da CE – Improcedência – Ausência de previsão de dotação orçamentária que não implica a existência de vício de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inconstitucionalidade, mas apenas a inexequibilidade da lei no exercício orçamentário em que aprovada – Entendimento, pacífico, segundo o qual a falta de especificação da fonte de recursos pode resultar apenas a não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implementação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da norma no mesmo exercício em que posta em vigor, mas desde logo providenciada sua inserção no orçamento do exercício seguinte – Inexistência de inconstitucionalidade nesse ponto.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parcialmente procedente.</w:t>
      </w:r>
    </w:p>
    <w:p w:rsidR="004214CD" w:rsidRPr="004214CD" w:rsidP="004214CD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0"/>
          <w:shd w:val="clear" w:color="auto" w:fill="FFFFFF"/>
        </w:rPr>
      </w:pP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>(TJSP;</w:t>
      </w: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 xml:space="preserve">  </w:t>
      </w: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 xml:space="preserve">Direta de Inconstitucionalidade 2216625-96.2020.8.26.0000; Relator (a): João Carlos </w:t>
      </w: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>Saletti</w:t>
      </w: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>; Órgão Julgador: Órgão Especial; Tribunal de Justiça de São Paulo - N/A; Data do Julgamento: 29/09/2021; Data de Registro: 07/10/2021)</w:t>
      </w:r>
    </w:p>
    <w:p w:rsidR="004214CD" w:rsidP="004214C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4214CD" w:rsidRPr="007D6467" w:rsidP="004214C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redação, alteração e consolidação das leis, conforme determina o parágrafo único do art. 59 da Constituição </w:t>
      </w:r>
      <w:r w:rsidRPr="007D6467">
        <w:rPr>
          <w:rFonts w:asciiTheme="minorHAnsi" w:hAnsiTheme="minorHAnsi" w:cstheme="minorHAnsi"/>
          <w:szCs w:val="24"/>
        </w:rPr>
        <w:t>Federal.</w:t>
      </w:r>
    </w:p>
    <w:p w:rsidR="004214CD" w:rsidRPr="000B4AF0" w:rsidP="00267DB5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0B4AF0">
        <w:rPr>
          <w:rFonts w:ascii="Calibri" w:eastAsia="Calibri" w:hAnsi="Calibri" w:cs="Calibri"/>
          <w:szCs w:val="24"/>
        </w:rPr>
        <w:t>Ante todo o exposto</w:t>
      </w:r>
      <w:r>
        <w:rPr>
          <w:rFonts w:ascii="Calibri" w:eastAsia="Calibri" w:hAnsi="Calibri" w:cs="Calibri"/>
          <w:szCs w:val="24"/>
        </w:rPr>
        <w:t xml:space="preserve">, sob o aspecto enfocado – </w:t>
      </w:r>
      <w:r w:rsidRPr="001E7C4A">
        <w:rPr>
          <w:rFonts w:ascii="Calibri" w:eastAsia="Calibri" w:hAnsi="Calibri" w:cs="Calibri"/>
          <w:i/>
          <w:szCs w:val="24"/>
        </w:rPr>
        <w:t>instituição de data comemorativa</w:t>
      </w:r>
      <w:r>
        <w:rPr>
          <w:rFonts w:ascii="Calibri" w:eastAsia="Calibri" w:hAnsi="Calibri" w:cs="Calibri"/>
          <w:szCs w:val="24"/>
        </w:rPr>
        <w:t xml:space="preserve"> - </w:t>
      </w:r>
      <w:r w:rsidRPr="000B4AF0">
        <w:rPr>
          <w:rFonts w:ascii="Calibri" w:eastAsia="Calibri" w:hAnsi="Calibri" w:cs="Calibri"/>
          <w:szCs w:val="24"/>
        </w:rPr>
        <w:t xml:space="preserve">opinamos pela constitucionalidade e legalidade do </w:t>
      </w:r>
      <w:r w:rsidRPr="001E7C4A">
        <w:rPr>
          <w:rFonts w:ascii="Calibri" w:eastAsia="Calibri" w:hAnsi="Calibri" w:cs="Calibri"/>
          <w:szCs w:val="24"/>
        </w:rPr>
        <w:t>projeto, ressalva</w:t>
      </w:r>
      <w:r w:rsidR="00660313">
        <w:rPr>
          <w:rFonts w:ascii="Calibri" w:eastAsia="Calibri" w:hAnsi="Calibri" w:cs="Calibri"/>
          <w:szCs w:val="24"/>
        </w:rPr>
        <w:t xml:space="preserve">da </w:t>
      </w:r>
      <w:r w:rsidRPr="001E7C4A">
        <w:rPr>
          <w:rFonts w:ascii="Calibri" w:eastAsia="Calibri" w:hAnsi="Calibri" w:cs="Calibri"/>
          <w:szCs w:val="24"/>
        </w:rPr>
        <w:t xml:space="preserve">observação acima quanto </w:t>
      </w:r>
      <w:r w:rsidR="009C7E23">
        <w:rPr>
          <w:rFonts w:ascii="Calibri" w:eastAsia="Calibri" w:hAnsi="Calibri" w:cs="Calibri"/>
          <w:szCs w:val="24"/>
        </w:rPr>
        <w:t>ao</w:t>
      </w:r>
      <w:r w:rsidRPr="001E7C4A">
        <w:rPr>
          <w:rFonts w:ascii="Calibri" w:eastAsia="Calibri" w:hAnsi="Calibri" w:cs="Calibri"/>
          <w:szCs w:val="24"/>
        </w:rPr>
        <w:t xml:space="preserve"> </w:t>
      </w:r>
      <w:r w:rsidR="00A118FC">
        <w:rPr>
          <w:rFonts w:ascii="Calibri" w:eastAsia="Calibri" w:hAnsi="Calibri" w:cs="Calibri"/>
          <w:szCs w:val="24"/>
        </w:rPr>
        <w:t xml:space="preserve">inciso VII, do </w:t>
      </w:r>
      <w:r w:rsidRPr="001E7C4A">
        <w:rPr>
          <w:rFonts w:ascii="Calibri" w:eastAsia="Calibri" w:hAnsi="Calibri" w:cs="Calibri"/>
          <w:szCs w:val="24"/>
        </w:rPr>
        <w:t xml:space="preserve">art. </w:t>
      </w:r>
      <w:r>
        <w:rPr>
          <w:rFonts w:ascii="Calibri" w:eastAsia="Calibri" w:hAnsi="Calibri" w:cs="Calibri"/>
          <w:szCs w:val="24"/>
        </w:rPr>
        <w:t>2</w:t>
      </w:r>
      <w:r w:rsidRPr="001E7C4A">
        <w:rPr>
          <w:rFonts w:ascii="Calibri" w:eastAsia="Calibri" w:hAnsi="Calibri" w:cs="Calibri"/>
          <w:szCs w:val="24"/>
        </w:rPr>
        <w:t>º.</w:t>
      </w:r>
      <w:r>
        <w:rPr>
          <w:rFonts w:ascii="Calibri" w:eastAsia="Calibri" w:hAnsi="Calibri" w:cs="Calibri"/>
          <w:szCs w:val="24"/>
        </w:rPr>
        <w:t xml:space="preserve"> </w:t>
      </w:r>
      <w:r w:rsidRPr="000B4AF0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806E4C" w:rsidP="00267DB5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806E4C" w:rsidP="00267DB5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>
        <w:rPr>
          <w:rFonts w:ascii="Calibri" w:hAnsi="Calibri" w:cs="Tahoma"/>
          <w:iCs/>
          <w:szCs w:val="24"/>
        </w:rPr>
        <w:t xml:space="preserve">Procuradoria, </w:t>
      </w:r>
      <w:r w:rsidRPr="000A7105">
        <w:rPr>
          <w:rFonts w:ascii="Calibri" w:hAnsi="Calibri" w:cs="Tahoma"/>
          <w:iCs/>
          <w:szCs w:val="24"/>
        </w:rPr>
        <w:t xml:space="preserve">aos </w:t>
      </w:r>
      <w:r w:rsidR="001A121A">
        <w:rPr>
          <w:rFonts w:ascii="Calibri" w:hAnsi="Calibri" w:cs="Tahoma"/>
          <w:iCs/>
          <w:szCs w:val="24"/>
        </w:rPr>
        <w:t>10</w:t>
      </w:r>
      <w:r w:rsidRPr="000A7105">
        <w:rPr>
          <w:rFonts w:ascii="Calibri" w:hAnsi="Calibri" w:cs="Tahoma"/>
          <w:iCs/>
          <w:szCs w:val="24"/>
        </w:rPr>
        <w:t xml:space="preserve"> de </w:t>
      </w:r>
      <w:r w:rsidR="001A121A">
        <w:rPr>
          <w:rFonts w:ascii="Calibri" w:hAnsi="Calibri" w:cs="Tahoma"/>
          <w:iCs/>
          <w:szCs w:val="24"/>
        </w:rPr>
        <w:t>outubro</w:t>
      </w:r>
      <w:r w:rsidRPr="000A7105">
        <w:rPr>
          <w:rFonts w:ascii="Calibri" w:hAnsi="Calibri" w:cs="Tahoma"/>
          <w:iCs/>
          <w:szCs w:val="24"/>
        </w:rPr>
        <w:t xml:space="preserve"> de 202</w:t>
      </w:r>
      <w:r w:rsidR="00A118FC">
        <w:rPr>
          <w:rFonts w:ascii="Calibri" w:hAnsi="Calibri" w:cs="Tahoma"/>
          <w:iCs/>
          <w:szCs w:val="24"/>
        </w:rPr>
        <w:t>4</w:t>
      </w:r>
      <w:r>
        <w:rPr>
          <w:rFonts w:ascii="Calibri" w:hAnsi="Calibri" w:cs="Tahoma"/>
          <w:iCs/>
          <w:szCs w:val="24"/>
        </w:rPr>
        <w:t>.</w:t>
      </w:r>
    </w:p>
    <w:p w:rsidR="00806E4C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A118FC" w:rsidRPr="0014063B" w:rsidP="00A118FC">
      <w:pPr>
        <w:tabs>
          <w:tab w:val="left" w:pos="5130"/>
        </w:tabs>
        <w:jc w:val="center"/>
        <w:rPr>
          <w:rFonts w:asciiTheme="minorHAnsi" w:hAnsiTheme="minorHAnsi" w:cstheme="minorHAnsi"/>
          <w:color w:val="FF0000"/>
        </w:rPr>
      </w:pPr>
    </w:p>
    <w:p w:rsidR="00A118FC" w:rsidRPr="00A234D8" w:rsidP="00A118FC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  <w:szCs w:val="24"/>
        </w:rPr>
      </w:pPr>
    </w:p>
    <w:p w:rsidR="00A118FC" w:rsidRPr="00BC24F1" w:rsidP="00A118FC">
      <w:pPr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Rosemeire de Souza Cardoso Barbosa                         </w:t>
      </w:r>
      <w:r>
        <w:rPr>
          <w:rFonts w:asciiTheme="minorHAnsi" w:hAnsiTheme="minorHAnsi" w:cstheme="minorHAnsi"/>
          <w:b/>
          <w:szCs w:val="24"/>
        </w:rPr>
        <w:t xml:space="preserve">         </w:t>
      </w:r>
      <w:r w:rsidRPr="00BC24F1">
        <w:rPr>
          <w:rFonts w:asciiTheme="minorHAnsi" w:hAnsiTheme="minorHAnsi" w:cstheme="minorHAnsi"/>
          <w:b/>
          <w:szCs w:val="24"/>
        </w:rPr>
        <w:t xml:space="preserve"> Tiago Fadel Malghosian</w:t>
      </w:r>
    </w:p>
    <w:p w:rsidR="00A118FC" w:rsidRPr="00BC24F1" w:rsidP="00A118FC">
      <w:pPr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Procuradora - OAB/SP 308.298                              </w:t>
      </w: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Procurador - OAB/SP 319.159</w:t>
      </w:r>
    </w:p>
    <w:p w:rsidR="00A118FC" w:rsidRPr="0014063B" w:rsidP="00A118FC">
      <w:pPr>
        <w:jc w:val="center"/>
        <w:rPr>
          <w:rFonts w:asciiTheme="minorHAnsi" w:hAnsiTheme="minorHAnsi" w:cs="Calibri"/>
          <w:color w:val="FF0000"/>
        </w:rPr>
      </w:pPr>
      <w:r w:rsidRPr="00E2087B">
        <w:rPr>
          <w:rFonts w:asciiTheme="minorHAnsi" w:hAnsiTheme="minorHAnsi" w:cstheme="minorHAnsi"/>
          <w:szCs w:val="24"/>
        </w:rPr>
        <w:t>Assinatura eletrônica                                                   Assinatura eletrônica</w:t>
      </w:r>
    </w:p>
    <w:p w:rsidR="00A118FC" w:rsidRPr="0073309B" w:rsidP="00A118FC">
      <w:pPr>
        <w:jc w:val="center"/>
      </w:pPr>
    </w:p>
    <w:p w:rsidR="00C76E2F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2E3006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2E3006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2E3006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2E3006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2E3006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01869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01869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E3006">
    <w:pPr>
      <w:pStyle w:val="Footer"/>
    </w:pPr>
  </w:p>
  <w:p w:rsidR="002E3006">
    <w:pPr>
      <w:pStyle w:val="Footer"/>
    </w:pPr>
  </w:p>
  <w:p w:rsidR="002E3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E3006" w:rsidP="00806E4C">
      <w:r>
        <w:separator/>
      </w:r>
    </w:p>
  </w:footnote>
  <w:footnote w:type="continuationSeparator" w:id="1">
    <w:p w:rsidR="002E3006" w:rsidP="00806E4C">
      <w:r>
        <w:continuationSeparator/>
      </w:r>
    </w:p>
  </w:footnote>
  <w:footnote w:id="2">
    <w:p w:rsidR="002E3006" w:rsidP="00806E4C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A7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2E3006" w:rsidRPr="00806E4C" w:rsidP="00806E4C">
      <w:pPr>
        <w:tabs>
          <w:tab w:val="left" w:pos="3570"/>
        </w:tabs>
        <w:jc w:val="both"/>
        <w:rPr>
          <w:rFonts w:asciiTheme="minorHAnsi" w:hAnsiTheme="minorHAnsi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006" w:rsidP="00806E4C">
    <w:pPr>
      <w:pStyle w:val="Header"/>
      <w:jc w:val="center"/>
      <w:rPr>
        <w:b/>
        <w:sz w:val="26"/>
        <w:lang w:val="pt-PT"/>
      </w:rPr>
    </w:pPr>
  </w:p>
  <w:p w:rsidR="002E3006" w:rsidP="00806E4C">
    <w:pPr>
      <w:pStyle w:val="Header"/>
      <w:jc w:val="center"/>
      <w:rPr>
        <w:b/>
        <w:sz w:val="26"/>
        <w:lang w:val="pt-PT"/>
      </w:rPr>
    </w:pPr>
  </w:p>
  <w:p w:rsidR="002E3006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006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80137250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756664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06E4C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982227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2E3006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E3006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2E3006" w:rsidP="00806E4C">
    <w:pPr>
      <w:pStyle w:val="Header"/>
      <w:jc w:val="center"/>
      <w:rPr>
        <w:lang w:val="pt-PT"/>
      </w:rPr>
    </w:pPr>
  </w:p>
  <w:p w:rsidR="002E3006" w:rsidP="00806E4C">
    <w:pPr>
      <w:pStyle w:val="Header"/>
      <w:jc w:val="center"/>
    </w:pPr>
  </w:p>
  <w:p w:rsidR="002E3006">
    <w:pPr>
      <w:pStyle w:val="Header"/>
    </w:pPr>
  </w:p>
  <w:p w:rsidR="002E3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A344A"/>
    <w:rsid w:val="000A7105"/>
    <w:rsid w:val="000B4AF0"/>
    <w:rsid w:val="0014063B"/>
    <w:rsid w:val="001A121A"/>
    <w:rsid w:val="001E7C4A"/>
    <w:rsid w:val="00267DB5"/>
    <w:rsid w:val="002A4F02"/>
    <w:rsid w:val="002E3006"/>
    <w:rsid w:val="002E6711"/>
    <w:rsid w:val="00304CD1"/>
    <w:rsid w:val="003A7521"/>
    <w:rsid w:val="004214CD"/>
    <w:rsid w:val="004764DA"/>
    <w:rsid w:val="00476B43"/>
    <w:rsid w:val="005F05D5"/>
    <w:rsid w:val="005F5009"/>
    <w:rsid w:val="006003DC"/>
    <w:rsid w:val="00601869"/>
    <w:rsid w:val="00615DC2"/>
    <w:rsid w:val="00660313"/>
    <w:rsid w:val="00722999"/>
    <w:rsid w:val="0073309B"/>
    <w:rsid w:val="007D6467"/>
    <w:rsid w:val="00806E4C"/>
    <w:rsid w:val="008A7563"/>
    <w:rsid w:val="0092731A"/>
    <w:rsid w:val="009431CA"/>
    <w:rsid w:val="009678F6"/>
    <w:rsid w:val="00980D50"/>
    <w:rsid w:val="009C607C"/>
    <w:rsid w:val="009C7E23"/>
    <w:rsid w:val="009D166E"/>
    <w:rsid w:val="00A118FC"/>
    <w:rsid w:val="00A234D8"/>
    <w:rsid w:val="00A60C51"/>
    <w:rsid w:val="00B2770B"/>
    <w:rsid w:val="00BC24F1"/>
    <w:rsid w:val="00BD0B9D"/>
    <w:rsid w:val="00BF4D8D"/>
    <w:rsid w:val="00C76E2F"/>
    <w:rsid w:val="00D33B2B"/>
    <w:rsid w:val="00DF1469"/>
    <w:rsid w:val="00DF2C1A"/>
    <w:rsid w:val="00E2087B"/>
    <w:rsid w:val="00E3552B"/>
    <w:rsid w:val="00F03D19"/>
    <w:rsid w:val="00F44C42"/>
    <w:rsid w:val="00F53BEF"/>
    <w:rsid w:val="00F613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510D-66A3-450C-BE01-1DAD12BF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2109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7</cp:revision>
  <dcterms:created xsi:type="dcterms:W3CDTF">2024-09-24T16:31:00Z</dcterms:created>
  <dcterms:modified xsi:type="dcterms:W3CDTF">2024-10-10T17:50:00Z</dcterms:modified>
</cp:coreProperties>
</file>