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DE2CBF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DE2CBF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DE2CBF" w:rsidR="00DE2CBF">
        <w:rPr>
          <w:rFonts w:asciiTheme="minorHAnsi" w:hAnsiTheme="minorHAnsi" w:cstheme="minorHAnsi"/>
          <w:b/>
          <w:color w:val="auto"/>
        </w:rPr>
        <w:t>213</w:t>
      </w:r>
      <w:r w:rsidRPr="00DE2CBF" w:rsidR="00EB17A8">
        <w:rPr>
          <w:rFonts w:asciiTheme="minorHAnsi" w:hAnsiTheme="minorHAnsi" w:cstheme="minorHAnsi"/>
          <w:b/>
          <w:color w:val="auto"/>
        </w:rPr>
        <w:t>/202</w:t>
      </w:r>
      <w:r w:rsidRPr="00DE2CBF" w:rsidR="005C59A3">
        <w:rPr>
          <w:rFonts w:asciiTheme="minorHAnsi" w:hAnsiTheme="minorHAnsi" w:cstheme="minorHAnsi"/>
          <w:b/>
          <w:color w:val="auto"/>
        </w:rPr>
        <w:t>4</w:t>
      </w:r>
      <w:r w:rsidRPr="00DE2CBF" w:rsidR="00EB17A8">
        <w:rPr>
          <w:rFonts w:asciiTheme="minorHAnsi" w:hAnsiTheme="minorHAnsi" w:cstheme="minorHAnsi"/>
          <w:b/>
          <w:color w:val="auto"/>
        </w:rPr>
        <w:t>.</w:t>
      </w:r>
    </w:p>
    <w:p w:rsidR="0022655C" w:rsidRPr="0022655C" w:rsidP="0022655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E6AF5">
        <w:rPr>
          <w:rFonts w:asciiTheme="minorHAnsi" w:hAnsiTheme="minorHAnsi" w:cstheme="minorHAnsi"/>
          <w:b/>
          <w:bCs/>
        </w:rPr>
        <w:t xml:space="preserve">Assunto: </w:t>
      </w:r>
      <w:r w:rsidRPr="00D70598" w:rsidR="00EB17A8">
        <w:rPr>
          <w:rFonts w:asciiTheme="minorHAnsi" w:hAnsiTheme="minorHAnsi" w:cstheme="minorHAnsi"/>
          <w:b/>
          <w:bCs/>
        </w:rPr>
        <w:t>Emenda 0</w:t>
      </w:r>
      <w:r w:rsidR="007904AB">
        <w:rPr>
          <w:rFonts w:asciiTheme="minorHAnsi" w:hAnsiTheme="minorHAnsi" w:cstheme="minorHAnsi"/>
          <w:b/>
          <w:bCs/>
        </w:rPr>
        <w:t>1</w:t>
      </w:r>
      <w:r w:rsidRPr="00D70598">
        <w:rPr>
          <w:rFonts w:asciiTheme="minorHAnsi" w:hAnsiTheme="minorHAnsi" w:cstheme="minorHAnsi"/>
          <w:b/>
          <w:bCs/>
        </w:rPr>
        <w:t xml:space="preserve"> ao Projeto de Lei nº </w:t>
      </w:r>
      <w:r w:rsidR="00F75C3F">
        <w:rPr>
          <w:rFonts w:asciiTheme="minorHAnsi" w:hAnsiTheme="minorHAnsi" w:cstheme="minorHAnsi"/>
          <w:b/>
          <w:bCs/>
        </w:rPr>
        <w:t>0</w:t>
      </w:r>
      <w:r>
        <w:rPr>
          <w:rFonts w:asciiTheme="minorHAnsi" w:hAnsiTheme="minorHAnsi" w:cstheme="minorHAnsi"/>
          <w:b/>
          <w:bCs/>
        </w:rPr>
        <w:t>70</w:t>
      </w:r>
      <w:r w:rsidR="00AA2F4C">
        <w:rPr>
          <w:rFonts w:asciiTheme="minorHAnsi" w:hAnsiTheme="minorHAnsi" w:cstheme="minorHAnsi"/>
          <w:b/>
          <w:bCs/>
        </w:rPr>
        <w:t>/</w:t>
      </w:r>
      <w:r w:rsidRPr="00D70598">
        <w:rPr>
          <w:rFonts w:asciiTheme="minorHAnsi" w:hAnsiTheme="minorHAnsi" w:cstheme="minorHAnsi"/>
          <w:b/>
          <w:bCs/>
        </w:rPr>
        <w:t>202</w:t>
      </w:r>
      <w:r w:rsidR="00E45153">
        <w:rPr>
          <w:rFonts w:asciiTheme="minorHAnsi" w:hAnsiTheme="minorHAnsi" w:cstheme="minorHAnsi"/>
          <w:b/>
          <w:bCs/>
        </w:rPr>
        <w:t>4</w:t>
      </w:r>
      <w:r w:rsidRPr="00D70598">
        <w:rPr>
          <w:rFonts w:asciiTheme="minorHAnsi" w:hAnsiTheme="minorHAnsi" w:cstheme="minorHAnsi"/>
          <w:b/>
          <w:bCs/>
        </w:rPr>
        <w:t xml:space="preserve"> </w:t>
      </w:r>
      <w:r w:rsidRPr="00944D41" w:rsidR="00B378D7">
        <w:rPr>
          <w:rFonts w:asciiTheme="minorHAnsi" w:hAnsiTheme="minorHAnsi" w:cstheme="minorHAnsi"/>
          <w:color w:val="auto"/>
        </w:rPr>
        <w:t xml:space="preserve">que </w:t>
      </w:r>
      <w:r w:rsidRPr="0022655C">
        <w:rPr>
          <w:rFonts w:asciiTheme="minorHAnsi" w:hAnsiTheme="minorHAnsi" w:cstheme="minorHAnsi"/>
          <w:color w:val="auto"/>
        </w:rPr>
        <w:t>"Institui o Programa Municipal de Acolhimento à Criança Vítima de Estupro - “Criança Não É Mãe” no município de Valinhos, e dá outras providências”</w:t>
      </w:r>
      <w:r w:rsidR="0073309B">
        <w:rPr>
          <w:rFonts w:asciiTheme="minorHAnsi" w:hAnsiTheme="minorHAnsi" w:cstheme="minorHAnsi"/>
          <w:color w:val="auto"/>
        </w:rPr>
        <w:t>.</w:t>
      </w:r>
    </w:p>
    <w:p w:rsidR="00750362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Autoria:</w:t>
      </w:r>
      <w:r w:rsidRPr="000473D6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B17A8" w:rsidR="00D4238B">
        <w:rPr>
          <w:rFonts w:asciiTheme="minorHAnsi" w:hAnsiTheme="minorHAnsi" w:cstheme="minorHAnsi"/>
          <w:bCs/>
          <w:szCs w:val="24"/>
        </w:rPr>
        <w:t>Vereador</w:t>
      </w:r>
      <w:r w:rsidR="00F75C3F">
        <w:rPr>
          <w:rFonts w:asciiTheme="minorHAnsi" w:hAnsiTheme="minorHAnsi" w:cstheme="minorHAnsi"/>
          <w:bCs/>
          <w:szCs w:val="24"/>
        </w:rPr>
        <w:t xml:space="preserve"> </w:t>
      </w:r>
      <w:r w:rsidR="0022655C">
        <w:rPr>
          <w:rFonts w:asciiTheme="minorHAnsi" w:hAnsiTheme="minorHAnsi" w:cstheme="minorHAnsi"/>
          <w:bCs/>
          <w:szCs w:val="24"/>
        </w:rPr>
        <w:t xml:space="preserve">Marcelo </w:t>
      </w:r>
      <w:r w:rsidRPr="0022655C" w:rsidR="0022655C">
        <w:rPr>
          <w:rFonts w:asciiTheme="minorHAnsi" w:hAnsiTheme="minorHAnsi" w:cstheme="minorHAnsi"/>
          <w:bCs/>
          <w:szCs w:val="24"/>
        </w:rPr>
        <w:t>Sussumu</w:t>
      </w:r>
      <w:r w:rsidRPr="0022655C" w:rsidR="0022655C">
        <w:rPr>
          <w:rFonts w:asciiTheme="minorHAnsi" w:hAnsiTheme="minorHAnsi" w:cstheme="minorHAnsi"/>
          <w:bCs/>
          <w:szCs w:val="24"/>
        </w:rPr>
        <w:t xml:space="preserve"> Yanachi Yoshida</w:t>
      </w:r>
      <w:r w:rsidR="0022655C">
        <w:rPr>
          <w:rFonts w:asciiTheme="minorHAnsi" w:hAnsiTheme="minorHAnsi" w:cstheme="minorHAnsi"/>
          <w:bCs/>
          <w:szCs w:val="24"/>
        </w:rPr>
        <w:t>.</w:t>
      </w:r>
    </w:p>
    <w:p w:rsidR="0022655C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22655C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22655C" w:rsidRPr="0022655C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 xml:space="preserve">Exmo. Presidente </w:t>
      </w:r>
      <w:r w:rsidR="00963B6F">
        <w:rPr>
          <w:rFonts w:ascii="Calibri" w:hAnsi="Calibri" w:cs="Calibri"/>
          <w:b/>
          <w:i/>
          <w:color w:val="auto"/>
        </w:rPr>
        <w:t xml:space="preserve">Vereador </w:t>
      </w:r>
      <w:r w:rsidR="00431C9A">
        <w:rPr>
          <w:rFonts w:ascii="Calibri" w:hAnsi="Calibri" w:cs="Calibri"/>
          <w:b/>
          <w:i/>
          <w:color w:val="auto"/>
        </w:rPr>
        <w:t>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2655C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2655C" w:rsidP="00E45153">
      <w:pPr>
        <w:pStyle w:val="Default"/>
        <w:spacing w:after="240" w:line="360" w:lineRule="auto"/>
        <w:ind w:firstLine="1418"/>
        <w:jc w:val="both"/>
        <w:rPr>
          <w:rFonts w:asciiTheme="minorHAnsi" w:hAnsiTheme="minorHAnsi"/>
        </w:rPr>
      </w:pPr>
      <w:r w:rsidRPr="0022655C">
        <w:rPr>
          <w:rFonts w:asciiTheme="minorHAnsi" w:hAnsiTheme="minorHAnsi" w:cstheme="minorHAnsi"/>
          <w:color w:val="auto"/>
        </w:rPr>
        <w:t>Trata-se de parecer jurídic</w:t>
      </w:r>
      <w:r w:rsidRPr="0022655C"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22655C">
        <w:rPr>
          <w:rFonts w:asciiTheme="minorHAnsi" w:hAnsiTheme="minorHAnsi" w:cstheme="minorHAnsi"/>
          <w:color w:val="auto"/>
        </w:rPr>
        <w:t>que</w:t>
      </w:r>
      <w:r w:rsidRPr="0022655C" w:rsidR="00D4238B">
        <w:rPr>
          <w:rFonts w:asciiTheme="minorHAnsi" w:hAnsiTheme="minorHAnsi" w:cstheme="minorHAnsi"/>
          <w:color w:val="auto"/>
        </w:rPr>
        <w:t xml:space="preserve"> </w:t>
      </w:r>
      <w:r w:rsidRPr="0022655C" w:rsidR="00B378D7">
        <w:rPr>
          <w:rFonts w:asciiTheme="minorHAnsi" w:hAnsiTheme="minorHAnsi" w:cstheme="minorHAnsi"/>
          <w:color w:val="auto"/>
        </w:rPr>
        <w:t>tenciona</w:t>
      </w:r>
      <w:r w:rsidRPr="0022655C" w:rsidR="00944D41">
        <w:rPr>
          <w:rFonts w:asciiTheme="minorHAnsi" w:hAnsiTheme="minorHAnsi" w:cstheme="minorHAnsi"/>
          <w:color w:val="auto"/>
        </w:rPr>
        <w:t xml:space="preserve"> suprimir </w:t>
      </w:r>
      <w:r w:rsidRPr="0022655C">
        <w:rPr>
          <w:rFonts w:asciiTheme="minorHAnsi" w:hAnsiTheme="minorHAnsi"/>
        </w:rPr>
        <w:t>o §</w:t>
      </w:r>
      <w:r w:rsidRPr="0022655C">
        <w:rPr>
          <w:rFonts w:asciiTheme="minorHAnsi" w:hAnsiTheme="minorHAnsi"/>
        </w:rPr>
        <w:t xml:space="preserve">1º do artigo 2º, bem como </w:t>
      </w:r>
      <w:r w:rsidRPr="0022655C">
        <w:rPr>
          <w:rFonts w:asciiTheme="minorHAnsi" w:hAnsiTheme="minorHAnsi"/>
        </w:rPr>
        <w:t>inserir incisos ao</w:t>
      </w:r>
      <w:r w:rsidRPr="0022655C">
        <w:rPr>
          <w:rFonts w:asciiTheme="minorHAnsi" w:hAnsiTheme="minorHAnsi"/>
        </w:rPr>
        <w:t xml:space="preserve"> artigo 4º</w:t>
      </w:r>
      <w:r w:rsidRPr="0022655C">
        <w:rPr>
          <w:rFonts w:asciiTheme="minorHAnsi" w:hAnsiTheme="minorHAnsi"/>
        </w:rPr>
        <w:t xml:space="preserve"> </w:t>
      </w:r>
      <w:r w:rsidRPr="0022655C" w:rsidR="00944D41">
        <w:rPr>
          <w:rFonts w:asciiTheme="minorHAnsi" w:hAnsiTheme="minorHAnsi"/>
        </w:rPr>
        <w:t xml:space="preserve">do Projeto de Lei nº </w:t>
      </w:r>
      <w:r w:rsidRPr="0022655C">
        <w:rPr>
          <w:rFonts w:asciiTheme="minorHAnsi" w:hAnsiTheme="minorHAnsi"/>
        </w:rPr>
        <w:t>70</w:t>
      </w:r>
      <w:r w:rsidRPr="0022655C" w:rsidR="00944D41">
        <w:rPr>
          <w:rFonts w:asciiTheme="minorHAnsi" w:hAnsiTheme="minorHAnsi"/>
        </w:rPr>
        <w:t>/202</w:t>
      </w:r>
      <w:r w:rsidRPr="0022655C" w:rsidR="00E45153">
        <w:rPr>
          <w:rFonts w:asciiTheme="minorHAnsi" w:hAnsiTheme="minorHAnsi"/>
        </w:rPr>
        <w:t>4</w:t>
      </w:r>
      <w:r w:rsidRPr="0022655C" w:rsidR="00944D41">
        <w:rPr>
          <w:rFonts w:asciiTheme="minorHAnsi" w:hAnsiTheme="minorHAnsi"/>
        </w:rPr>
        <w:t xml:space="preserve"> que </w:t>
      </w:r>
      <w:r w:rsidRPr="0022655C" w:rsidR="00864FC4">
        <w:rPr>
          <w:rFonts w:asciiTheme="minorHAnsi" w:hAnsiTheme="minorHAnsi"/>
          <w:i/>
        </w:rPr>
        <w:t>"</w:t>
      </w:r>
      <w:r w:rsidRPr="0022655C">
        <w:rPr>
          <w:rFonts w:asciiTheme="minorHAnsi" w:hAnsiTheme="minorHAnsi"/>
          <w:i/>
        </w:rPr>
        <w:t>Institui o Programa Municipal de Acolhimento à Criança Vítima de Estupro - “Criança Não É Mãe” no município de Valinhos, e dá outras providências”</w:t>
      </w:r>
      <w:r>
        <w:rPr>
          <w:rFonts w:asciiTheme="minorHAnsi" w:hAnsiTheme="minorHAnsi"/>
          <w:i/>
        </w:rPr>
        <w:t xml:space="preserve">, </w:t>
      </w:r>
      <w:r>
        <w:rPr>
          <w:rFonts w:asciiTheme="minorHAnsi" w:hAnsiTheme="minorHAnsi"/>
        </w:rPr>
        <w:t xml:space="preserve">nos seguintes termos: </w:t>
      </w:r>
    </w:p>
    <w:tbl>
      <w:tblPr>
        <w:tblStyle w:val="TableGrid"/>
        <w:tblW w:w="0" w:type="auto"/>
        <w:tblLook w:val="04A0"/>
      </w:tblPr>
      <w:tblGrid>
        <w:gridCol w:w="4077"/>
        <w:gridCol w:w="4142"/>
      </w:tblGrid>
      <w:tr w:rsidTr="00DE2CBF">
        <w:tblPrEx>
          <w:tblW w:w="0" w:type="auto"/>
          <w:tblLook w:val="04A0"/>
        </w:tblPrEx>
        <w:trPr>
          <w:trHeight w:val="403"/>
        </w:trPr>
        <w:tc>
          <w:tcPr>
            <w:tcW w:w="4077" w:type="dxa"/>
          </w:tcPr>
          <w:p w:rsidR="0022655C" w:rsidRPr="0022655C" w:rsidP="00592DEF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22655C" w:rsidRPr="0022655C" w:rsidP="0022655C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2655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Projeto de Lei nº </w:t>
            </w:r>
            <w:r w:rsidRPr="0022655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70</w:t>
            </w:r>
            <w:r w:rsidRPr="0022655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/2024</w:t>
            </w:r>
          </w:p>
        </w:tc>
        <w:tc>
          <w:tcPr>
            <w:tcW w:w="4142" w:type="dxa"/>
          </w:tcPr>
          <w:p w:rsidR="0022655C" w:rsidRPr="0022655C" w:rsidP="00592DEF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22655C" w:rsidRPr="0022655C" w:rsidP="00592DEF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2655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Emenda 0</w:t>
            </w:r>
            <w:r w:rsidRPr="0022655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</w:t>
            </w:r>
            <w:r w:rsidRPr="0022655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ao PL </w:t>
            </w:r>
            <w:r w:rsidRPr="0022655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70</w:t>
            </w:r>
            <w:r w:rsidRPr="0022655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/2024</w:t>
            </w:r>
          </w:p>
          <w:p w:rsidR="0022655C" w:rsidRPr="0022655C" w:rsidP="00592DEF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Tr="00DE2CBF">
        <w:tblPrEx>
          <w:tblW w:w="0" w:type="auto"/>
          <w:tblLook w:val="04A0"/>
        </w:tblPrEx>
        <w:tc>
          <w:tcPr>
            <w:tcW w:w="4077" w:type="dxa"/>
          </w:tcPr>
          <w:p w:rsidR="00DE2CBF" w:rsidP="00592DEF">
            <w:pPr>
              <w:pStyle w:val="Default"/>
              <w:ind w:left="142" w:right="137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DE2CBF" w:rsidP="00592DEF">
            <w:pPr>
              <w:pStyle w:val="Default"/>
              <w:ind w:left="142" w:right="137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DE2CBF" w:rsidP="00592DEF">
            <w:pPr>
              <w:pStyle w:val="Default"/>
              <w:ind w:left="142" w:right="137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DE2CBF" w:rsidP="00592DEF">
            <w:pPr>
              <w:pStyle w:val="Default"/>
              <w:ind w:left="142" w:right="137"/>
              <w:jc w:val="both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DE2CBF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Art. 2º O programa “Criança Não É Mãe” deverá realizar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E2CBF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atividades de formação com os profissionais de saúde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E2CBF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pública para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E2CBF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promover o acolhimento humanizado das crianças e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E2CBF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adolescentes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E2CBF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gestantes, proporcionar atendimento psicossocial e fornecer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E2CBF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orientação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E2CBF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efetiva quanto ao direito de acesso ao aborto legal.</w:t>
            </w:r>
          </w:p>
          <w:p w:rsidR="00DE2CBF" w:rsidP="00DE2CBF">
            <w:pPr>
              <w:pStyle w:val="Default"/>
              <w:ind w:left="142" w:right="137"/>
              <w:jc w:val="both"/>
              <w:rPr>
                <w:rFonts w:asciiTheme="minorHAnsi" w:hAnsiTheme="minorHAnsi" w:cs="Arial"/>
                <w:b/>
                <w:sz w:val="22"/>
                <w:szCs w:val="22"/>
                <w:shd w:val="clear" w:color="auto" w:fill="FFFFFF"/>
              </w:rPr>
            </w:pPr>
            <w:r w:rsidRPr="00DE2CBF">
              <w:rPr>
                <w:rFonts w:asciiTheme="minorHAnsi" w:hAnsiTheme="minorHAnsi"/>
                <w:sz w:val="22"/>
                <w:szCs w:val="22"/>
              </w:rPr>
              <w:br/>
            </w:r>
            <w:r w:rsidRPr="00DE2CBF">
              <w:rPr>
                <w:rFonts w:asciiTheme="minorHAnsi" w:hAnsiTheme="minorHAnsi" w:cs="Arial"/>
                <w:b/>
                <w:sz w:val="22"/>
                <w:szCs w:val="22"/>
                <w:shd w:val="clear" w:color="auto" w:fill="FFFFFF"/>
              </w:rPr>
              <w:t>§ 1º O não cumprimento do disposto</w:t>
            </w:r>
            <w:r>
              <w:rPr>
                <w:rFonts w:asciiTheme="minorHAnsi" w:hAnsiTheme="minorHAnsi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DE2CBF">
              <w:rPr>
                <w:rFonts w:asciiTheme="minorHAnsi" w:hAnsiTheme="minorHAnsi" w:cs="Arial"/>
                <w:b/>
                <w:sz w:val="22"/>
                <w:szCs w:val="22"/>
                <w:shd w:val="clear" w:color="auto" w:fill="FFFFFF"/>
              </w:rPr>
              <w:t>no caput deste artigo</w:t>
            </w:r>
            <w:r>
              <w:rPr>
                <w:rFonts w:asciiTheme="minorHAnsi" w:hAnsiTheme="minorHAnsi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DE2CBF">
              <w:rPr>
                <w:rFonts w:asciiTheme="minorHAnsi" w:hAnsiTheme="minorHAnsi" w:cs="Arial"/>
                <w:b/>
                <w:sz w:val="22"/>
                <w:szCs w:val="22"/>
                <w:shd w:val="clear" w:color="auto" w:fill="FFFFFF"/>
              </w:rPr>
              <w:t>acarretará abertura de processo disciplinar.</w:t>
            </w:r>
          </w:p>
          <w:p w:rsidR="0022655C" w:rsidRPr="0022655C" w:rsidP="00DE2CBF">
            <w:pPr>
              <w:pStyle w:val="Default"/>
              <w:ind w:left="142" w:right="137"/>
              <w:jc w:val="both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DE2CBF">
              <w:rPr>
                <w:rFonts w:asciiTheme="minorHAnsi" w:hAnsiTheme="minorHAnsi"/>
                <w:sz w:val="22"/>
                <w:szCs w:val="22"/>
              </w:rPr>
              <w:br/>
            </w:r>
            <w:r w:rsidRPr="00DE2CBF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§ 2º Os profissionais da saúde deverão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E2CBF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ser instruídos a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E2CBF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assegurar que o direito da vítima seja garantido com o mínimo prazo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E2CBF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possível, assim como reconhecer e reportar casos de negligência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4142" w:type="dxa"/>
          </w:tcPr>
          <w:p w:rsidR="0022655C" w:rsidP="0022655C">
            <w:pPr>
              <w:pStyle w:val="Default"/>
              <w:tabs>
                <w:tab w:val="left" w:pos="1630"/>
              </w:tabs>
              <w:ind w:left="317" w:right="20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655C">
              <w:rPr>
                <w:rFonts w:asciiTheme="minorHAnsi" w:hAnsiTheme="minorHAnsi"/>
                <w:b/>
                <w:sz w:val="22"/>
                <w:szCs w:val="22"/>
              </w:rPr>
              <w:t>Art. 1º</w:t>
            </w:r>
            <w:r w:rsidRPr="0022655C">
              <w:rPr>
                <w:rFonts w:asciiTheme="minorHAnsi" w:hAnsiTheme="minorHAnsi"/>
                <w:sz w:val="22"/>
                <w:szCs w:val="22"/>
              </w:rPr>
              <w:t xml:space="preserve"> Suprime-se o § 1º do artigo 2º do PL 70/2024, assim renumerando os demais parágrafos.</w:t>
            </w:r>
          </w:p>
          <w:p w:rsidR="0022655C" w:rsidRPr="0022655C" w:rsidP="0022655C">
            <w:pPr>
              <w:pStyle w:val="Default"/>
              <w:tabs>
                <w:tab w:val="left" w:pos="1630"/>
              </w:tabs>
              <w:ind w:left="317" w:right="204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</w:p>
        </w:tc>
      </w:tr>
      <w:tr w:rsidTr="00DE2CBF">
        <w:tblPrEx>
          <w:tblW w:w="0" w:type="auto"/>
          <w:tblLook w:val="04A0"/>
        </w:tblPrEx>
        <w:tc>
          <w:tcPr>
            <w:tcW w:w="4077" w:type="dxa"/>
          </w:tcPr>
          <w:p w:rsidR="00DE2CBF" w:rsidP="00DE2CBF">
            <w:pPr>
              <w:ind w:left="142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DE2CBF" w:rsidP="00DE2CBF">
            <w:pPr>
              <w:ind w:left="142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DE2CBF" w:rsidP="00DE2CBF">
            <w:pPr>
              <w:ind w:left="142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DE2CBF" w:rsidP="00DE2CBF">
            <w:pPr>
              <w:ind w:left="142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DE2CBF" w:rsidP="00DE2CBF">
            <w:pPr>
              <w:ind w:left="142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DE2CBF" w:rsidP="00DE2CBF">
            <w:pPr>
              <w:ind w:left="142" w:right="175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  <w:r w:rsidRPr="00DE2CBF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>Art. 4º O programa “Criança Não É Mãe” deverá reunir todos os</w:t>
            </w:r>
            <w:r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DE2CBF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>registros de casos de abuso e violência sexual infantil,</w:t>
            </w:r>
            <w:r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DE2CBF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>estupro de</w:t>
            </w:r>
            <w:r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DE2CBF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>vulnerável, estupro presumido e o abortamento legal nos referidos casos,</w:t>
            </w:r>
            <w:r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DE2CBF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>para produção de dados acerca da maternidade infantil no município de</w:t>
            </w:r>
            <w:r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DE2CBF">
              <w:rPr>
                <w:rFonts w:eastAsia="Calibri" w:asciiTheme="minorHAnsi" w:hAnsiTheme="minorHAnsi"/>
                <w:color w:val="000000"/>
                <w:sz w:val="22"/>
                <w:szCs w:val="22"/>
                <w:u w:val="thick"/>
              </w:rPr>
              <w:t>Valinhos,</w:t>
            </w:r>
            <w:r w:rsidRPr="00DE2CBF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 contendo minimamente as seguintes</w:t>
            </w:r>
            <w:r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 i</w:t>
            </w:r>
            <w:r w:rsidRPr="00DE2CBF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>nformações sobre as</w:t>
            </w:r>
            <w:r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DE2CBF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>vítimas:</w:t>
            </w:r>
          </w:p>
          <w:p w:rsidR="00DE2CBF" w:rsidRPr="00DE2CBF" w:rsidP="00DE2CBF">
            <w:pPr>
              <w:ind w:left="142" w:right="175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  <w:r w:rsidRPr="00DE2CBF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br/>
            </w:r>
          </w:p>
          <w:p w:rsidR="0022655C" w:rsidRPr="0022655C" w:rsidP="00592DEF">
            <w:pPr>
              <w:pStyle w:val="Default"/>
              <w:ind w:left="142" w:right="137"/>
              <w:jc w:val="both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4142" w:type="dxa"/>
          </w:tcPr>
          <w:p w:rsidR="00DE2CBF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2655C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655C">
              <w:rPr>
                <w:rFonts w:asciiTheme="minorHAnsi" w:hAnsiTheme="minorHAnsi"/>
                <w:b/>
                <w:sz w:val="22"/>
                <w:szCs w:val="22"/>
              </w:rPr>
              <w:t>Art. 2º</w:t>
            </w:r>
            <w:r w:rsidRPr="0022655C">
              <w:rPr>
                <w:rFonts w:asciiTheme="minorHAnsi" w:hAnsiTheme="minorHAnsi"/>
                <w:sz w:val="22"/>
                <w:szCs w:val="22"/>
              </w:rPr>
              <w:t xml:space="preserve"> Incluem-se incisos no texto do artigo 4º do PL 70/2024, que deverá vigorar com a seguinte redação:</w:t>
            </w:r>
          </w:p>
          <w:p w:rsidR="0022655C" w:rsidRPr="0022655C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2655C" w:rsidP="00DE2CBF">
            <w:pPr>
              <w:pStyle w:val="Default"/>
              <w:tabs>
                <w:tab w:val="left" w:pos="3861"/>
              </w:tabs>
              <w:ind w:left="317" w:right="20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655C">
              <w:rPr>
                <w:rFonts w:asciiTheme="minorHAnsi" w:hAnsiTheme="minorHAnsi"/>
                <w:sz w:val="22"/>
                <w:szCs w:val="22"/>
              </w:rPr>
              <w:t>“Art.</w:t>
            </w:r>
            <w:r w:rsidRPr="0022655C">
              <w:rPr>
                <w:rFonts w:asciiTheme="minorHAnsi" w:hAnsiTheme="minorHAnsi"/>
                <w:sz w:val="22"/>
                <w:szCs w:val="22"/>
              </w:rPr>
              <w:t xml:space="preserve"> 4º O programa “Criança Não É Mãe” deverá reunir todos os registros de casos de abuso e violência sexual infantil, estupro de vulnerável, estupro presumido e</w:t>
            </w:r>
            <w:r w:rsidR="00DE2C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2655C">
              <w:rPr>
                <w:rFonts w:asciiTheme="minorHAnsi" w:hAnsiTheme="minorHAnsi"/>
                <w:sz w:val="22"/>
                <w:szCs w:val="22"/>
              </w:rPr>
              <w:t xml:space="preserve">o abortamento legal nos referidos casos, para produção de dados acerca da maternidade infantil no município de </w:t>
            </w:r>
            <w:r w:rsidRPr="00DE2CBF">
              <w:rPr>
                <w:rFonts w:asciiTheme="minorHAnsi" w:hAnsiTheme="minorHAnsi"/>
                <w:sz w:val="22"/>
                <w:szCs w:val="22"/>
                <w:u w:val="thick"/>
              </w:rPr>
              <w:t>Campinas</w:t>
            </w:r>
            <w:r w:rsidRPr="0022655C">
              <w:rPr>
                <w:rFonts w:asciiTheme="minorHAnsi" w:hAnsiTheme="minorHAnsi"/>
                <w:sz w:val="22"/>
                <w:szCs w:val="22"/>
              </w:rPr>
              <w:t>, contendo minimamente as seguintes informações sobre as vítimas:</w:t>
            </w:r>
          </w:p>
          <w:p w:rsidR="0022655C" w:rsidRPr="0022655C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2655C">
              <w:rPr>
                <w:rFonts w:asciiTheme="minorHAnsi" w:hAnsiTheme="minorHAnsi"/>
                <w:b/>
                <w:sz w:val="22"/>
                <w:szCs w:val="22"/>
              </w:rPr>
              <w:t xml:space="preserve">I - Idade; </w:t>
            </w:r>
          </w:p>
          <w:p w:rsidR="0022655C" w:rsidRPr="0022655C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2655C">
              <w:rPr>
                <w:rFonts w:asciiTheme="minorHAnsi" w:hAnsiTheme="minorHAnsi"/>
                <w:b/>
                <w:sz w:val="22"/>
                <w:szCs w:val="22"/>
              </w:rPr>
              <w:t xml:space="preserve">II - Raça/cor; </w:t>
            </w:r>
          </w:p>
          <w:p w:rsidR="0022655C" w:rsidRPr="0022655C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2655C">
              <w:rPr>
                <w:rFonts w:asciiTheme="minorHAnsi" w:hAnsiTheme="minorHAnsi"/>
                <w:b/>
                <w:sz w:val="22"/>
                <w:szCs w:val="22"/>
              </w:rPr>
              <w:t xml:space="preserve">III - Condições socioeconômicas; </w:t>
            </w:r>
          </w:p>
          <w:p w:rsidR="0022655C" w:rsidRPr="0022655C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2655C">
              <w:rPr>
                <w:rFonts w:asciiTheme="minorHAnsi" w:hAnsiTheme="minorHAnsi"/>
                <w:b/>
                <w:sz w:val="22"/>
                <w:szCs w:val="22"/>
              </w:rPr>
              <w:t xml:space="preserve">IV - Realização ou não do aborto; </w:t>
            </w:r>
            <w:r w:rsidRPr="0022655C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22655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22655C" w:rsidRPr="0022655C" w:rsidP="0022655C">
            <w:pPr>
              <w:pStyle w:val="Default"/>
              <w:ind w:left="317" w:right="20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2655C">
              <w:rPr>
                <w:rFonts w:asciiTheme="minorHAnsi" w:hAnsiTheme="minorHAnsi"/>
                <w:b/>
                <w:sz w:val="22"/>
                <w:szCs w:val="22"/>
              </w:rPr>
              <w:t>V - Se houve ou não denúncia e processo penal.”</w:t>
            </w:r>
          </w:p>
          <w:p w:rsidR="0022655C" w:rsidRPr="0022655C" w:rsidP="0022655C">
            <w:pPr>
              <w:pStyle w:val="Default"/>
              <w:ind w:left="317" w:right="204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</w:p>
        </w:tc>
      </w:tr>
    </w:tbl>
    <w:p w:rsidR="0022655C" w:rsidRPr="0022655C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B378D7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1D6A14">
        <w:rPr>
          <w:rFonts w:asciiTheme="minorHAnsi" w:hAnsiTheme="minorHAnsi" w:cstheme="minorHAnsi"/>
          <w:i/>
          <w:color w:val="auto"/>
        </w:rPr>
        <w:t>Ab initio</w:t>
      </w:r>
      <w:r w:rsidRPr="001D6A14">
        <w:rPr>
          <w:rFonts w:asciiTheme="minorHAnsi" w:hAnsiTheme="minorHAnsi" w:cstheme="minorHAnsi"/>
          <w:color w:val="auto"/>
        </w:rPr>
        <w:t>, cumpre destacar a competência regimental d</w:t>
      </w:r>
      <w:r w:rsidRPr="001D6A14" w:rsidR="004B1794">
        <w:rPr>
          <w:rFonts w:asciiTheme="minorHAnsi" w:hAnsiTheme="minorHAnsi" w:cstheme="minorHAnsi"/>
          <w:color w:val="auto"/>
        </w:rPr>
        <w:t>a Comissão de Justiça e Redação</w:t>
      </w:r>
      <w:r w:rsidRPr="001D6A14">
        <w:rPr>
          <w:rFonts w:asciiTheme="minorHAnsi" w:hAnsiTheme="minorHAnsi" w:cstheme="minorHAnsi"/>
          <w:color w:val="auto"/>
        </w:rPr>
        <w:t xml:space="preserve"> estabelecida no artigo 38.</w:t>
      </w:r>
      <w:r w:rsidRPr="001D6A14" w:rsidR="0082204D">
        <w:rPr>
          <w:rFonts w:asciiTheme="minorHAnsi" w:hAnsiTheme="minorHAnsi" w:cstheme="minorHAnsi"/>
          <w:color w:val="auto"/>
        </w:rPr>
        <w:t xml:space="preserve"> </w:t>
      </w:r>
    </w:p>
    <w:p w:rsidR="00A779B8" w:rsidRPr="001D6A14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</w:t>
      </w:r>
      <w:r w:rsidRPr="001D6A14" w:rsidR="0082204D">
        <w:rPr>
          <w:rFonts w:asciiTheme="minorHAnsi" w:hAnsiTheme="minorHAnsi" w:cstheme="minorHAnsi"/>
          <w:color w:val="auto"/>
        </w:rPr>
        <w:t>ssalta-se</w:t>
      </w:r>
      <w:r w:rsidRPr="001D6A14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1D6A14">
        <w:rPr>
          <w:rFonts w:asciiTheme="minorHAnsi" w:hAnsiTheme="minorHAnsi" w:cstheme="minorHAnsi"/>
          <w:b/>
          <w:color w:val="auto"/>
        </w:rPr>
        <w:t>não tem força vinculante</w:t>
      </w:r>
      <w:r w:rsidRPr="00365F3A">
        <w:rPr>
          <w:rFonts w:asciiTheme="minorHAnsi" w:hAnsiTheme="minorHAnsi" w:cstheme="minorHAnsi"/>
          <w:color w:val="auto"/>
        </w:rPr>
        <w:t xml:space="preserve">, </w:t>
      </w:r>
      <w:r w:rsidRPr="001D6A14">
        <w:rPr>
          <w:rFonts w:asciiTheme="minorHAnsi" w:hAnsiTheme="minorHAnsi" w:cstheme="minorHAnsi"/>
          <w:color w:val="auto"/>
        </w:rPr>
        <w:t>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="007703E8">
        <w:rPr>
          <w:rFonts w:asciiTheme="minorHAnsi" w:hAnsiTheme="minorHAnsi" w:cstheme="minorHAnsi"/>
          <w:color w:val="auto"/>
        </w:rPr>
        <w:t xml:space="preserve"> para ulterior emissão de parecer </w:t>
      </w:r>
      <w:r w:rsidR="00027908">
        <w:rPr>
          <w:rFonts w:asciiTheme="minorHAnsi" w:hAnsiTheme="minorHAnsi" w:cstheme="minorHAnsi"/>
          <w:color w:val="auto"/>
        </w:rPr>
        <w:t>pelas Comissões.</w:t>
      </w:r>
      <w:r w:rsidRPr="001D6A14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D262DC" w:rsidP="00F648BB">
      <w:pPr>
        <w:tabs>
          <w:tab w:val="left" w:pos="1701"/>
        </w:tabs>
        <w:spacing w:after="24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szCs w:val="24"/>
        </w:rPr>
        <w:t>Assim</w:t>
      </w:r>
      <w:r w:rsidRPr="00D262DC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D262DC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D262DC" w:rsidP="00F648BB">
      <w:pPr>
        <w:spacing w:before="240" w:after="24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D262DC">
        <w:rPr>
          <w:rFonts w:asciiTheme="minorHAnsi" w:hAnsiTheme="minorHAnsi" w:cs="Calibri"/>
          <w:szCs w:val="24"/>
        </w:rPr>
        <w:t>No que tange ao</w:t>
      </w:r>
      <w:r w:rsidR="0073309B">
        <w:rPr>
          <w:rFonts w:asciiTheme="minorHAnsi" w:hAnsiTheme="minorHAnsi" w:cs="Calibri"/>
          <w:szCs w:val="24"/>
        </w:rPr>
        <w:t xml:space="preserve"> projeto de emenda</w:t>
      </w:r>
      <w:r w:rsidR="003E1CF9">
        <w:rPr>
          <w:rFonts w:asciiTheme="minorHAnsi" w:hAnsiTheme="minorHAnsi" w:cs="Calibri"/>
          <w:szCs w:val="24"/>
        </w:rPr>
        <w:t xml:space="preserve"> </w:t>
      </w:r>
      <w:r w:rsidRPr="00D262DC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32224F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32224F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944D41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944D41">
        <w:rPr>
          <w:rFonts w:asciiTheme="minorHAnsi" w:hAnsiTheme="minorHAnsi" w:cs="Calibri"/>
          <w:b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222C85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22655C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22655C">
        <w:rPr>
          <w:rFonts w:asciiTheme="minorHAnsi" w:hAnsiTheme="minorHAnsi" w:cs="Calibri"/>
          <w:b/>
          <w:i/>
          <w:sz w:val="22"/>
          <w:szCs w:val="22"/>
        </w:rPr>
        <w:t xml:space="preserve">§ 3º. Emenda aditiva é a que deve ser acrescentada aos termos do artigo. </w:t>
      </w:r>
    </w:p>
    <w:p w:rsidR="00A779B8" w:rsidRPr="00944D41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944D41">
        <w:rPr>
          <w:rFonts w:asciiTheme="minorHAnsi" w:hAnsiTheme="minorHAns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32224F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32224F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32224F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32224F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32224F">
        <w:rPr>
          <w:rFonts w:asciiTheme="minorHAnsi" w:hAnsiTheme="minorHAnsi" w:cs="Calibri"/>
          <w:i/>
          <w:sz w:val="22"/>
          <w:szCs w:val="22"/>
        </w:rPr>
        <w:t>emenda estranhos</w:t>
      </w:r>
      <w:r w:rsidRPr="0032224F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C6D50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</w:p>
    <w:p w:rsidR="00A779B8" w:rsidRPr="00864FC4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szCs w:val="24"/>
        </w:rPr>
      </w:pPr>
      <w:r w:rsidRPr="00EA43E7">
        <w:rPr>
          <w:rFonts w:asciiTheme="minorHAnsi" w:hAnsiTheme="minorHAnsi" w:cs="Calibri"/>
          <w:szCs w:val="24"/>
        </w:rPr>
        <w:t xml:space="preserve"> Destarte, verifica-se que o projeto de emenda </w:t>
      </w:r>
      <w:r w:rsidRPr="00EA43E7" w:rsidR="005D6203">
        <w:rPr>
          <w:rFonts w:asciiTheme="minorHAnsi" w:hAnsiTheme="minorHAnsi" w:cs="Calibri"/>
          <w:szCs w:val="24"/>
        </w:rPr>
        <w:t xml:space="preserve">em apreço </w:t>
      </w:r>
      <w:r w:rsidRPr="00EA43E7">
        <w:rPr>
          <w:rFonts w:asciiTheme="minorHAnsi" w:hAnsiTheme="minorHAnsi" w:cs="Calibri"/>
          <w:szCs w:val="24"/>
        </w:rPr>
        <w:t>atende aos dispositivos do Regimento Interno da Câmara, não havendo óbice regimental na sua tramitação</w:t>
      </w:r>
      <w:r w:rsidR="00944D41">
        <w:rPr>
          <w:rFonts w:asciiTheme="minorHAnsi" w:hAnsiTheme="minorHAnsi" w:cs="Calibri"/>
          <w:szCs w:val="24"/>
        </w:rPr>
        <w:t xml:space="preserve"> </w:t>
      </w:r>
      <w:r w:rsidRPr="001A7907" w:rsidR="00944D41">
        <w:rPr>
          <w:rFonts w:asciiTheme="minorHAnsi" w:hAnsiTheme="minorHAnsi" w:cs="Calibri"/>
          <w:szCs w:val="24"/>
        </w:rPr>
        <w:t>e</w:t>
      </w:r>
      <w:r w:rsidR="0070670C">
        <w:rPr>
          <w:rFonts w:asciiTheme="minorHAnsi" w:hAnsiTheme="minorHAnsi" w:cs="Calibri"/>
          <w:szCs w:val="24"/>
        </w:rPr>
        <w:t>,</w:t>
      </w:r>
      <w:r w:rsidR="00944D41">
        <w:rPr>
          <w:rFonts w:asciiTheme="minorHAnsi" w:hAnsiTheme="minorHAnsi" w:cs="Calibri"/>
          <w:szCs w:val="24"/>
        </w:rPr>
        <w:t xml:space="preserve"> quanto à matéria</w:t>
      </w:r>
      <w:r w:rsidR="0070670C">
        <w:rPr>
          <w:rFonts w:asciiTheme="minorHAnsi" w:hAnsiTheme="minorHAnsi" w:cs="Calibri"/>
          <w:szCs w:val="24"/>
        </w:rPr>
        <w:t>,</w:t>
      </w:r>
      <w:r w:rsidRPr="001A7907" w:rsidR="00944D41">
        <w:rPr>
          <w:rFonts w:asciiTheme="minorHAnsi" w:hAnsiTheme="minorHAnsi" w:cs="Calibri"/>
          <w:szCs w:val="24"/>
        </w:rPr>
        <w:t xml:space="preserve"> concluímos pela constitucionalidade do projeto que se limita a propo</w:t>
      </w:r>
      <w:r w:rsidR="0073309B">
        <w:rPr>
          <w:rFonts w:asciiTheme="minorHAnsi" w:hAnsiTheme="minorHAnsi" w:cs="Calibri"/>
          <w:szCs w:val="24"/>
        </w:rPr>
        <w:t>r alterações</w:t>
      </w:r>
      <w:bookmarkStart w:id="0" w:name="_GoBack"/>
      <w:bookmarkEnd w:id="0"/>
      <w:r w:rsidRPr="001A7907" w:rsidR="00944D41">
        <w:rPr>
          <w:rFonts w:asciiTheme="minorHAnsi" w:hAnsiTheme="minorHAnsi" w:cs="Calibri"/>
          <w:szCs w:val="24"/>
        </w:rPr>
        <w:t xml:space="preserve"> recomendada</w:t>
      </w:r>
      <w:r w:rsidR="00826654">
        <w:rPr>
          <w:rFonts w:asciiTheme="minorHAnsi" w:hAnsiTheme="minorHAnsi" w:cs="Calibri"/>
          <w:szCs w:val="24"/>
        </w:rPr>
        <w:t>s</w:t>
      </w:r>
      <w:r w:rsidRPr="001A7907" w:rsidR="00944D41">
        <w:rPr>
          <w:rFonts w:asciiTheme="minorHAnsi" w:hAnsiTheme="minorHAnsi" w:cs="Calibri"/>
          <w:szCs w:val="24"/>
        </w:rPr>
        <w:t xml:space="preserve"> no Parecer Jurídico nº</w:t>
      </w:r>
      <w:r w:rsidR="005C59A3">
        <w:rPr>
          <w:rFonts w:asciiTheme="minorHAnsi" w:hAnsiTheme="minorHAnsi" w:cs="Calibri"/>
          <w:szCs w:val="24"/>
        </w:rPr>
        <w:t xml:space="preserve"> </w:t>
      </w:r>
      <w:r w:rsidR="001D2F97">
        <w:rPr>
          <w:rFonts w:asciiTheme="minorHAnsi" w:hAnsiTheme="minorHAnsi" w:cs="Calibri"/>
          <w:szCs w:val="24"/>
        </w:rPr>
        <w:t>1</w:t>
      </w:r>
      <w:r w:rsidR="0022655C">
        <w:rPr>
          <w:rFonts w:asciiTheme="minorHAnsi" w:hAnsiTheme="minorHAnsi" w:cs="Calibri"/>
          <w:szCs w:val="24"/>
        </w:rPr>
        <w:t>84</w:t>
      </w:r>
      <w:r w:rsidR="00944D41">
        <w:rPr>
          <w:rFonts w:asciiTheme="minorHAnsi" w:hAnsiTheme="minorHAnsi" w:cs="Calibri"/>
          <w:szCs w:val="24"/>
        </w:rPr>
        <w:t>/202</w:t>
      </w:r>
      <w:r w:rsidR="001D2F97">
        <w:rPr>
          <w:rFonts w:asciiTheme="minorHAnsi" w:hAnsiTheme="minorHAnsi" w:cs="Calibri"/>
          <w:szCs w:val="24"/>
        </w:rPr>
        <w:t>4</w:t>
      </w:r>
      <w:r w:rsidR="00864FC4">
        <w:rPr>
          <w:rFonts w:asciiTheme="minorHAnsi" w:hAnsiTheme="minorHAnsi" w:cs="Calibri"/>
          <w:szCs w:val="24"/>
        </w:rPr>
        <w:t>.</w:t>
      </w:r>
      <w:r w:rsidR="0022655C">
        <w:rPr>
          <w:rFonts w:asciiTheme="minorHAnsi" w:hAnsiTheme="minorHAnsi" w:cs="Calibri"/>
          <w:szCs w:val="24"/>
        </w:rPr>
        <w:t xml:space="preserve"> </w:t>
      </w:r>
      <w:r w:rsidRPr="0022655C" w:rsidR="0022655C">
        <w:rPr>
          <w:rFonts w:asciiTheme="minorHAnsi" w:hAnsiTheme="minorHAnsi" w:cs="Calibri"/>
          <w:szCs w:val="24"/>
          <w:u w:val="single"/>
        </w:rPr>
        <w:t xml:space="preserve">Todavia, se faz necessário a apresentação de subemenda </w:t>
      </w:r>
      <w:r w:rsidRPr="00DE2CBF" w:rsidR="0022655C">
        <w:rPr>
          <w:rFonts w:asciiTheme="minorHAnsi" w:hAnsiTheme="minorHAnsi" w:cs="Calibri"/>
          <w:szCs w:val="24"/>
          <w:u w:val="single"/>
        </w:rPr>
        <w:t>para correção de equívoco</w:t>
      </w:r>
      <w:r w:rsidRPr="00DE2CBF" w:rsidR="0029742D">
        <w:rPr>
          <w:rFonts w:asciiTheme="minorHAnsi" w:hAnsiTheme="minorHAnsi" w:cs="Calibri"/>
          <w:szCs w:val="24"/>
          <w:u w:val="single"/>
        </w:rPr>
        <w:t xml:space="preserve"> na redação </w:t>
      </w:r>
      <w:r w:rsidRPr="00DE2CBF" w:rsidR="0029742D">
        <w:rPr>
          <w:rFonts w:asciiTheme="minorHAnsi" w:hAnsiTheme="minorHAnsi" w:cs="Calibri"/>
          <w:szCs w:val="24"/>
          <w:u w:val="single"/>
        </w:rPr>
        <w:t xml:space="preserve">do </w:t>
      </w:r>
      <w:r w:rsidRPr="00DE2CBF" w:rsidR="0029742D">
        <w:rPr>
          <w:rFonts w:asciiTheme="minorHAnsi" w:hAnsiTheme="minorHAnsi" w:cs="Calibri"/>
          <w:i/>
          <w:szCs w:val="24"/>
          <w:u w:val="single"/>
        </w:rPr>
        <w:t xml:space="preserve">caput </w:t>
      </w:r>
      <w:r w:rsidRPr="00DE2CBF" w:rsidR="0029742D">
        <w:rPr>
          <w:rFonts w:asciiTheme="minorHAnsi" w:hAnsiTheme="minorHAnsi" w:cs="Calibri"/>
          <w:szCs w:val="24"/>
          <w:u w:val="single"/>
        </w:rPr>
        <w:t>do art. 4º, substituindo-se a expressão “Campinas” por “Valinhos”.</w:t>
      </w:r>
      <w:r w:rsidR="0022655C">
        <w:rPr>
          <w:rFonts w:asciiTheme="minorHAnsi" w:hAnsiTheme="minorHAnsi" w:cs="Calibri"/>
          <w:szCs w:val="24"/>
        </w:rPr>
        <w:t xml:space="preserve"> </w:t>
      </w:r>
      <w:r w:rsidR="00864FC4">
        <w:rPr>
          <w:rFonts w:asciiTheme="minorHAnsi" w:hAnsiTheme="minorHAnsi" w:cs="Calibri"/>
          <w:szCs w:val="24"/>
        </w:rPr>
        <w:t xml:space="preserve"> </w:t>
      </w:r>
      <w:r w:rsidR="003A712F">
        <w:rPr>
          <w:rFonts w:asciiTheme="minorHAnsi" w:hAnsiTheme="minorHAnsi" w:cs="Calibri"/>
          <w:szCs w:val="24"/>
        </w:rPr>
        <w:t>No exame do mérito</w:t>
      </w:r>
      <w:r w:rsidRPr="001708EF">
        <w:rPr>
          <w:rFonts w:ascii="Calibri" w:hAnsi="Calibri" w:cstheme="minorHAnsi"/>
          <w:szCs w:val="24"/>
        </w:rPr>
        <w:t xml:space="preserve">, o </w:t>
      </w:r>
      <w:r w:rsidRPr="001708EF" w:rsidR="001708EF">
        <w:rPr>
          <w:rFonts w:ascii="Calibri" w:hAnsi="Calibri" w:cstheme="minorHAnsi"/>
          <w:szCs w:val="24"/>
        </w:rPr>
        <w:t>Plenário é soberano.</w:t>
      </w:r>
    </w:p>
    <w:p w:rsidR="00A779B8" w:rsidRPr="00CE118C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E118C">
        <w:rPr>
          <w:rFonts w:ascii="Calibri" w:hAnsi="Calibri" w:cs="Calibri"/>
          <w:szCs w:val="24"/>
        </w:rPr>
        <w:t>É o parecer, a superior consideração.</w:t>
      </w:r>
    </w:p>
    <w:p w:rsidR="00A779B8" w:rsidRPr="00432887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432887">
        <w:rPr>
          <w:rFonts w:ascii="Calibri" w:hAnsi="Calibri" w:cs="Calibri"/>
          <w:szCs w:val="24"/>
        </w:rPr>
        <w:t xml:space="preserve">Procuradoria, </w:t>
      </w:r>
      <w:r w:rsidR="0022655C">
        <w:rPr>
          <w:rFonts w:ascii="Calibri" w:hAnsi="Calibri" w:cs="Calibri"/>
          <w:szCs w:val="24"/>
        </w:rPr>
        <w:t>1</w:t>
      </w:r>
      <w:r w:rsidR="0029742D">
        <w:rPr>
          <w:rFonts w:ascii="Calibri" w:hAnsi="Calibri" w:cs="Calibri"/>
          <w:szCs w:val="24"/>
        </w:rPr>
        <w:t>6</w:t>
      </w:r>
      <w:r w:rsidRPr="00432887" w:rsidR="001308C8">
        <w:rPr>
          <w:rFonts w:ascii="Calibri" w:hAnsi="Calibri" w:cs="Calibri"/>
          <w:szCs w:val="24"/>
        </w:rPr>
        <w:t xml:space="preserve"> de </w:t>
      </w:r>
      <w:r w:rsidR="0022655C">
        <w:rPr>
          <w:rFonts w:ascii="Calibri" w:hAnsi="Calibri" w:cs="Calibri"/>
          <w:szCs w:val="24"/>
        </w:rPr>
        <w:t>agosto d</w:t>
      </w:r>
      <w:r w:rsidRPr="00432887">
        <w:rPr>
          <w:rFonts w:ascii="Calibri" w:hAnsi="Calibri" w:cs="Calibri"/>
          <w:szCs w:val="24"/>
        </w:rPr>
        <w:t>e 202</w:t>
      </w:r>
      <w:r w:rsidRPr="00432887" w:rsidR="005C59A3">
        <w:rPr>
          <w:rFonts w:ascii="Calibri" w:hAnsi="Calibri" w:cs="Calibri"/>
          <w:szCs w:val="24"/>
        </w:rPr>
        <w:t>4</w:t>
      </w:r>
      <w:r w:rsidRPr="00432887">
        <w:rPr>
          <w:rFonts w:ascii="Calibri" w:hAnsi="Calibri" w:cs="Calibri"/>
          <w:szCs w:val="24"/>
        </w:rPr>
        <w:t>.</w:t>
      </w:r>
    </w:p>
    <w:p w:rsidR="00826654" w:rsidRPr="00826654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color w:val="FF0000"/>
          <w:szCs w:val="24"/>
        </w:rPr>
      </w:pPr>
    </w:p>
    <w:p w:rsidR="00864FC4" w:rsidP="0022655C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:rsidR="005C59A3" w:rsidRPr="00BC24F1" w:rsidP="0022655C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>Rosemeire de Souza Cardoso Barbosa</w:t>
      </w:r>
    </w:p>
    <w:p w:rsidR="005C59A3" w:rsidRPr="00BC24F1" w:rsidP="0022655C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>Procuradora - OAB/SP 308.298</w:t>
      </w:r>
    </w:p>
    <w:p w:rsidR="005C59A3" w:rsidRPr="0073309B" w:rsidP="0022655C">
      <w:pPr>
        <w:pStyle w:val="BodyText"/>
        <w:spacing w:after="0" w:line="240" w:lineRule="auto"/>
        <w:jc w:val="center"/>
      </w:pPr>
      <w:r w:rsidRPr="0073309B">
        <w:rPr>
          <w:rFonts w:asciiTheme="minorHAnsi" w:hAnsiTheme="minorHAnsi" w:cstheme="minorHAnsi"/>
          <w:szCs w:val="24"/>
        </w:rPr>
        <w:t>Assinatura eletrônica</w:t>
      </w:r>
    </w:p>
    <w:p w:rsidR="0022655C" w:rsidRPr="0073309B">
      <w:pPr>
        <w:pStyle w:val="BodyText"/>
        <w:spacing w:after="0" w:line="240" w:lineRule="auto"/>
        <w:ind w:firstLine="709"/>
        <w:jc w:val="center"/>
      </w:pP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560E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6560E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560E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560E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6560E" w:rsidP="00305026">
            <w:pPr>
              <w:pStyle w:val="Footer"/>
              <w:ind w:left="-1985" w:right="-313"/>
              <w:jc w:val="center"/>
            </w:pPr>
          </w:p>
          <w:p w:rsidR="00A6560E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3309B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3309B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560E">
      <w:pPr>
        <w:spacing w:after="0" w:line="240" w:lineRule="auto"/>
      </w:pPr>
      <w:r>
        <w:separator/>
      </w:r>
    </w:p>
  </w:footnote>
  <w:footnote w:type="continuationSeparator" w:id="1">
    <w:p w:rsidR="00A6560E">
      <w:pPr>
        <w:spacing w:after="0" w:line="240" w:lineRule="auto"/>
      </w:pPr>
      <w:r>
        <w:continuationSeparator/>
      </w:r>
    </w:p>
  </w:footnote>
  <w:footnote w:id="2">
    <w:p w:rsidR="00944D41" w:rsidRPr="00DE2CBF" w:rsidP="00944D4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DE2CBF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DE2CBF">
        <w:rPr>
          <w:rFonts w:asciiTheme="minorHAnsi" w:hAnsiTheme="minorHAnsi" w:cstheme="minorHAnsi"/>
          <w:sz w:val="16"/>
          <w:szCs w:val="16"/>
        </w:rPr>
        <w:t xml:space="preserve"> </w:t>
      </w:r>
      <w:r w:rsidRPr="00DE2CBF">
        <w:rPr>
          <w:rFonts w:asciiTheme="minorHAnsi" w:hAnsiTheme="minorHAnsi" w:cstheme="minorHAnsi"/>
          <w:color w:val="auto"/>
          <w:sz w:val="16"/>
          <w:szCs w:val="16"/>
        </w:rPr>
        <w:t>Nesse sentido é o entendimento do C. Supremo Tribunal Federal: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</w:rPr>
        <w:t xml:space="preserve"> “O parecer emitido por procurador ou advogado de órgão da administração pública não é ato administrativo. 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>ex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 xml:space="preserve"> 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>oficio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 xml:space="preserve"> da lei.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60E" w:rsidP="00305026">
    <w:pPr>
      <w:pStyle w:val="Header"/>
      <w:jc w:val="center"/>
      <w:rPr>
        <w:b/>
        <w:sz w:val="26"/>
        <w:lang w:val="pt-PT"/>
      </w:rPr>
    </w:pPr>
  </w:p>
  <w:p w:rsidR="00A6560E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0E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442708156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583661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3pt;height:67.9pt" o:oleicon="f" o:ole="">
                                <v:imagedata r:id="rId2" o:title=""/>
                              </v:shape>
                              <o:OLEObject Type="Embed" ProgID="MSPhotoEd.3" ShapeID="_x0000_i2051" DrawAspect="Content" ObjectID="_178533379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560E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292304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.3pt;height:67.9pt" o:oleicon="f" o:ole="">
                        <v:imagedata r:id="rId2" o:title=""/>
                      </v:shape>
                      <o:OLEObject Type="Embed" ProgID="MSPhotoEd.3" ShapeID="_x0000_i2050" DrawAspect="Content" ObjectID="_178533379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560E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560E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27908"/>
    <w:rsid w:val="00031240"/>
    <w:rsid w:val="00035153"/>
    <w:rsid w:val="00046F94"/>
    <w:rsid w:val="000473D6"/>
    <w:rsid w:val="000575E2"/>
    <w:rsid w:val="0008358B"/>
    <w:rsid w:val="000A5422"/>
    <w:rsid w:val="000B718A"/>
    <w:rsid w:val="0010716F"/>
    <w:rsid w:val="0011053B"/>
    <w:rsid w:val="00116C2C"/>
    <w:rsid w:val="00125B9A"/>
    <w:rsid w:val="001308C8"/>
    <w:rsid w:val="001708EF"/>
    <w:rsid w:val="00185E77"/>
    <w:rsid w:val="001A3E32"/>
    <w:rsid w:val="001A7907"/>
    <w:rsid w:val="001B56D5"/>
    <w:rsid w:val="001D2F97"/>
    <w:rsid w:val="001D63E7"/>
    <w:rsid w:val="001D6A14"/>
    <w:rsid w:val="001F75A1"/>
    <w:rsid w:val="00222C85"/>
    <w:rsid w:val="0022655C"/>
    <w:rsid w:val="002332AB"/>
    <w:rsid w:val="00235BF6"/>
    <w:rsid w:val="00244542"/>
    <w:rsid w:val="002578A0"/>
    <w:rsid w:val="0029742D"/>
    <w:rsid w:val="002F41B0"/>
    <w:rsid w:val="00305026"/>
    <w:rsid w:val="0032224F"/>
    <w:rsid w:val="00353DD1"/>
    <w:rsid w:val="0035695C"/>
    <w:rsid w:val="00365F3A"/>
    <w:rsid w:val="003A712F"/>
    <w:rsid w:val="003A7521"/>
    <w:rsid w:val="003D4024"/>
    <w:rsid w:val="003E0D77"/>
    <w:rsid w:val="003E1CF9"/>
    <w:rsid w:val="00431C9A"/>
    <w:rsid w:val="00432887"/>
    <w:rsid w:val="00496CD5"/>
    <w:rsid w:val="004B1794"/>
    <w:rsid w:val="005163A4"/>
    <w:rsid w:val="0055143B"/>
    <w:rsid w:val="00561C45"/>
    <w:rsid w:val="00565D77"/>
    <w:rsid w:val="00591C6F"/>
    <w:rsid w:val="00592DEF"/>
    <w:rsid w:val="005B754D"/>
    <w:rsid w:val="005C59A3"/>
    <w:rsid w:val="005D402B"/>
    <w:rsid w:val="005D6203"/>
    <w:rsid w:val="00621BFC"/>
    <w:rsid w:val="00626A4F"/>
    <w:rsid w:val="00646BC4"/>
    <w:rsid w:val="006E6F69"/>
    <w:rsid w:val="006F165C"/>
    <w:rsid w:val="006F4218"/>
    <w:rsid w:val="0070670C"/>
    <w:rsid w:val="0073309B"/>
    <w:rsid w:val="007338C1"/>
    <w:rsid w:val="00750362"/>
    <w:rsid w:val="00756234"/>
    <w:rsid w:val="007703E8"/>
    <w:rsid w:val="0078016A"/>
    <w:rsid w:val="00783082"/>
    <w:rsid w:val="007904AB"/>
    <w:rsid w:val="007B5A05"/>
    <w:rsid w:val="007C6D50"/>
    <w:rsid w:val="007D2626"/>
    <w:rsid w:val="00813294"/>
    <w:rsid w:val="0082204D"/>
    <w:rsid w:val="00826654"/>
    <w:rsid w:val="00864FC4"/>
    <w:rsid w:val="0087598C"/>
    <w:rsid w:val="00887530"/>
    <w:rsid w:val="008A7D22"/>
    <w:rsid w:val="00933CA9"/>
    <w:rsid w:val="00944D41"/>
    <w:rsid w:val="00963B6F"/>
    <w:rsid w:val="009C7616"/>
    <w:rsid w:val="009D2232"/>
    <w:rsid w:val="00A11C58"/>
    <w:rsid w:val="00A3393A"/>
    <w:rsid w:val="00A33C8A"/>
    <w:rsid w:val="00A6560E"/>
    <w:rsid w:val="00A779B8"/>
    <w:rsid w:val="00AA0609"/>
    <w:rsid w:val="00AA2F4C"/>
    <w:rsid w:val="00AC33D2"/>
    <w:rsid w:val="00AC4732"/>
    <w:rsid w:val="00AC73BE"/>
    <w:rsid w:val="00AF01F9"/>
    <w:rsid w:val="00B232DD"/>
    <w:rsid w:val="00B378D7"/>
    <w:rsid w:val="00B477B4"/>
    <w:rsid w:val="00BC24F1"/>
    <w:rsid w:val="00BD076E"/>
    <w:rsid w:val="00BE6AF5"/>
    <w:rsid w:val="00C15DC4"/>
    <w:rsid w:val="00C2365D"/>
    <w:rsid w:val="00C40D18"/>
    <w:rsid w:val="00CA4230"/>
    <w:rsid w:val="00CC06A8"/>
    <w:rsid w:val="00CE118C"/>
    <w:rsid w:val="00D01A07"/>
    <w:rsid w:val="00D13CCD"/>
    <w:rsid w:val="00D262DC"/>
    <w:rsid w:val="00D26DEF"/>
    <w:rsid w:val="00D3018D"/>
    <w:rsid w:val="00D4238B"/>
    <w:rsid w:val="00D45484"/>
    <w:rsid w:val="00D53D44"/>
    <w:rsid w:val="00D70598"/>
    <w:rsid w:val="00D76EAD"/>
    <w:rsid w:val="00D932DC"/>
    <w:rsid w:val="00D97FDF"/>
    <w:rsid w:val="00DE2CBF"/>
    <w:rsid w:val="00E31B26"/>
    <w:rsid w:val="00E325E8"/>
    <w:rsid w:val="00E45153"/>
    <w:rsid w:val="00E52006"/>
    <w:rsid w:val="00E71AE8"/>
    <w:rsid w:val="00E90CDC"/>
    <w:rsid w:val="00EA43E7"/>
    <w:rsid w:val="00EB17A8"/>
    <w:rsid w:val="00EC7B64"/>
    <w:rsid w:val="00ED5431"/>
    <w:rsid w:val="00EE71E8"/>
    <w:rsid w:val="00F003C1"/>
    <w:rsid w:val="00F13634"/>
    <w:rsid w:val="00F21AC4"/>
    <w:rsid w:val="00F33184"/>
    <w:rsid w:val="00F439F6"/>
    <w:rsid w:val="00F512FB"/>
    <w:rsid w:val="00F53BEF"/>
    <w:rsid w:val="00F56D5F"/>
    <w:rsid w:val="00F648BB"/>
    <w:rsid w:val="00F75C3F"/>
    <w:rsid w:val="00F90411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0C9A-9A3C-4429-BC59-CD78F3DF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dcterms:created xsi:type="dcterms:W3CDTF">2024-08-16T19:55:00Z</dcterms:created>
  <dcterms:modified xsi:type="dcterms:W3CDTF">2024-08-16T20:17:00Z</dcterms:modified>
</cp:coreProperties>
</file>