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625AB1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25AB1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625AB1" w:rsidR="00625AB1">
        <w:rPr>
          <w:rFonts w:asciiTheme="minorHAnsi" w:hAnsiTheme="minorHAnsi" w:cstheme="minorHAnsi"/>
          <w:b/>
          <w:color w:val="auto"/>
        </w:rPr>
        <w:t>208</w:t>
      </w:r>
      <w:r w:rsidRPr="00625AB1" w:rsidR="00C80F1B">
        <w:rPr>
          <w:rFonts w:asciiTheme="minorHAnsi" w:hAnsiTheme="minorHAnsi" w:cstheme="minorHAnsi"/>
          <w:b/>
          <w:color w:val="auto"/>
        </w:rPr>
        <w:t>/</w:t>
      </w:r>
      <w:r w:rsidRPr="00625AB1" w:rsidR="00EB17A8">
        <w:rPr>
          <w:rFonts w:asciiTheme="minorHAnsi" w:hAnsiTheme="minorHAnsi" w:cstheme="minorHAnsi"/>
          <w:b/>
          <w:color w:val="auto"/>
        </w:rPr>
        <w:t>202</w:t>
      </w:r>
      <w:r w:rsidRPr="00625AB1" w:rsidR="004E13AC">
        <w:rPr>
          <w:rFonts w:asciiTheme="minorHAnsi" w:hAnsiTheme="minorHAnsi" w:cstheme="minorHAnsi"/>
          <w:b/>
          <w:color w:val="auto"/>
        </w:rPr>
        <w:t>4</w:t>
      </w:r>
      <w:r w:rsidRPr="00625AB1" w:rsidR="00EB17A8">
        <w:rPr>
          <w:rFonts w:asciiTheme="minorHAnsi" w:hAnsiTheme="minorHAnsi" w:cstheme="minorHAnsi"/>
          <w:b/>
          <w:color w:val="auto"/>
        </w:rPr>
        <w:t>.</w:t>
      </w:r>
    </w:p>
    <w:p w:rsidR="00F84741" w:rsidRPr="0032568C" w:rsidP="00FE504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25AB1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625AB1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Pr="00625AB1" w:rsidR="0032568C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625AB1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625AB1" w:rsidR="0032568C">
        <w:rPr>
          <w:rFonts w:asciiTheme="minorHAnsi" w:hAnsiTheme="minorHAnsi" w:cstheme="minorHAnsi"/>
          <w:b/>
          <w:bCs/>
          <w:color w:val="auto"/>
        </w:rPr>
        <w:t>5</w:t>
      </w:r>
      <w:r w:rsidRPr="00625AB1">
        <w:rPr>
          <w:rFonts w:asciiTheme="minorHAnsi" w:hAnsiTheme="minorHAnsi" w:cstheme="minorHAnsi"/>
          <w:b/>
          <w:bCs/>
          <w:color w:val="auto"/>
        </w:rPr>
        <w:t xml:space="preserve"> ao Projeto </w:t>
      </w:r>
      <w:r w:rsidRPr="0032568C">
        <w:rPr>
          <w:rFonts w:asciiTheme="minorHAnsi" w:hAnsiTheme="minorHAnsi" w:cstheme="minorHAnsi"/>
          <w:b/>
          <w:bCs/>
          <w:color w:val="auto"/>
        </w:rPr>
        <w:t xml:space="preserve">de Lei nº </w:t>
      </w:r>
      <w:r w:rsidRPr="0032568C" w:rsidR="0032568C">
        <w:rPr>
          <w:rFonts w:asciiTheme="minorHAnsi" w:hAnsiTheme="minorHAnsi" w:cstheme="minorHAnsi"/>
          <w:b/>
          <w:bCs/>
          <w:color w:val="auto"/>
        </w:rPr>
        <w:t>8</w:t>
      </w:r>
      <w:r w:rsidRPr="0032568C" w:rsidR="001F7C45">
        <w:rPr>
          <w:rFonts w:asciiTheme="minorHAnsi" w:hAnsiTheme="minorHAnsi" w:cstheme="minorHAnsi"/>
          <w:b/>
          <w:bCs/>
          <w:color w:val="auto"/>
        </w:rPr>
        <w:t>4</w:t>
      </w:r>
      <w:r w:rsidRPr="0032568C" w:rsidR="001A298A">
        <w:rPr>
          <w:rFonts w:asciiTheme="minorHAnsi" w:hAnsiTheme="minorHAnsi" w:cstheme="minorHAnsi"/>
          <w:b/>
          <w:bCs/>
          <w:color w:val="auto"/>
        </w:rPr>
        <w:t>/</w:t>
      </w:r>
      <w:r w:rsidRPr="0032568C">
        <w:rPr>
          <w:rFonts w:asciiTheme="minorHAnsi" w:hAnsiTheme="minorHAnsi" w:cstheme="minorHAnsi"/>
          <w:b/>
          <w:bCs/>
          <w:color w:val="auto"/>
        </w:rPr>
        <w:t>202</w:t>
      </w:r>
      <w:r w:rsidRPr="0032568C" w:rsidR="0032568C">
        <w:rPr>
          <w:rFonts w:asciiTheme="minorHAnsi" w:hAnsiTheme="minorHAnsi" w:cstheme="minorHAnsi"/>
          <w:b/>
          <w:bCs/>
          <w:color w:val="auto"/>
        </w:rPr>
        <w:t>2</w:t>
      </w:r>
      <w:r w:rsidRPr="0032568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2568C" w:rsidR="00D21EA5">
        <w:rPr>
          <w:rFonts w:asciiTheme="minorHAnsi" w:hAnsiTheme="minorHAnsi" w:cstheme="minorHAnsi"/>
          <w:bCs/>
          <w:color w:val="auto"/>
        </w:rPr>
        <w:t xml:space="preserve">que </w:t>
      </w:r>
      <w:r w:rsidRPr="0032568C" w:rsidR="00C80F1B">
        <w:rPr>
          <w:rFonts w:asciiTheme="minorHAnsi" w:hAnsiTheme="minorHAnsi" w:cstheme="minorHAnsi"/>
          <w:i/>
          <w:color w:val="auto"/>
        </w:rPr>
        <w:t>“</w:t>
      </w:r>
      <w:r w:rsidRPr="0032568C" w:rsidR="0032568C">
        <w:rPr>
          <w:rFonts w:asciiTheme="minorHAnsi" w:hAnsiTheme="minorHAnsi" w:cstheme="minorHAnsi"/>
          <w:i/>
          <w:color w:val="auto"/>
        </w:rPr>
        <w:t>d</w:t>
      </w:r>
      <w:r w:rsidRPr="0032568C" w:rsidR="0032568C">
        <w:rPr>
          <w:rFonts w:ascii="Calibri" w:hAnsi="Calibri" w:cs="Calibri"/>
          <w:i/>
          <w:color w:val="auto"/>
        </w:rPr>
        <w:t>ispõe sobre a “Lei do Silêncio” no Município de Valinhos e dá outras providências</w:t>
      </w:r>
      <w:r w:rsidR="0018769B">
        <w:rPr>
          <w:rFonts w:ascii="Calibri" w:hAnsi="Calibri" w:cs="Calibri"/>
          <w:color w:val="auto"/>
        </w:rPr>
        <w:t>”</w:t>
      </w:r>
      <w:r w:rsidR="001F1649">
        <w:rPr>
          <w:rFonts w:ascii="Calibri" w:hAnsi="Calibri" w:cs="Calibri"/>
          <w:color w:val="auto"/>
        </w:rPr>
        <w:t xml:space="preserve"> (</w:t>
      </w:r>
      <w:r w:rsidR="0018769B">
        <w:rPr>
          <w:rFonts w:ascii="Calibri" w:hAnsi="Calibri" w:cs="Calibri"/>
          <w:color w:val="auto"/>
        </w:rPr>
        <w:t>Mens. 29/22</w:t>
      </w:r>
      <w:r w:rsidR="001F1649">
        <w:rPr>
          <w:rFonts w:ascii="Calibri" w:hAnsi="Calibri" w:cs="Calibri"/>
          <w:color w:val="auto"/>
        </w:rPr>
        <w:t>)</w:t>
      </w:r>
      <w:r w:rsidR="0018769B">
        <w:rPr>
          <w:rFonts w:ascii="Calibri" w:hAnsi="Calibri" w:cs="Calibri"/>
          <w:color w:val="auto"/>
        </w:rPr>
        <w:t>.</w:t>
      </w:r>
    </w:p>
    <w:p w:rsidR="00AC33D2" w:rsidRPr="0032568C" w:rsidP="00FE504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32568C">
        <w:rPr>
          <w:rFonts w:asciiTheme="minorHAnsi" w:hAnsiTheme="minorHAnsi" w:cstheme="minorHAnsi"/>
          <w:b/>
          <w:bCs/>
          <w:color w:val="auto"/>
        </w:rPr>
        <w:t>Autoria: Vereador</w:t>
      </w:r>
      <w:r w:rsidRPr="0032568C" w:rsidR="001F7C45">
        <w:rPr>
          <w:rFonts w:asciiTheme="minorHAnsi" w:hAnsiTheme="minorHAnsi" w:cstheme="minorHAnsi"/>
          <w:b/>
          <w:bCs/>
          <w:color w:val="auto"/>
        </w:rPr>
        <w:t xml:space="preserve"> Aldemar Veiga Junior</w:t>
      </w:r>
      <w:r w:rsidRPr="0032568C" w:rsidR="00EB1FB8">
        <w:rPr>
          <w:rFonts w:asciiTheme="minorHAnsi" w:hAnsiTheme="minorHAnsi" w:cstheme="minorHAnsi"/>
          <w:b/>
          <w:bCs/>
          <w:color w:val="auto"/>
        </w:rPr>
        <w:t>.</w:t>
      </w:r>
    </w:p>
    <w:p w:rsidR="00F84741" w:rsidRPr="0032568C" w:rsidP="00FE5040">
      <w:pPr>
        <w:pStyle w:val="Default"/>
        <w:jc w:val="both"/>
        <w:rPr>
          <w:rFonts w:asciiTheme="minorHAnsi" w:hAnsiTheme="minorHAnsi" w:cs="Calibri"/>
          <w:bCs/>
          <w:color w:val="auto"/>
        </w:rPr>
      </w:pPr>
    </w:p>
    <w:p w:rsidR="00750362" w:rsidRPr="0032568C" w:rsidP="00D932DC">
      <w:pPr>
        <w:spacing w:after="0"/>
        <w:jc w:val="both"/>
        <w:rPr>
          <w:rFonts w:asciiTheme="minorHAnsi" w:hAnsiTheme="minorHAnsi" w:cs="Calibri"/>
          <w:bCs/>
          <w:sz w:val="12"/>
          <w:szCs w:val="12"/>
        </w:rPr>
      </w:pPr>
      <w:bookmarkStart w:id="0" w:name="_GoBack"/>
      <w:bookmarkEnd w:id="0"/>
    </w:p>
    <w:p w:rsidR="00A779B8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32568C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32568C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32568C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32568C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32568C">
        <w:rPr>
          <w:rFonts w:asciiTheme="minorHAnsi" w:hAnsiTheme="minorHAnsi" w:cs="Calibri"/>
          <w:b/>
          <w:i/>
          <w:color w:val="auto"/>
        </w:rPr>
        <w:t>.</w:t>
      </w:r>
    </w:p>
    <w:p w:rsidR="00AC33D2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FF0000"/>
        </w:rPr>
      </w:pPr>
    </w:p>
    <w:p w:rsidR="00FE5040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FF0000"/>
        </w:rPr>
      </w:pPr>
    </w:p>
    <w:p w:rsidR="001F7C45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FF0000"/>
        </w:rPr>
      </w:pPr>
    </w:p>
    <w:p w:rsidR="00A779B8" w:rsidRPr="0032568C" w:rsidP="00A779B8">
      <w:pPr>
        <w:pStyle w:val="Default"/>
        <w:jc w:val="both"/>
        <w:rPr>
          <w:rFonts w:asciiTheme="minorHAnsi" w:hAnsiTheme="minorHAnsi" w:cs="Calibri"/>
          <w:b/>
          <w:i/>
          <w:color w:val="FF0000"/>
          <w:sz w:val="12"/>
          <w:szCs w:val="12"/>
        </w:rPr>
      </w:pPr>
    </w:p>
    <w:p w:rsidR="00352E51" w:rsidRPr="002B250B" w:rsidP="00F84741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2B250B">
        <w:rPr>
          <w:rFonts w:asciiTheme="minorHAnsi" w:hAnsiTheme="minorHAnsi" w:cstheme="minorHAnsi"/>
          <w:color w:val="auto"/>
        </w:rPr>
        <w:t>Trata-se de parecer jurídic</w:t>
      </w:r>
      <w:r w:rsidRPr="002B250B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2B250B">
        <w:rPr>
          <w:rFonts w:asciiTheme="minorHAnsi" w:hAnsiTheme="minorHAnsi" w:cstheme="minorHAnsi"/>
          <w:color w:val="auto"/>
        </w:rPr>
        <w:t>que</w:t>
      </w:r>
      <w:r w:rsidRPr="002B250B" w:rsidR="00D4238B">
        <w:rPr>
          <w:rFonts w:asciiTheme="minorHAnsi" w:hAnsiTheme="minorHAnsi" w:cstheme="minorHAnsi"/>
          <w:color w:val="auto"/>
        </w:rPr>
        <w:t xml:space="preserve"> </w:t>
      </w:r>
      <w:r w:rsidRPr="002B250B" w:rsidR="00116C2C">
        <w:rPr>
          <w:rFonts w:asciiTheme="minorHAnsi" w:hAnsiTheme="minorHAnsi" w:cstheme="minorHAnsi"/>
          <w:color w:val="auto"/>
        </w:rPr>
        <w:t>pretende</w:t>
      </w:r>
      <w:r w:rsidRPr="002B250B" w:rsidR="00944D41">
        <w:rPr>
          <w:rFonts w:asciiTheme="minorHAnsi" w:hAnsiTheme="minorHAnsi" w:cstheme="minorHAnsi"/>
          <w:color w:val="auto"/>
        </w:rPr>
        <w:t xml:space="preserve"> </w:t>
      </w:r>
      <w:r w:rsidRPr="002B250B" w:rsidR="00C80F1B">
        <w:rPr>
          <w:rFonts w:asciiTheme="minorHAnsi" w:hAnsiTheme="minorHAnsi" w:cstheme="minorHAnsi"/>
          <w:color w:val="auto"/>
        </w:rPr>
        <w:t xml:space="preserve">modificar a redação do art. </w:t>
      </w:r>
      <w:r w:rsidRPr="002B250B" w:rsidR="0018769B">
        <w:rPr>
          <w:rFonts w:asciiTheme="minorHAnsi" w:hAnsiTheme="minorHAnsi" w:cstheme="minorHAnsi"/>
          <w:color w:val="auto"/>
        </w:rPr>
        <w:t>10, §2º</w:t>
      </w:r>
      <w:r w:rsidR="00EA6354">
        <w:rPr>
          <w:rFonts w:asciiTheme="minorHAnsi" w:hAnsiTheme="minorHAnsi" w:cstheme="minorHAnsi"/>
          <w:color w:val="auto"/>
        </w:rPr>
        <w:t>,</w:t>
      </w:r>
      <w:r w:rsidRPr="002B250B" w:rsidR="0018769B">
        <w:rPr>
          <w:rFonts w:asciiTheme="minorHAnsi" w:hAnsiTheme="minorHAnsi" w:cstheme="minorHAnsi"/>
          <w:color w:val="auto"/>
        </w:rPr>
        <w:t xml:space="preserve"> do</w:t>
      </w:r>
      <w:r w:rsidRPr="002B250B" w:rsidR="00944D41">
        <w:rPr>
          <w:rFonts w:asciiTheme="minorHAnsi" w:hAnsiTheme="minorHAnsi" w:cstheme="minorHAnsi"/>
          <w:color w:val="auto"/>
        </w:rPr>
        <w:t xml:space="preserve"> Projeto de Lei nº </w:t>
      </w:r>
      <w:r w:rsidRPr="002B250B" w:rsidR="0018769B">
        <w:rPr>
          <w:rFonts w:asciiTheme="minorHAnsi" w:hAnsiTheme="minorHAnsi" w:cstheme="minorHAnsi"/>
          <w:color w:val="auto"/>
        </w:rPr>
        <w:t>8</w:t>
      </w:r>
      <w:r w:rsidRPr="002B250B" w:rsidR="001F7C45">
        <w:rPr>
          <w:rFonts w:asciiTheme="minorHAnsi" w:hAnsiTheme="minorHAnsi" w:cstheme="minorHAnsi"/>
          <w:color w:val="auto"/>
        </w:rPr>
        <w:t>4</w:t>
      </w:r>
      <w:r w:rsidRPr="002B250B" w:rsidR="0018769B">
        <w:rPr>
          <w:rFonts w:asciiTheme="minorHAnsi" w:hAnsiTheme="minorHAnsi" w:cstheme="minorHAnsi"/>
          <w:color w:val="auto"/>
        </w:rPr>
        <w:t>/2022</w:t>
      </w:r>
      <w:r w:rsidRPr="002B250B" w:rsidR="00E44C53">
        <w:rPr>
          <w:rFonts w:asciiTheme="minorHAnsi" w:hAnsiTheme="minorHAnsi" w:cstheme="minorHAnsi"/>
          <w:color w:val="auto"/>
        </w:rPr>
        <w:t>,</w:t>
      </w:r>
      <w:r w:rsidRPr="002B250B" w:rsidR="00944D41">
        <w:rPr>
          <w:rFonts w:asciiTheme="minorHAnsi" w:hAnsiTheme="minorHAnsi" w:cstheme="minorHAnsi"/>
          <w:color w:val="auto"/>
        </w:rPr>
        <w:t xml:space="preserve"> que </w:t>
      </w:r>
      <w:r w:rsidRPr="002B250B" w:rsidR="00C80F1B">
        <w:rPr>
          <w:rFonts w:asciiTheme="minorHAnsi" w:hAnsiTheme="minorHAnsi" w:cstheme="minorHAnsi"/>
          <w:i/>
          <w:color w:val="auto"/>
        </w:rPr>
        <w:t>“</w:t>
      </w:r>
      <w:r w:rsidRPr="002B250B" w:rsidR="002B250B">
        <w:rPr>
          <w:rFonts w:ascii="Calibri" w:hAnsi="Calibri" w:cs="Calibri"/>
          <w:i/>
          <w:color w:val="auto"/>
        </w:rPr>
        <w:t>dispõe sobre a “Lei do Silêncio” no Município de Valinhos e dá outras providências</w:t>
      </w:r>
      <w:r w:rsidRPr="002B250B" w:rsidR="001F7C45">
        <w:rPr>
          <w:rFonts w:ascii="Calibri" w:hAnsi="Calibri" w:cs="Calibri"/>
          <w:color w:val="auto"/>
        </w:rPr>
        <w:t>”</w:t>
      </w:r>
      <w:r w:rsidRPr="002B250B"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, </w:t>
      </w:r>
      <w:r w:rsidRPr="002B250B" w:rsidR="001A298A">
        <w:rPr>
          <w:rFonts w:eastAsia="Times New Roman" w:asciiTheme="minorHAnsi" w:hAnsiTheme="minorHAnsi" w:cstheme="minorHAnsi"/>
          <w:bCs/>
          <w:color w:val="auto"/>
        </w:rPr>
        <w:t>nos seguintes termos:</w:t>
      </w:r>
    </w:p>
    <w:tbl>
      <w:tblPr>
        <w:tblStyle w:val="TableGrid"/>
        <w:tblW w:w="0" w:type="auto"/>
        <w:tblLayout w:type="fixed"/>
        <w:tblLook w:val="04A0"/>
      </w:tblPr>
      <w:tblGrid>
        <w:gridCol w:w="4077"/>
        <w:gridCol w:w="4643"/>
      </w:tblGrid>
      <w:tr w:rsidTr="001F7C45">
        <w:tblPrEx>
          <w:tblW w:w="0" w:type="auto"/>
          <w:tblLayout w:type="fixed"/>
          <w:tblLook w:val="04A0"/>
        </w:tblPrEx>
        <w:tc>
          <w:tcPr>
            <w:tcW w:w="4077" w:type="dxa"/>
          </w:tcPr>
          <w:p w:rsidR="001A298A" w:rsidRPr="002B250B" w:rsidP="001F7C45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Projeto de Lei nº </w:t>
            </w:r>
            <w:r w:rsidRPr="002B250B" w:rsid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84</w:t>
            </w:r>
            <w:r w:rsidRPr="002B250B" w:rsidR="0000548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B250B" w:rsid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4643" w:type="dxa"/>
          </w:tcPr>
          <w:p w:rsidR="001A298A" w:rsidRPr="002B250B" w:rsidP="001F7C45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Emenda </w:t>
            </w:r>
            <w:r w:rsidRPr="002B250B" w:rsidR="006D577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nº </w:t>
            </w:r>
            <w:r w:rsidRPr="002B250B" w:rsid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05</w:t>
            </w:r>
            <w:r w:rsidRP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ao PL </w:t>
            </w:r>
            <w:r w:rsidRPr="002B250B" w:rsidR="00822B7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nº </w:t>
            </w:r>
            <w:r w:rsidRPr="002B250B" w:rsid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  <w:r w:rsidRPr="002B250B" w:rsidR="001F7C45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  <w:r w:rsidRP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B250B" w:rsidR="002B250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  <w:p w:rsidR="001F7C45" w:rsidRPr="002B250B" w:rsidP="001F7C45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Tr="001F7C45">
        <w:tblPrEx>
          <w:tblW w:w="0" w:type="auto"/>
          <w:tblLayout w:type="fixed"/>
          <w:tblLook w:val="04A0"/>
        </w:tblPrEx>
        <w:tc>
          <w:tcPr>
            <w:tcW w:w="4077" w:type="dxa"/>
          </w:tcPr>
          <w:p w:rsidR="00E31C8B" w:rsidRP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</w:pP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>Seção V</w:t>
            </w:r>
          </w:p>
          <w:p w:rsidR="00E31C8B" w:rsidRP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</w:pP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>Da Fiscalização</w:t>
            </w:r>
          </w:p>
          <w:p w:rsidR="00E31C8B" w:rsidRP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</w:pP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 xml:space="preserve">Art. 10. Por se tratar de matéria relacionada </w:t>
            </w: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>a</w:t>
            </w: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 xml:space="preserve"> eventual infração criminal contra o Meio Ambiente ou à Paz Pública, a fiscalização ficará a cargo da Secretaria Municipal de Segurança Pública, que a exercerá por intermédio da Guarda Civil Municipal.</w:t>
            </w:r>
          </w:p>
          <w:p w:rsidR="00EA6354" w:rsidRP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>§ 1° O agente fiscalizador, ao constatar qualquer das infrações previstas nesta Lei, lavrará o Auto de Constatação de Infração com a indicação do local, da atividade fiscalizada, da qualificação completa do infrator, quando possível e do resultado da medição realizada, levando-se em consideração os critérios estabelecidos para a emissão do relatório de</w:t>
            </w:r>
            <w:r w:rsidRPr="00F84804">
              <w:rPr>
                <w:rFonts w:ascii="Arial" w:eastAsia="Times New Roman" w:hAnsi="Arial"/>
                <w:i/>
                <w:color w:val="auto"/>
                <w:szCs w:val="20"/>
              </w:rPr>
              <w:t xml:space="preserve"> </w:t>
            </w:r>
            <w:r w:rsidRPr="00F84804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>medição e avaliação da norma NBR 10151:2019, da ABNT, ou equivalente ao tempo da infração, encaminhando-o à Secretaria da Fazenda para as providências necessárias à expedição do documento fiscal competente para a efetiva cobrança da multa prevista em lei</w:t>
            </w:r>
            <w:r w:rsidRPr="00E31C8B">
              <w:rPr>
                <w:rFonts w:eastAsia="Times New Roman"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</w:p>
          <w:p w:rsidR="00E31C8B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color w:val="auto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  <w:p w:rsid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  <w:p w:rsidR="001F7C45" w:rsidRPr="00F84804" w:rsidP="00E31C8B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FF0000"/>
                <w:sz w:val="21"/>
                <w:szCs w:val="21"/>
              </w:rPr>
            </w:pPr>
            <w:r w:rsidRPr="00F84804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>§ 2º Não sendo possível qualificar o infrator, o documento fiscal de cobrança da multa será expedido em nome do proprietário do imóvel, veículo ou do estabelecimento comercial ou industrial, o qual poderá indicar o infrator na fase recursal, para que sobre ele recaia a cobrança da multa.</w:t>
            </w:r>
          </w:p>
        </w:tc>
        <w:tc>
          <w:tcPr>
            <w:tcW w:w="4643" w:type="dxa"/>
          </w:tcPr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</w:p>
          <w:p w:rsidR="00E31C8B" w:rsidRP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</w:pPr>
            <w:r w:rsidRPr="00E31C8B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>Art. 10. (...)</w:t>
            </w:r>
          </w:p>
          <w:p w:rsidR="00E31C8B" w:rsidRPr="00E31C8B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</w:pPr>
            <w:r w:rsidRPr="00E31C8B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>(...)</w:t>
            </w:r>
          </w:p>
          <w:p w:rsidR="00F84804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</w:pPr>
          </w:p>
          <w:p w:rsidR="001F7C45" w:rsidRPr="0032568C" w:rsidP="00E31C8B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FF0000"/>
                <w:sz w:val="21"/>
                <w:szCs w:val="21"/>
              </w:rPr>
            </w:pPr>
            <w:r w:rsidRPr="00E31C8B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>§ 2º O proprietário de imóvel locado é isento de responsabilidade nas sanções previstas nesta lei em razão de perturbação do sossego, onde toda e</w:t>
            </w:r>
            <w:r w:rsidR="003D41D9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</w:t>
            </w:r>
            <w:r w:rsidRPr="00E31C8B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>qualquer punição deve recair sobre os autores do ato infracional, que estão na posse direta do imóvel.</w:t>
            </w:r>
            <w:r w:rsidRPr="00E31C8B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cr/>
            </w:r>
            <w:r w:rsidRPr="00E31C8B">
              <w:rPr>
                <w:rFonts w:eastAsia="Times New Roman" w:asciiTheme="minorHAnsi" w:hAnsiTheme="minorHAnsi" w:cstheme="minorHAnsi"/>
                <w:bCs/>
                <w:i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AD70C9" w:rsidRPr="0032568C" w:rsidP="00262F7E">
      <w:pPr>
        <w:pStyle w:val="Default"/>
        <w:spacing w:line="360" w:lineRule="auto"/>
        <w:ind w:firstLine="1701"/>
        <w:jc w:val="both"/>
        <w:rPr>
          <w:rFonts w:asciiTheme="minorHAnsi" w:hAnsiTheme="minorHAnsi" w:cstheme="minorHAnsi"/>
          <w:i/>
          <w:color w:val="FF0000"/>
        </w:rPr>
      </w:pPr>
    </w:p>
    <w:p w:rsidR="00A779B8" w:rsidRPr="00526AC3" w:rsidP="00AD70C9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526AC3">
        <w:rPr>
          <w:rFonts w:asciiTheme="minorHAnsi" w:hAnsiTheme="minorHAnsi" w:cstheme="minorHAnsi"/>
          <w:i/>
          <w:color w:val="auto"/>
        </w:rPr>
        <w:t>Ab initio</w:t>
      </w:r>
      <w:r w:rsidRPr="00526AC3">
        <w:rPr>
          <w:rFonts w:asciiTheme="minorHAnsi" w:hAnsiTheme="minorHAnsi" w:cstheme="minorHAnsi"/>
          <w:color w:val="auto"/>
        </w:rPr>
        <w:t>, cumpre destacar a competência regimental d</w:t>
      </w:r>
      <w:r w:rsidRPr="00526AC3" w:rsidR="004B1794">
        <w:rPr>
          <w:rFonts w:asciiTheme="minorHAnsi" w:hAnsiTheme="minorHAnsi" w:cstheme="minorHAnsi"/>
          <w:color w:val="auto"/>
        </w:rPr>
        <w:t>a Comissão de Justiça e Redação</w:t>
      </w:r>
      <w:r w:rsidRPr="00526AC3">
        <w:rPr>
          <w:rFonts w:asciiTheme="minorHAnsi" w:hAnsiTheme="minorHAnsi" w:cstheme="minorHAnsi"/>
          <w:color w:val="auto"/>
        </w:rPr>
        <w:t xml:space="preserve"> estabelecida no artigo 38.</w:t>
      </w:r>
      <w:r w:rsidRPr="00526AC3" w:rsidR="0082204D">
        <w:rPr>
          <w:rFonts w:asciiTheme="minorHAnsi" w:hAnsiTheme="minorHAnsi" w:cstheme="minorHAnsi"/>
          <w:color w:val="auto"/>
        </w:rPr>
        <w:t xml:space="preserve"> </w:t>
      </w:r>
      <w:r w:rsidRPr="00526AC3" w:rsidR="00D53D44">
        <w:rPr>
          <w:rFonts w:asciiTheme="minorHAnsi" w:hAnsiTheme="minorHAnsi" w:cstheme="minorHAnsi"/>
          <w:color w:val="auto"/>
        </w:rPr>
        <w:t>Re</w:t>
      </w:r>
      <w:r w:rsidRPr="00526AC3" w:rsidR="0082204D">
        <w:rPr>
          <w:rFonts w:asciiTheme="minorHAnsi" w:hAnsiTheme="minorHAnsi" w:cstheme="minorHAnsi"/>
          <w:color w:val="auto"/>
        </w:rPr>
        <w:t>ssalta-se</w:t>
      </w:r>
      <w:r w:rsidRPr="00526AC3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526AC3">
        <w:rPr>
          <w:rFonts w:asciiTheme="minorHAnsi" w:hAnsiTheme="minorHAnsi" w:cstheme="minorHAnsi"/>
          <w:b/>
          <w:color w:val="auto"/>
        </w:rPr>
        <w:t>não tem força vinculante</w:t>
      </w:r>
      <w:r w:rsidRPr="00526AC3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526AC3">
        <w:rPr>
          <w:rFonts w:asciiTheme="minorHAnsi" w:hAnsiTheme="minorHAnsi" w:cstheme="minorHAnsi"/>
          <w:color w:val="auto"/>
        </w:rPr>
        <w:t xml:space="preserve"> não </w:t>
      </w:r>
      <w:r w:rsidRPr="00526AC3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526AC3">
        <w:rPr>
          <w:rFonts w:asciiTheme="minorHAnsi" w:hAnsiTheme="minorHAnsi" w:cstheme="minorHAnsi"/>
          <w:color w:val="auto"/>
        </w:rPr>
        <w:t>proferida pelas Comissões e/ou nobres vereadores.</w:t>
      </w:r>
      <w:r w:rsidRPr="00526AC3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526AC3" w:rsidP="00AD70C9">
      <w:pPr>
        <w:tabs>
          <w:tab w:val="left" w:pos="1701"/>
        </w:tabs>
        <w:spacing w:after="12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526AC3">
        <w:rPr>
          <w:rFonts w:eastAsia="Calibri" w:asciiTheme="minorHAnsi" w:hAnsiTheme="minorHAnsi" w:cstheme="minorHAnsi"/>
          <w:szCs w:val="24"/>
        </w:rPr>
        <w:t>Assim</w:t>
      </w:r>
      <w:r w:rsidRPr="00526AC3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526AC3">
        <w:rPr>
          <w:rFonts w:eastAsia="Calibri" w:asciiTheme="minorHAnsi" w:hAnsiTheme="minorHAnsi" w:cstheme="minorHAnsi"/>
          <w:szCs w:val="24"/>
        </w:rPr>
        <w:t xml:space="preserve">considerando </w:t>
      </w:r>
      <w:r w:rsidRPr="00526AC3" w:rsidR="008A3DBD">
        <w:rPr>
          <w:rFonts w:eastAsia="Calibri" w:asciiTheme="minorHAnsi" w:hAnsiTheme="minorHAnsi" w:cstheme="minorHAnsi"/>
          <w:szCs w:val="24"/>
        </w:rPr>
        <w:t>os aspectos jurídicos passamos à</w:t>
      </w:r>
      <w:r w:rsidRPr="00526AC3">
        <w:rPr>
          <w:rFonts w:eastAsia="Calibri" w:asciiTheme="minorHAnsi" w:hAnsiTheme="minorHAnsi" w:cstheme="minorHAnsi"/>
          <w:szCs w:val="24"/>
        </w:rPr>
        <w:t xml:space="preserve"> análise técnica do projeto em epígrafe solicitado.</w:t>
      </w:r>
    </w:p>
    <w:p w:rsidR="00A779B8" w:rsidRPr="00526AC3" w:rsidP="00AD70C9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26AC3">
        <w:rPr>
          <w:rFonts w:asciiTheme="minorHAnsi" w:hAnsiTheme="minorHAnsi" w:cs="Calibri"/>
          <w:szCs w:val="24"/>
        </w:rPr>
        <w:t>No que tange ao</w:t>
      </w:r>
      <w:r w:rsidRPr="00526AC3" w:rsidR="003E1CF9">
        <w:rPr>
          <w:rFonts w:asciiTheme="minorHAnsi" w:hAnsiTheme="minorHAnsi" w:cs="Calibri"/>
          <w:szCs w:val="24"/>
        </w:rPr>
        <w:t xml:space="preserve"> projeto de emenda, </w:t>
      </w:r>
      <w:r w:rsidRPr="00526AC3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634DDA" w:rsidP="000054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634DDA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750FE">
        <w:rPr>
          <w:rFonts w:asciiTheme="minorHAnsi" w:hAnsiTheme="minorHAnsi" w:cs="Calibri"/>
          <w:b/>
          <w:i/>
          <w:sz w:val="22"/>
          <w:szCs w:val="22"/>
        </w:rPr>
        <w:t>§ 2º. Emenda substitutiva é a que deve ser colocada no lugar do artigo</w:t>
      </w:r>
      <w:r w:rsidRPr="00634DDA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750FE">
        <w:rPr>
          <w:rFonts w:asciiTheme="minorHAnsi" w:hAnsiTheme="minorHAnsi" w:cs="Calibri"/>
          <w:i/>
          <w:sz w:val="22"/>
          <w:szCs w:val="22"/>
        </w:rPr>
        <w:t>§ 4º. Emenda modificativa é a que se refere apenas à redação do artigo, sem alterar a sua substância</w:t>
      </w:r>
      <w:r w:rsidRPr="00634DDA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634DDA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634DDA">
        <w:rPr>
          <w:rFonts w:asciiTheme="minorHAnsi" w:hAnsiTheme="minorHAnsi" w:cs="Calibri"/>
          <w:i/>
          <w:sz w:val="22"/>
          <w:szCs w:val="22"/>
        </w:rPr>
        <w:t>emenda estranhos</w:t>
      </w:r>
      <w:r w:rsidRPr="00634DDA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634DDA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634DDA"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FF67BF" w:rsidRPr="0032568C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color w:val="FF0000"/>
          <w:sz w:val="22"/>
          <w:szCs w:val="22"/>
        </w:rPr>
      </w:pPr>
    </w:p>
    <w:p w:rsidR="003701F4" w:rsidP="005C07A0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4A5C44">
        <w:rPr>
          <w:rFonts w:asciiTheme="minorHAnsi" w:hAnsiTheme="minorHAnsi" w:cs="Calibri"/>
          <w:szCs w:val="24"/>
        </w:rPr>
        <w:t>Destarte, verifica-se que o projeto de emenda em apreço atende aos dispositivos do Regimento Interno da Câmara, não havendo óbice regimental na sua tramitação</w:t>
      </w:r>
      <w:r>
        <w:rPr>
          <w:rFonts w:asciiTheme="minorHAnsi" w:hAnsiTheme="minorHAnsi" w:cs="Calibri"/>
          <w:szCs w:val="24"/>
        </w:rPr>
        <w:t>.</w:t>
      </w:r>
      <w:r w:rsidRPr="00A64833" w:rsidR="00A779B8">
        <w:rPr>
          <w:rFonts w:asciiTheme="minorHAnsi" w:hAnsiTheme="minorHAnsi" w:cs="Calibri"/>
          <w:szCs w:val="24"/>
        </w:rPr>
        <w:t xml:space="preserve"> </w:t>
      </w:r>
    </w:p>
    <w:p w:rsidR="007E41B9" w:rsidRPr="00CB09BE" w:rsidP="005C07A0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  <w:u w:val="single"/>
        </w:rPr>
      </w:pPr>
      <w:r>
        <w:rPr>
          <w:rFonts w:asciiTheme="minorHAnsi" w:hAnsiTheme="minorHAnsi" w:cs="Calibri"/>
          <w:szCs w:val="24"/>
        </w:rPr>
        <w:t xml:space="preserve">Com relação à </w:t>
      </w:r>
      <w:r w:rsidRPr="00A64833" w:rsidR="004A5C44">
        <w:rPr>
          <w:rFonts w:asciiTheme="minorHAnsi" w:hAnsiTheme="minorHAnsi" w:cs="Calibri"/>
          <w:szCs w:val="24"/>
        </w:rPr>
        <w:t xml:space="preserve">LC nº 95/98, </w:t>
      </w:r>
      <w:r w:rsidRPr="00A64833" w:rsidR="00A64833">
        <w:rPr>
          <w:rFonts w:asciiTheme="minorHAnsi" w:hAnsiTheme="minorHAnsi" w:cs="Calibri"/>
          <w:szCs w:val="24"/>
        </w:rPr>
        <w:t>destaca-se a necessidade de observância ao</w:t>
      </w:r>
      <w:r w:rsidRPr="00A64833" w:rsidR="004A5C44">
        <w:rPr>
          <w:rFonts w:asciiTheme="minorHAnsi" w:hAnsiTheme="minorHAnsi" w:cs="Calibri"/>
          <w:szCs w:val="24"/>
        </w:rPr>
        <w:t xml:space="preserve"> art. </w:t>
      </w:r>
      <w:r w:rsidRPr="00A64833" w:rsidR="00A64833">
        <w:rPr>
          <w:rFonts w:asciiTheme="minorHAnsi" w:hAnsiTheme="minorHAnsi" w:cs="Calibri"/>
          <w:szCs w:val="24"/>
        </w:rPr>
        <w:t>11,</w:t>
      </w:r>
      <w:r w:rsidRPr="00A64833" w:rsidR="004A5C44">
        <w:rPr>
          <w:rFonts w:asciiTheme="minorHAnsi" w:hAnsiTheme="minorHAnsi" w:cs="Calibri"/>
          <w:szCs w:val="24"/>
        </w:rPr>
        <w:t xml:space="preserve"> II, alínea </w:t>
      </w:r>
      <w:r w:rsidRPr="00A64833" w:rsidR="004A5C44">
        <w:rPr>
          <w:rFonts w:asciiTheme="minorHAnsi" w:hAnsiTheme="minorHAnsi" w:cs="Calibri"/>
          <w:i/>
          <w:szCs w:val="24"/>
        </w:rPr>
        <w:t>b</w:t>
      </w:r>
      <w:r w:rsidRPr="00A64833" w:rsidR="004A5C44">
        <w:rPr>
          <w:rFonts w:asciiTheme="minorHAnsi" w:hAnsiTheme="minorHAnsi" w:cs="Calibri"/>
          <w:szCs w:val="24"/>
        </w:rPr>
        <w:t>,</w:t>
      </w:r>
      <w:r>
        <w:rPr>
          <w:rStyle w:val="FootnoteReference"/>
          <w:rFonts w:asciiTheme="minorHAnsi" w:hAnsiTheme="minorHAnsi" w:cs="Calibri"/>
          <w:szCs w:val="24"/>
        </w:rPr>
        <w:footnoteReference w:id="3"/>
      </w:r>
      <w:r w:rsidRPr="00A64833" w:rsidR="00A64833">
        <w:rPr>
          <w:rFonts w:asciiTheme="minorHAnsi" w:hAnsiTheme="minorHAnsi" w:cs="Calibri"/>
          <w:szCs w:val="24"/>
        </w:rPr>
        <w:t xml:space="preserve"> porquanto a legislação preconiza a</w:t>
      </w:r>
      <w:r w:rsidRPr="00A64833" w:rsidR="004A5C44">
        <w:rPr>
          <w:rFonts w:asciiTheme="minorHAnsi" w:hAnsiTheme="minorHAnsi" w:cs="Calibri"/>
          <w:szCs w:val="24"/>
        </w:rPr>
        <w:t xml:space="preserve"> </w:t>
      </w:r>
      <w:r w:rsidRPr="00A64833" w:rsidR="008E3B47">
        <w:rPr>
          <w:rFonts w:asciiTheme="minorHAnsi" w:hAnsiTheme="minorHAnsi" w:cs="Calibri"/>
          <w:szCs w:val="24"/>
        </w:rPr>
        <w:t>utilização das mesmas palavras para obtenção de precisão, evitando-se o emprego de sinonímia</w:t>
      </w:r>
      <w:r w:rsidRPr="00A64833" w:rsidR="00A64833">
        <w:rPr>
          <w:rFonts w:asciiTheme="minorHAnsi" w:hAnsiTheme="minorHAnsi" w:cs="Calibri"/>
          <w:szCs w:val="24"/>
        </w:rPr>
        <w:t xml:space="preserve">. Desse modo, </w:t>
      </w:r>
      <w:r w:rsidRPr="00CB09BE" w:rsidR="00A64833">
        <w:rPr>
          <w:rFonts w:asciiTheme="minorHAnsi" w:hAnsiTheme="minorHAnsi" w:cs="Calibri"/>
          <w:szCs w:val="24"/>
          <w:u w:val="single"/>
        </w:rPr>
        <w:t xml:space="preserve">sugere-se a </w:t>
      </w:r>
      <w:r w:rsidRPr="00CB09BE" w:rsidR="00273A00">
        <w:rPr>
          <w:rFonts w:asciiTheme="minorHAnsi" w:hAnsiTheme="minorHAnsi" w:cs="Calibri"/>
          <w:szCs w:val="24"/>
          <w:u w:val="single"/>
        </w:rPr>
        <w:t>substituição</w:t>
      </w:r>
      <w:r w:rsidRPr="00CB09BE" w:rsidR="00A64833">
        <w:rPr>
          <w:rFonts w:asciiTheme="minorHAnsi" w:hAnsiTheme="minorHAnsi" w:cs="Calibri"/>
          <w:szCs w:val="24"/>
          <w:u w:val="single"/>
        </w:rPr>
        <w:t xml:space="preserve"> da expressão </w:t>
      </w:r>
      <w:r w:rsidRPr="00CB09BE" w:rsidR="00A64833">
        <w:rPr>
          <w:rFonts w:asciiTheme="minorHAnsi" w:hAnsiTheme="minorHAnsi" w:cs="Calibri"/>
          <w:i/>
          <w:szCs w:val="24"/>
          <w:u w:val="single"/>
        </w:rPr>
        <w:t>“</w:t>
      </w:r>
      <w:r w:rsidRPr="00CB09BE" w:rsidR="00273A00">
        <w:rPr>
          <w:rFonts w:asciiTheme="minorHAnsi" w:hAnsiTheme="minorHAnsi" w:cs="Calibri"/>
          <w:i/>
          <w:szCs w:val="24"/>
          <w:u w:val="single"/>
        </w:rPr>
        <w:t>do</w:t>
      </w:r>
      <w:r w:rsidRPr="00CB09BE" w:rsidR="00273A00">
        <w:rPr>
          <w:rFonts w:asciiTheme="minorHAnsi" w:hAnsiTheme="minorHAnsi" w:cs="Calibri"/>
          <w:szCs w:val="24"/>
          <w:u w:val="single"/>
        </w:rPr>
        <w:t xml:space="preserve"> </w:t>
      </w:r>
      <w:r w:rsidRPr="00CB09BE" w:rsidR="00A64833">
        <w:rPr>
          <w:rFonts w:asciiTheme="minorHAnsi" w:hAnsiTheme="minorHAnsi" w:cs="Calibri"/>
          <w:i/>
          <w:szCs w:val="24"/>
          <w:u w:val="single"/>
        </w:rPr>
        <w:t>ato infracional</w:t>
      </w:r>
      <w:r w:rsidRPr="00CB09BE" w:rsidR="00A64833">
        <w:rPr>
          <w:rFonts w:asciiTheme="minorHAnsi" w:hAnsiTheme="minorHAnsi" w:cs="Calibri"/>
          <w:szCs w:val="24"/>
          <w:u w:val="single"/>
        </w:rPr>
        <w:t>” contido na emenda, que remete a conteúdo jurídico distinto</w:t>
      </w:r>
      <w:r w:rsidRPr="00CB09BE" w:rsidR="00273A00">
        <w:rPr>
          <w:rFonts w:asciiTheme="minorHAnsi" w:hAnsiTheme="minorHAnsi" w:cs="Calibri"/>
          <w:szCs w:val="24"/>
          <w:u w:val="single"/>
        </w:rPr>
        <w:t>, por “</w:t>
      </w:r>
      <w:r w:rsidRPr="00CB09BE" w:rsidR="00273A00">
        <w:rPr>
          <w:rFonts w:asciiTheme="minorHAnsi" w:hAnsiTheme="minorHAnsi" w:cs="Calibri"/>
          <w:i/>
          <w:szCs w:val="24"/>
          <w:u w:val="single"/>
        </w:rPr>
        <w:t>da infração”</w:t>
      </w:r>
      <w:r w:rsidRPr="00CB09BE" w:rsidR="00A64833">
        <w:rPr>
          <w:rFonts w:asciiTheme="minorHAnsi" w:hAnsiTheme="minorHAnsi" w:cs="Calibri"/>
          <w:szCs w:val="24"/>
          <w:u w:val="single"/>
        </w:rPr>
        <w:t xml:space="preserve">. </w:t>
      </w:r>
    </w:p>
    <w:p w:rsidR="005C07A0" w:rsidRPr="004A5C44" w:rsidP="005C07A0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="Calibri"/>
          <w:szCs w:val="24"/>
        </w:rPr>
        <w:t>Ante o exposto</w:t>
      </w:r>
      <w:r w:rsidRPr="004A5C44">
        <w:rPr>
          <w:rFonts w:asciiTheme="minorHAnsi" w:hAnsiTheme="minorHAnsi" w:cs="Calibri"/>
          <w:szCs w:val="24"/>
        </w:rPr>
        <w:t xml:space="preserve">, </w:t>
      </w:r>
      <w:r>
        <w:rPr>
          <w:rFonts w:asciiTheme="minorHAnsi" w:hAnsiTheme="minorHAnsi" w:cs="Calibri"/>
          <w:szCs w:val="24"/>
        </w:rPr>
        <w:t>conclui-se</w:t>
      </w:r>
      <w:r w:rsidRPr="004A5C44">
        <w:rPr>
          <w:rFonts w:asciiTheme="minorHAnsi" w:hAnsiTheme="minorHAnsi" w:cs="Calibri"/>
          <w:szCs w:val="24"/>
        </w:rPr>
        <w:t xml:space="preserve"> que o projeto de emenda atende </w:t>
      </w:r>
      <w:r>
        <w:rPr>
          <w:rFonts w:asciiTheme="minorHAnsi" w:hAnsiTheme="minorHAnsi" w:cs="Calibri"/>
          <w:szCs w:val="24"/>
        </w:rPr>
        <w:t>ao</w:t>
      </w:r>
      <w:r w:rsidRPr="004A5C44">
        <w:rPr>
          <w:rFonts w:asciiTheme="minorHAnsi" w:hAnsiTheme="minorHAnsi" w:cs="Calibri"/>
          <w:szCs w:val="24"/>
        </w:rPr>
        <w:t xml:space="preserve"> Regimento Interno da Câmara, </w:t>
      </w:r>
      <w:r w:rsidR="008349F5">
        <w:rPr>
          <w:rFonts w:asciiTheme="minorHAnsi" w:hAnsiTheme="minorHAnsi" w:cs="Calibri"/>
          <w:szCs w:val="24"/>
        </w:rPr>
        <w:t>ressaltando-se</w:t>
      </w:r>
      <w:r w:rsidRPr="004A5C44" w:rsidR="008349F5">
        <w:rPr>
          <w:rFonts w:asciiTheme="minorHAnsi" w:hAnsiTheme="minorHAnsi" w:cs="Calibri"/>
          <w:szCs w:val="24"/>
        </w:rPr>
        <w:t xml:space="preserve"> ressalva acima quanto ao atendimento à LC 95/98</w:t>
      </w:r>
      <w:r w:rsidR="008349F5">
        <w:rPr>
          <w:rFonts w:asciiTheme="minorHAnsi" w:hAnsiTheme="minorHAnsi" w:cs="Calibri"/>
          <w:szCs w:val="24"/>
        </w:rPr>
        <w:t xml:space="preserve"> </w:t>
      </w:r>
      <w:r w:rsidRPr="004A5C44">
        <w:rPr>
          <w:rFonts w:asciiTheme="minorHAnsi" w:hAnsiTheme="minorHAnsi" w:cs="Calibri"/>
          <w:szCs w:val="24"/>
        </w:rPr>
        <w:t>e</w:t>
      </w:r>
      <w:r w:rsidR="00C10276">
        <w:rPr>
          <w:rFonts w:asciiTheme="minorHAnsi" w:hAnsiTheme="minorHAnsi" w:cs="Calibri"/>
          <w:szCs w:val="24"/>
        </w:rPr>
        <w:t>,</w:t>
      </w:r>
      <w:r w:rsidRPr="004A5C44">
        <w:rPr>
          <w:rFonts w:asciiTheme="minorHAnsi" w:hAnsiTheme="minorHAnsi" w:cs="Calibri"/>
          <w:szCs w:val="24"/>
        </w:rPr>
        <w:t xml:space="preserve"> </w:t>
      </w:r>
      <w:r w:rsidR="008349F5">
        <w:rPr>
          <w:rFonts w:asciiTheme="minorHAnsi" w:hAnsiTheme="minorHAnsi" w:cs="Calibri"/>
          <w:szCs w:val="24"/>
        </w:rPr>
        <w:t xml:space="preserve">no concernente </w:t>
      </w:r>
      <w:r w:rsidRPr="004A5C44">
        <w:rPr>
          <w:rFonts w:asciiTheme="minorHAnsi" w:hAnsiTheme="minorHAnsi" w:cs="Calibri"/>
          <w:szCs w:val="24"/>
        </w:rPr>
        <w:t>à matéria</w:t>
      </w:r>
      <w:r w:rsidR="00C10276">
        <w:rPr>
          <w:rFonts w:asciiTheme="minorHAnsi" w:hAnsiTheme="minorHAnsi" w:cs="Calibri"/>
          <w:szCs w:val="24"/>
        </w:rPr>
        <w:t>,</w:t>
      </w:r>
      <w:r w:rsidRPr="004A5C44" w:rsidR="008473EB">
        <w:rPr>
          <w:rFonts w:asciiTheme="minorHAnsi" w:hAnsiTheme="minorHAnsi" w:cs="Calibri"/>
          <w:szCs w:val="24"/>
        </w:rPr>
        <w:t xml:space="preserve"> reiteramos </w:t>
      </w:r>
      <w:r w:rsidRPr="004A5C44" w:rsidR="005302BB">
        <w:rPr>
          <w:rFonts w:asciiTheme="minorHAnsi" w:hAnsiTheme="minorHAnsi" w:cs="Calibri"/>
          <w:szCs w:val="24"/>
        </w:rPr>
        <w:t xml:space="preserve">o </w:t>
      </w:r>
      <w:r w:rsidRPr="004A5C44" w:rsidR="00642E98">
        <w:rPr>
          <w:rFonts w:asciiTheme="minorHAnsi" w:hAnsiTheme="minorHAnsi" w:cs="Calibri"/>
          <w:szCs w:val="24"/>
        </w:rPr>
        <w:t xml:space="preserve">Parecer Jurídico nº </w:t>
      </w:r>
      <w:r w:rsidRPr="004A5C44" w:rsidR="005302BB">
        <w:rPr>
          <w:rFonts w:asciiTheme="minorHAnsi" w:hAnsiTheme="minorHAnsi" w:cs="Calibri"/>
          <w:szCs w:val="24"/>
        </w:rPr>
        <w:t>154</w:t>
      </w:r>
      <w:r w:rsidRPr="004A5C44">
        <w:rPr>
          <w:rFonts w:asciiTheme="minorHAnsi" w:hAnsiTheme="minorHAnsi" w:cs="Calibri"/>
          <w:szCs w:val="24"/>
        </w:rPr>
        <w:t>/202</w:t>
      </w:r>
      <w:r w:rsidRPr="004A5C44" w:rsidR="005302BB">
        <w:rPr>
          <w:rFonts w:asciiTheme="minorHAnsi" w:hAnsiTheme="minorHAnsi" w:cs="Calibri"/>
          <w:szCs w:val="24"/>
        </w:rPr>
        <w:t>2</w:t>
      </w:r>
      <w:r w:rsidRPr="004A5C44" w:rsidR="005A36D8">
        <w:rPr>
          <w:rFonts w:asciiTheme="minorHAnsi" w:hAnsiTheme="minorHAnsi" w:cs="Calibri"/>
          <w:szCs w:val="24"/>
        </w:rPr>
        <w:t>.</w:t>
      </w:r>
      <w:r w:rsidRPr="004A5C44" w:rsidR="00634DDA">
        <w:rPr>
          <w:rFonts w:asciiTheme="minorHAnsi" w:hAnsiTheme="minorHAnsi" w:cs="Calibri"/>
          <w:szCs w:val="24"/>
        </w:rPr>
        <w:t xml:space="preserve"> </w:t>
      </w:r>
      <w:r w:rsidRPr="004A5C44">
        <w:rPr>
          <w:rFonts w:asciiTheme="minorHAnsi" w:hAnsiTheme="minorHAnsi" w:cs="Calibri"/>
          <w:szCs w:val="24"/>
        </w:rPr>
        <w:t>No exame do mérito</w:t>
      </w:r>
      <w:r w:rsidRPr="004A5C44">
        <w:rPr>
          <w:rFonts w:asciiTheme="minorHAnsi" w:hAnsiTheme="minorHAnsi" w:cstheme="minorHAnsi"/>
          <w:szCs w:val="24"/>
        </w:rPr>
        <w:t>, o Plenário é soberano.</w:t>
      </w:r>
    </w:p>
    <w:p w:rsidR="004E13AC" w:rsidRPr="00625AB1" w:rsidP="00B81959">
      <w:pPr>
        <w:autoSpaceDE w:val="0"/>
        <w:autoSpaceDN w:val="0"/>
        <w:adjustRightInd w:val="0"/>
        <w:spacing w:before="40" w:after="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625AB1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32568C" w:rsidP="00B81959">
      <w:pPr>
        <w:autoSpaceDE w:val="0"/>
        <w:autoSpaceDN w:val="0"/>
        <w:adjustRightInd w:val="0"/>
        <w:spacing w:before="40" w:after="40" w:line="360" w:lineRule="auto"/>
        <w:ind w:firstLine="1701"/>
        <w:jc w:val="both"/>
        <w:rPr>
          <w:rFonts w:asciiTheme="minorHAnsi" w:hAnsiTheme="minorHAnsi" w:cs="Calibri"/>
          <w:color w:val="FF0000"/>
          <w:szCs w:val="24"/>
        </w:rPr>
      </w:pPr>
      <w:r w:rsidRPr="00625AB1">
        <w:rPr>
          <w:rFonts w:asciiTheme="minorHAnsi" w:hAnsiTheme="minorHAnsi" w:cs="Calibri"/>
          <w:szCs w:val="24"/>
        </w:rPr>
        <w:t xml:space="preserve">Procuradoria, </w:t>
      </w:r>
      <w:r w:rsidRPr="00625AB1" w:rsidR="00625AB1">
        <w:rPr>
          <w:rFonts w:asciiTheme="minorHAnsi" w:hAnsiTheme="minorHAnsi" w:cs="Calibri"/>
          <w:szCs w:val="24"/>
        </w:rPr>
        <w:t>12</w:t>
      </w:r>
      <w:r w:rsidRPr="00625AB1">
        <w:rPr>
          <w:rFonts w:asciiTheme="minorHAnsi" w:hAnsiTheme="minorHAnsi" w:cs="Calibri"/>
          <w:szCs w:val="24"/>
        </w:rPr>
        <w:t xml:space="preserve"> de</w:t>
      </w:r>
      <w:r w:rsidRPr="00625AB1" w:rsidR="0032568C">
        <w:rPr>
          <w:rFonts w:asciiTheme="minorHAnsi" w:hAnsiTheme="minorHAnsi" w:cs="Calibri"/>
          <w:szCs w:val="24"/>
        </w:rPr>
        <w:t xml:space="preserve"> agosto</w:t>
      </w:r>
      <w:r w:rsidRPr="00625AB1" w:rsidR="00556D33">
        <w:rPr>
          <w:rFonts w:asciiTheme="minorHAnsi" w:hAnsiTheme="minorHAnsi" w:cs="Calibri"/>
          <w:szCs w:val="24"/>
        </w:rPr>
        <w:t xml:space="preserve"> </w:t>
      </w:r>
      <w:r w:rsidRPr="00625AB1">
        <w:rPr>
          <w:rFonts w:asciiTheme="minorHAnsi" w:hAnsiTheme="minorHAnsi" w:cs="Calibri"/>
          <w:szCs w:val="24"/>
        </w:rPr>
        <w:t>de 202</w:t>
      </w:r>
      <w:r w:rsidRPr="00625AB1" w:rsidR="004E13AC">
        <w:rPr>
          <w:rFonts w:asciiTheme="minorHAnsi" w:hAnsiTheme="minorHAnsi" w:cs="Calibri"/>
          <w:szCs w:val="24"/>
        </w:rPr>
        <w:t>4</w:t>
      </w:r>
      <w:r w:rsidRPr="00625AB1">
        <w:rPr>
          <w:rFonts w:asciiTheme="minorHAnsi" w:hAnsiTheme="minorHAnsi" w:cs="Calibri"/>
          <w:szCs w:val="24"/>
        </w:rPr>
        <w:t>.</w:t>
      </w:r>
    </w:p>
    <w:p w:rsidR="002F4DE5" w:rsidP="002F4DE5">
      <w:pPr>
        <w:pStyle w:val="BodyText"/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:rsidR="00AD70C9" w:rsidP="00625AB1">
      <w:pPr>
        <w:pStyle w:val="BodyText"/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:rsidR="002F4DE5" w:rsidRPr="00FE5040" w:rsidP="00625AB1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Rosemeire de Souza Cardoso Barbosa</w:t>
      </w:r>
    </w:p>
    <w:p w:rsidR="002F4DE5" w:rsidRPr="00FE5040" w:rsidP="00625AB1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Procuradora - OAB/SP 308.298</w:t>
      </w:r>
    </w:p>
    <w:p w:rsidR="002F4DE5" w:rsidRPr="00FE5040" w:rsidP="00625AB1">
      <w:pPr>
        <w:pStyle w:val="BodyText"/>
        <w:spacing w:after="0" w:line="240" w:lineRule="auto"/>
        <w:jc w:val="center"/>
        <w:rPr>
          <w:rFonts w:asciiTheme="minorHAnsi" w:hAnsiTheme="minorHAnsi"/>
        </w:rPr>
      </w:pPr>
      <w:r w:rsidRPr="00FE5040">
        <w:rPr>
          <w:rFonts w:asciiTheme="minorHAnsi" w:hAnsiTheme="minorHAnsi" w:cs="Calibri"/>
          <w:szCs w:val="24"/>
        </w:rPr>
        <w:t>Assinatura eletrônica</w:t>
      </w:r>
    </w:p>
    <w:sectPr w:rsidSect="002F4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642E98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642E98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642E98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642E98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642E98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25AB1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25AB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42E98">
      <w:pPr>
        <w:spacing w:after="0" w:line="240" w:lineRule="auto"/>
      </w:pPr>
      <w:r>
        <w:separator/>
      </w:r>
    </w:p>
  </w:footnote>
  <w:footnote w:type="continuationSeparator" w:id="1">
    <w:p w:rsidR="00642E98">
      <w:pPr>
        <w:spacing w:after="0" w:line="240" w:lineRule="auto"/>
      </w:pPr>
      <w:r>
        <w:continuationSeparator/>
      </w:r>
    </w:p>
  </w:footnote>
  <w:footnote w:id="2">
    <w:p w:rsidR="00642E98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  <w:footnote w:id="3">
    <w:p w:rsidR="008E3B47" w:rsidP="00FB08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5AB1">
        <w:rPr>
          <w:rFonts w:asciiTheme="minorHAnsi" w:hAnsiTheme="minorHAnsi"/>
          <w:i/>
        </w:rPr>
        <w:t xml:space="preserve">Art. 11. As disposições normativas serão redigidas com clareza, precisão e ordem lógica, observadas, para esse propósito, as seguintes normas: [...] II - para a obtenção de </w:t>
      </w:r>
      <w:r w:rsidRPr="00625AB1">
        <w:rPr>
          <w:rFonts w:asciiTheme="minorHAnsi" w:hAnsiTheme="minorHAnsi"/>
          <w:i/>
        </w:rPr>
        <w:t>precisão:</w:t>
      </w:r>
      <w:r w:rsidRPr="00625AB1">
        <w:rPr>
          <w:rFonts w:asciiTheme="minorHAnsi" w:hAnsiTheme="minorHAnsi"/>
          <w:i/>
        </w:rPr>
        <w:t xml:space="preserve">[...] b) expressar a </w:t>
      </w:r>
      <w:r w:rsidRPr="00625AB1">
        <w:rPr>
          <w:rFonts w:asciiTheme="minorHAnsi" w:hAnsiTheme="minorHAnsi"/>
          <w:i/>
        </w:rPr>
        <w:t>idéia</w:t>
      </w:r>
      <w:r w:rsidRPr="00625AB1">
        <w:rPr>
          <w:rFonts w:asciiTheme="minorHAnsi" w:hAnsiTheme="minorHAnsi"/>
          <w:i/>
        </w:rPr>
        <w:t>, quando repetida no texto, por meio das mesmas palavras, evitando o emprego de sinonímia com propósito meramente estilístico;[...].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E98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E98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0729049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951580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230548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42E98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642E98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642E98" w:rsidP="00305026">
    <w:pPr>
      <w:pStyle w:val="Header"/>
      <w:jc w:val="center"/>
      <w:rPr>
        <w:sz w:val="20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575E2"/>
    <w:rsid w:val="000A5422"/>
    <w:rsid w:val="000C6213"/>
    <w:rsid w:val="000E77F7"/>
    <w:rsid w:val="0010716F"/>
    <w:rsid w:val="0011053B"/>
    <w:rsid w:val="00116C2C"/>
    <w:rsid w:val="00125B9A"/>
    <w:rsid w:val="00152919"/>
    <w:rsid w:val="0016611D"/>
    <w:rsid w:val="00166A4A"/>
    <w:rsid w:val="001708EF"/>
    <w:rsid w:val="00182E8D"/>
    <w:rsid w:val="00185E77"/>
    <w:rsid w:val="0018769B"/>
    <w:rsid w:val="001A298A"/>
    <w:rsid w:val="001A4D01"/>
    <w:rsid w:val="001B56D5"/>
    <w:rsid w:val="001D63E7"/>
    <w:rsid w:val="001D6A14"/>
    <w:rsid w:val="001E0144"/>
    <w:rsid w:val="001F1649"/>
    <w:rsid w:val="001F75A1"/>
    <w:rsid w:val="001F7C45"/>
    <w:rsid w:val="00222C85"/>
    <w:rsid w:val="002332AB"/>
    <w:rsid w:val="00235BF6"/>
    <w:rsid w:val="00244542"/>
    <w:rsid w:val="00262F7E"/>
    <w:rsid w:val="00273A00"/>
    <w:rsid w:val="002B250B"/>
    <w:rsid w:val="002F41B0"/>
    <w:rsid w:val="002F4DE5"/>
    <w:rsid w:val="00305026"/>
    <w:rsid w:val="0032224F"/>
    <w:rsid w:val="00323A06"/>
    <w:rsid w:val="0032568C"/>
    <w:rsid w:val="0033749E"/>
    <w:rsid w:val="00352E51"/>
    <w:rsid w:val="00353DD1"/>
    <w:rsid w:val="0035695C"/>
    <w:rsid w:val="00365F3A"/>
    <w:rsid w:val="003701F4"/>
    <w:rsid w:val="00380740"/>
    <w:rsid w:val="003A712F"/>
    <w:rsid w:val="003B519F"/>
    <w:rsid w:val="003D4024"/>
    <w:rsid w:val="003D41D9"/>
    <w:rsid w:val="003E0D77"/>
    <w:rsid w:val="003E1CF9"/>
    <w:rsid w:val="00431C9A"/>
    <w:rsid w:val="00436B7A"/>
    <w:rsid w:val="00496CD5"/>
    <w:rsid w:val="004A5C44"/>
    <w:rsid w:val="004B1794"/>
    <w:rsid w:val="004E13AC"/>
    <w:rsid w:val="005163A4"/>
    <w:rsid w:val="00522A30"/>
    <w:rsid w:val="00522ECD"/>
    <w:rsid w:val="00526AC3"/>
    <w:rsid w:val="005302BB"/>
    <w:rsid w:val="0055143B"/>
    <w:rsid w:val="00556D33"/>
    <w:rsid w:val="00561C45"/>
    <w:rsid w:val="00565D77"/>
    <w:rsid w:val="00591C6F"/>
    <w:rsid w:val="005A36D8"/>
    <w:rsid w:val="005B754D"/>
    <w:rsid w:val="005C07A0"/>
    <w:rsid w:val="005D402B"/>
    <w:rsid w:val="005D6203"/>
    <w:rsid w:val="00621BFC"/>
    <w:rsid w:val="00625AB1"/>
    <w:rsid w:val="00626A4F"/>
    <w:rsid w:val="0063138D"/>
    <w:rsid w:val="00634DDA"/>
    <w:rsid w:val="00642E98"/>
    <w:rsid w:val="00646BC4"/>
    <w:rsid w:val="006D5770"/>
    <w:rsid w:val="006E6F69"/>
    <w:rsid w:val="006F165C"/>
    <w:rsid w:val="006F4218"/>
    <w:rsid w:val="007338C1"/>
    <w:rsid w:val="00750362"/>
    <w:rsid w:val="00756234"/>
    <w:rsid w:val="0078016A"/>
    <w:rsid w:val="00781E58"/>
    <w:rsid w:val="00783082"/>
    <w:rsid w:val="007904AB"/>
    <w:rsid w:val="007B47D7"/>
    <w:rsid w:val="007B5A05"/>
    <w:rsid w:val="007C6D50"/>
    <w:rsid w:val="007D2626"/>
    <w:rsid w:val="007E41B9"/>
    <w:rsid w:val="0082204D"/>
    <w:rsid w:val="00822B70"/>
    <w:rsid w:val="008349F5"/>
    <w:rsid w:val="008473EB"/>
    <w:rsid w:val="00864FC4"/>
    <w:rsid w:val="0087598C"/>
    <w:rsid w:val="008917DE"/>
    <w:rsid w:val="008A3DBD"/>
    <w:rsid w:val="008A7D22"/>
    <w:rsid w:val="008B1281"/>
    <w:rsid w:val="008C26AC"/>
    <w:rsid w:val="008C5176"/>
    <w:rsid w:val="008D703C"/>
    <w:rsid w:val="008E3B47"/>
    <w:rsid w:val="00933CA9"/>
    <w:rsid w:val="00944D41"/>
    <w:rsid w:val="00963B6F"/>
    <w:rsid w:val="009750FE"/>
    <w:rsid w:val="009C7616"/>
    <w:rsid w:val="009D2232"/>
    <w:rsid w:val="009E590B"/>
    <w:rsid w:val="00A11C58"/>
    <w:rsid w:val="00A3393A"/>
    <w:rsid w:val="00A33C8A"/>
    <w:rsid w:val="00A40A89"/>
    <w:rsid w:val="00A64833"/>
    <w:rsid w:val="00A6560E"/>
    <w:rsid w:val="00A779B8"/>
    <w:rsid w:val="00AA0609"/>
    <w:rsid w:val="00AA2F4C"/>
    <w:rsid w:val="00AC33D2"/>
    <w:rsid w:val="00AD70C9"/>
    <w:rsid w:val="00AF01F9"/>
    <w:rsid w:val="00B11C23"/>
    <w:rsid w:val="00B232DD"/>
    <w:rsid w:val="00B477B4"/>
    <w:rsid w:val="00B81959"/>
    <w:rsid w:val="00BA74FB"/>
    <w:rsid w:val="00BD076E"/>
    <w:rsid w:val="00C10276"/>
    <w:rsid w:val="00C15DC4"/>
    <w:rsid w:val="00C2365D"/>
    <w:rsid w:val="00C40D18"/>
    <w:rsid w:val="00C80F1B"/>
    <w:rsid w:val="00C85EE6"/>
    <w:rsid w:val="00C93CC5"/>
    <w:rsid w:val="00CB09BE"/>
    <w:rsid w:val="00CC06A8"/>
    <w:rsid w:val="00CC20DB"/>
    <w:rsid w:val="00CE118C"/>
    <w:rsid w:val="00CF0859"/>
    <w:rsid w:val="00CF20D3"/>
    <w:rsid w:val="00CF3947"/>
    <w:rsid w:val="00D01A07"/>
    <w:rsid w:val="00D13CCD"/>
    <w:rsid w:val="00D21EA5"/>
    <w:rsid w:val="00D262DC"/>
    <w:rsid w:val="00D3018D"/>
    <w:rsid w:val="00D4238B"/>
    <w:rsid w:val="00D45484"/>
    <w:rsid w:val="00D51C7A"/>
    <w:rsid w:val="00D53D44"/>
    <w:rsid w:val="00D70598"/>
    <w:rsid w:val="00D76EAD"/>
    <w:rsid w:val="00D932DC"/>
    <w:rsid w:val="00DB54C2"/>
    <w:rsid w:val="00E231DA"/>
    <w:rsid w:val="00E31714"/>
    <w:rsid w:val="00E31B26"/>
    <w:rsid w:val="00E31C8B"/>
    <w:rsid w:val="00E325E8"/>
    <w:rsid w:val="00E34601"/>
    <w:rsid w:val="00E44C53"/>
    <w:rsid w:val="00E51E4D"/>
    <w:rsid w:val="00E52006"/>
    <w:rsid w:val="00E71AE8"/>
    <w:rsid w:val="00E90CDC"/>
    <w:rsid w:val="00EA43E7"/>
    <w:rsid w:val="00EA6354"/>
    <w:rsid w:val="00EB17A8"/>
    <w:rsid w:val="00EB1FB8"/>
    <w:rsid w:val="00EC78FC"/>
    <w:rsid w:val="00EC7B64"/>
    <w:rsid w:val="00EE71E8"/>
    <w:rsid w:val="00F002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84741"/>
    <w:rsid w:val="00F84804"/>
    <w:rsid w:val="00F90411"/>
    <w:rsid w:val="00FB08A2"/>
    <w:rsid w:val="00FD0669"/>
    <w:rsid w:val="00FE5040"/>
    <w:rsid w:val="00FF197E"/>
    <w:rsid w:val="00FF67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5A5E-D9D6-4890-BE03-907F38EA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2024-07-01T20:21:00Z</dcterms:created>
  <dcterms:modified xsi:type="dcterms:W3CDTF">2024-08-12T13:31:00Z</dcterms:modified>
</cp:coreProperties>
</file>