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B41D15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B41D15">
        <w:rPr>
          <w:rFonts w:asciiTheme="minorHAnsi" w:hAnsiTheme="minorHAnsi" w:cstheme="minorHAnsi"/>
          <w:b/>
          <w:color w:val="auto"/>
        </w:rPr>
        <w:t xml:space="preserve">Parecer </w:t>
      </w:r>
      <w:r w:rsidRPr="00B41D15">
        <w:rPr>
          <w:rFonts w:asciiTheme="minorHAnsi" w:hAnsiTheme="minorHAnsi" w:cstheme="minorHAnsi"/>
          <w:b/>
          <w:color w:val="auto"/>
        </w:rPr>
        <w:t>J</w:t>
      </w:r>
      <w:r w:rsidRPr="00B41D15">
        <w:rPr>
          <w:rFonts w:asciiTheme="minorHAnsi" w:hAnsiTheme="minorHAnsi" w:cstheme="minorHAnsi"/>
          <w:b/>
          <w:color w:val="auto"/>
        </w:rPr>
        <w:t>urídico</w:t>
      </w:r>
      <w:r w:rsidRPr="00B41D15">
        <w:rPr>
          <w:rFonts w:asciiTheme="minorHAnsi" w:hAnsiTheme="minorHAnsi" w:cstheme="minorHAnsi"/>
          <w:b/>
          <w:color w:val="auto"/>
        </w:rPr>
        <w:t xml:space="preserve"> nº</w:t>
      </w:r>
      <w:r w:rsidRPr="00B41D15">
        <w:rPr>
          <w:rFonts w:asciiTheme="minorHAnsi" w:hAnsiTheme="minorHAnsi" w:cstheme="minorHAnsi"/>
          <w:b/>
          <w:color w:val="auto"/>
        </w:rPr>
        <w:t xml:space="preserve"> </w:t>
      </w:r>
      <w:r w:rsidR="004E1F69">
        <w:rPr>
          <w:rFonts w:asciiTheme="minorHAnsi" w:hAnsiTheme="minorHAnsi" w:cstheme="minorHAnsi"/>
          <w:b/>
          <w:color w:val="auto"/>
        </w:rPr>
        <w:t>202</w:t>
      </w:r>
      <w:r w:rsidRPr="00B41D15" w:rsidR="000E086D">
        <w:rPr>
          <w:rFonts w:asciiTheme="minorHAnsi" w:hAnsiTheme="minorHAnsi" w:cstheme="minorHAnsi"/>
          <w:b/>
          <w:color w:val="auto"/>
        </w:rPr>
        <w:t>/202</w:t>
      </w:r>
      <w:r w:rsidR="008A0B89">
        <w:rPr>
          <w:rFonts w:asciiTheme="minorHAnsi" w:hAnsiTheme="minorHAnsi" w:cstheme="minorHAnsi"/>
          <w:b/>
          <w:color w:val="auto"/>
        </w:rPr>
        <w:t>4</w:t>
      </w:r>
      <w:r w:rsidRPr="00B41D15" w:rsidR="00031E27">
        <w:rPr>
          <w:rFonts w:asciiTheme="minorHAnsi" w:hAnsiTheme="minorHAnsi" w:cstheme="minorHAnsi"/>
          <w:b/>
          <w:color w:val="auto"/>
        </w:rPr>
        <w:t>.</w:t>
      </w:r>
    </w:p>
    <w:p w:rsidR="008A0B89" w:rsidP="008A0B8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D4AD0">
        <w:rPr>
          <w:rFonts w:asciiTheme="minorHAnsi" w:hAnsiTheme="minorHAnsi" w:cstheme="minorHAnsi"/>
          <w:b/>
        </w:rPr>
        <w:t>Assunto</w:t>
      </w:r>
      <w:r w:rsidRPr="00CD4AD0">
        <w:rPr>
          <w:rFonts w:asciiTheme="minorHAnsi" w:hAnsiTheme="minorHAnsi" w:cstheme="minorHAnsi"/>
        </w:rPr>
        <w:t xml:space="preserve">: </w:t>
      </w:r>
      <w:r w:rsidRPr="007D2C08" w:rsidR="00CD4AD0">
        <w:rPr>
          <w:rFonts w:asciiTheme="minorHAnsi" w:hAnsiTheme="minorHAnsi" w:cstheme="minorHAnsi"/>
          <w:b/>
        </w:rPr>
        <w:t>Veto 0</w:t>
      </w:r>
      <w:r>
        <w:rPr>
          <w:rFonts w:asciiTheme="minorHAnsi" w:hAnsiTheme="minorHAnsi" w:cstheme="minorHAnsi"/>
          <w:b/>
        </w:rPr>
        <w:t>4</w:t>
      </w:r>
      <w:r w:rsidRPr="007D2C08" w:rsidR="00CD4AD0">
        <w:rPr>
          <w:rFonts w:asciiTheme="minorHAnsi" w:hAnsiTheme="minorHAnsi" w:cstheme="minorHAnsi"/>
          <w:b/>
        </w:rPr>
        <w:t>/202</w:t>
      </w:r>
      <w:r w:rsidR="005D2AEA">
        <w:rPr>
          <w:rFonts w:asciiTheme="minorHAnsi" w:hAnsiTheme="minorHAnsi" w:cstheme="minorHAnsi"/>
          <w:b/>
        </w:rPr>
        <w:t>4</w:t>
      </w:r>
      <w:r w:rsidRPr="00CD4AD0" w:rsidR="00487B12">
        <w:rPr>
          <w:rFonts w:asciiTheme="minorHAnsi" w:hAnsiTheme="minorHAnsi" w:cstheme="minorHAnsi"/>
        </w:rPr>
        <w:t xml:space="preserve"> </w:t>
      </w:r>
      <w:r w:rsidRPr="00CD4AD0" w:rsidR="00F25374">
        <w:rPr>
          <w:rFonts w:asciiTheme="minorHAnsi" w:hAnsiTheme="minorHAnsi" w:cstheme="minorHAnsi"/>
        </w:rPr>
        <w:t>–</w:t>
      </w:r>
      <w:r w:rsidRPr="00CD4AD0" w:rsidR="00487B12">
        <w:rPr>
          <w:rFonts w:asciiTheme="minorHAnsi" w:hAnsiTheme="minorHAnsi" w:cstheme="minorHAnsi"/>
        </w:rPr>
        <w:t xml:space="preserve"> </w:t>
      </w:r>
      <w:r w:rsidRPr="0093777C" w:rsidR="005D2AEA">
        <w:rPr>
          <w:rFonts w:asciiTheme="minorHAnsi" w:hAnsiTheme="minorHAnsi" w:cstheme="minorHAnsi"/>
          <w:b/>
        </w:rPr>
        <w:t>VETO PARCIAL</w:t>
      </w:r>
      <w:r w:rsidR="005D2AEA">
        <w:rPr>
          <w:rFonts w:asciiTheme="minorHAnsi" w:hAnsiTheme="minorHAnsi" w:cstheme="minorHAnsi"/>
        </w:rPr>
        <w:t xml:space="preserve"> </w:t>
      </w:r>
      <w:r w:rsidRPr="005D2AEA" w:rsidR="005D2AEA">
        <w:rPr>
          <w:rFonts w:asciiTheme="minorHAnsi" w:hAnsiTheme="minorHAnsi" w:cstheme="minorHAnsi"/>
        </w:rPr>
        <w:t xml:space="preserve">ao </w:t>
      </w:r>
      <w:r w:rsidRPr="0093777C" w:rsidR="005D2AEA">
        <w:rPr>
          <w:rFonts w:asciiTheme="minorHAnsi" w:hAnsiTheme="minorHAnsi" w:cstheme="minorHAnsi"/>
          <w:b/>
        </w:rPr>
        <w:t xml:space="preserve">Projeto de Lei nº </w:t>
      </w:r>
      <w:r w:rsidRPr="0093777C" w:rsidR="0093777C">
        <w:rPr>
          <w:rFonts w:asciiTheme="minorHAnsi" w:hAnsiTheme="minorHAnsi" w:cstheme="minorHAnsi"/>
          <w:b/>
        </w:rPr>
        <w:t>63/2024</w:t>
      </w:r>
      <w:r w:rsidR="0093777C">
        <w:rPr>
          <w:rFonts w:asciiTheme="minorHAnsi" w:hAnsiTheme="minorHAnsi" w:cstheme="minorHAnsi"/>
        </w:rPr>
        <w:t xml:space="preserve"> que </w:t>
      </w:r>
      <w:r w:rsidRPr="0093777C" w:rsidR="0093777C">
        <w:rPr>
          <w:rFonts w:asciiTheme="minorHAnsi" w:hAnsiTheme="minorHAnsi" w:cstheme="minorHAnsi"/>
        </w:rPr>
        <w:t>“Dispõe sobre as Diretrizes Orçamentárias relativas ao exercício de 2025.”.</w:t>
      </w:r>
    </w:p>
    <w:p w:rsidR="00EF68B4" w:rsidP="0072334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Autoria: </w:t>
      </w:r>
      <w:r>
        <w:rPr>
          <w:rFonts w:asciiTheme="minorHAnsi" w:hAnsiTheme="minorHAnsi" w:cstheme="minorHAnsi"/>
        </w:rPr>
        <w:t xml:space="preserve">Exma. </w:t>
      </w:r>
      <w:r>
        <w:rPr>
          <w:rFonts w:asciiTheme="minorHAnsi" w:hAnsiTheme="minorHAnsi" w:cstheme="minorHAnsi"/>
        </w:rPr>
        <w:t>Sra.</w:t>
      </w:r>
      <w:r>
        <w:rPr>
          <w:rFonts w:asciiTheme="minorHAnsi" w:hAnsiTheme="minorHAnsi" w:cstheme="minorHAnsi"/>
        </w:rPr>
        <w:t xml:space="preserve"> Prefeita </w:t>
      </w:r>
      <w:r>
        <w:rPr>
          <w:rFonts w:asciiTheme="minorHAnsi" w:hAnsiTheme="minorHAnsi" w:cstheme="minorHAnsi"/>
        </w:rPr>
        <w:t>Lucimara Rossi de Godoy.</w:t>
      </w:r>
    </w:p>
    <w:p w:rsidR="00D14717" w:rsidRPr="00CD4AD0" w:rsidP="0072334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23344" w:rsidRPr="007B2A09" w:rsidP="007233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0054E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</w:rPr>
      </w:pPr>
    </w:p>
    <w:p w:rsidR="005D2AEA" w:rsidRPr="00FE4CC5" w:rsidP="005D2AEA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E4CC5">
        <w:rPr>
          <w:rFonts w:asciiTheme="minorHAnsi" w:hAnsiTheme="minorHAnsi" w:cstheme="minorHAnsi"/>
          <w:b/>
          <w:color w:val="auto"/>
        </w:rPr>
        <w:t>Ao Departamento Legislativo e de Expediente,</w:t>
      </w:r>
    </w:p>
    <w:p w:rsidR="005D2AEA" w:rsidRPr="0071591A" w:rsidP="005D2AEA">
      <w:pPr>
        <w:pStyle w:val="Default"/>
        <w:spacing w:after="240"/>
        <w:jc w:val="both"/>
        <w:rPr>
          <w:rFonts w:ascii="Helvetica" w:hAnsi="Helvetica"/>
          <w:sz w:val="21"/>
          <w:szCs w:val="21"/>
        </w:rPr>
      </w:pPr>
      <w:r w:rsidRPr="0071591A">
        <w:rPr>
          <w:rFonts w:asciiTheme="minorHAnsi" w:hAnsiTheme="minorHAnsi" w:cstheme="minorHAnsi"/>
          <w:b/>
          <w:color w:val="auto"/>
        </w:rPr>
        <w:t xml:space="preserve">Ilma. Diretora </w:t>
      </w:r>
      <w:r>
        <w:rPr>
          <w:rFonts w:asciiTheme="minorHAnsi" w:hAnsiTheme="minorHAnsi" w:cstheme="minorHAnsi"/>
          <w:b/>
          <w:color w:val="auto"/>
        </w:rPr>
        <w:t xml:space="preserve">Sra. </w:t>
      </w:r>
      <w:r w:rsidRPr="0071591A">
        <w:rPr>
          <w:rFonts w:asciiTheme="minorHAnsi" w:hAnsiTheme="minorHAnsi" w:cstheme="minorHAnsi"/>
          <w:b/>
          <w:color w:val="auto"/>
        </w:rPr>
        <w:t xml:space="preserve">Bruna </w:t>
      </w:r>
      <w:r w:rsidRPr="0071591A">
        <w:rPr>
          <w:rFonts w:asciiTheme="minorHAnsi" w:hAnsiTheme="minorHAnsi" w:cstheme="minorHAnsi"/>
          <w:b/>
          <w:color w:val="auto"/>
        </w:rPr>
        <w:t>Geratto</w:t>
      </w:r>
      <w:r w:rsidRPr="0071591A">
        <w:rPr>
          <w:rFonts w:asciiTheme="minorHAnsi" w:hAnsiTheme="minorHAnsi" w:cstheme="minorHAnsi"/>
          <w:b/>
          <w:color w:val="auto"/>
        </w:rPr>
        <w:t xml:space="preserve"> Borges</w:t>
      </w:r>
    </w:p>
    <w:p w:rsidR="00021981" w:rsidP="002D399B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FF0000"/>
          <w:sz w:val="12"/>
          <w:szCs w:val="12"/>
        </w:rPr>
      </w:pPr>
    </w:p>
    <w:p w:rsidR="00057F68" w:rsidP="002D399B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FF0000"/>
          <w:sz w:val="12"/>
          <w:szCs w:val="12"/>
        </w:rPr>
      </w:pPr>
    </w:p>
    <w:p w:rsidR="0093777C" w:rsidP="0093777C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EF68B4">
        <w:rPr>
          <w:rFonts w:asciiTheme="minorHAnsi" w:hAnsiTheme="minorHAnsi" w:cstheme="minorHAnsi"/>
          <w:color w:val="auto"/>
        </w:rPr>
        <w:t xml:space="preserve">Trata-se de parecer jurídico relativo ao </w:t>
      </w:r>
      <w:r w:rsidRPr="00EF68B4">
        <w:rPr>
          <w:rFonts w:asciiTheme="minorHAnsi" w:hAnsiTheme="minorHAnsi" w:cstheme="minorHAnsi"/>
          <w:b/>
          <w:color w:val="auto"/>
        </w:rPr>
        <w:t>veto parcial</w:t>
      </w:r>
      <w:r w:rsidRPr="00EF68B4" w:rsidR="00723344">
        <w:rPr>
          <w:rFonts w:asciiTheme="minorHAnsi" w:hAnsiTheme="minorHAnsi" w:cstheme="minorHAnsi"/>
          <w:color w:val="auto"/>
        </w:rPr>
        <w:t xml:space="preserve"> </w:t>
      </w:r>
      <w:r w:rsidRPr="005D2AEA" w:rsidR="00064F0D">
        <w:rPr>
          <w:rFonts w:asciiTheme="minorHAnsi" w:hAnsiTheme="minorHAnsi" w:cstheme="minorHAnsi"/>
        </w:rPr>
        <w:t xml:space="preserve">ao Projeto de Lei nº </w:t>
      </w:r>
      <w:r w:rsidR="008A0B89">
        <w:rPr>
          <w:rFonts w:asciiTheme="minorHAnsi" w:hAnsiTheme="minorHAnsi" w:cstheme="minorHAnsi"/>
        </w:rPr>
        <w:t xml:space="preserve">63, de 2024, </w:t>
      </w:r>
      <w:r w:rsidR="004E1F69">
        <w:rPr>
          <w:rFonts w:asciiTheme="minorHAnsi" w:hAnsiTheme="minorHAnsi" w:cstheme="minorHAnsi"/>
        </w:rPr>
        <w:t>precipuamente</w:t>
      </w:r>
      <w:r w:rsidRPr="0093777C">
        <w:rPr>
          <w:rFonts w:asciiTheme="minorHAnsi" w:hAnsiTheme="minorHAnsi" w:cstheme="minorHAnsi"/>
        </w:rPr>
        <w:t xml:space="preserve"> a </w:t>
      </w:r>
      <w:r w:rsidRPr="0018578B">
        <w:rPr>
          <w:rFonts w:asciiTheme="minorHAnsi" w:hAnsiTheme="minorHAnsi" w:cstheme="minorHAnsi"/>
          <w:u w:val="single"/>
        </w:rPr>
        <w:t>emenda modificativa nº 1</w:t>
      </w:r>
      <w:r w:rsidRPr="0093777C">
        <w:rPr>
          <w:rFonts w:asciiTheme="minorHAnsi" w:hAnsiTheme="minorHAnsi" w:cstheme="minorHAnsi"/>
        </w:rPr>
        <w:t>, de autoria do Poder Legislativo, conforme Autógrafo nº 66, de 2024, que “Dispõe sobre as Diretrizes Orçamentárias relativas ao exercício de 2025.”.</w:t>
      </w:r>
    </w:p>
    <w:p w:rsidR="0018578B" w:rsidRPr="0018578B" w:rsidP="004A5BD7">
      <w:pPr>
        <w:tabs>
          <w:tab w:val="left" w:pos="708"/>
          <w:tab w:val="left" w:pos="1416"/>
          <w:tab w:val="left" w:pos="1605"/>
          <w:tab w:val="left" w:pos="2625"/>
        </w:tabs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4A5BD7">
        <w:rPr>
          <w:rFonts w:asciiTheme="minorHAnsi" w:hAnsiTheme="minorHAnsi" w:cstheme="minorHAnsi"/>
        </w:rPr>
        <w:t xml:space="preserve">Para tanto, nas razões do veto </w:t>
      </w:r>
      <w:r w:rsidRPr="004A5BD7" w:rsidR="004C1F6D">
        <w:rPr>
          <w:rFonts w:asciiTheme="minorHAnsi" w:hAnsiTheme="minorHAnsi" w:cstheme="minorHAnsi"/>
        </w:rPr>
        <w:t xml:space="preserve">a Exma. </w:t>
      </w:r>
      <w:r w:rsidRPr="004A5BD7" w:rsidR="004C1F6D">
        <w:rPr>
          <w:rFonts w:asciiTheme="minorHAnsi" w:hAnsiTheme="minorHAnsi" w:cstheme="minorHAnsi"/>
        </w:rPr>
        <w:t>Sra.</w:t>
      </w:r>
      <w:r w:rsidRPr="004A5BD7" w:rsidR="004C1F6D">
        <w:rPr>
          <w:rFonts w:asciiTheme="minorHAnsi" w:hAnsiTheme="minorHAnsi" w:cstheme="minorHAnsi"/>
        </w:rPr>
        <w:t xml:space="preserve"> Prefeita </w:t>
      </w:r>
      <w:r w:rsidRPr="004A5BD7">
        <w:rPr>
          <w:rFonts w:asciiTheme="minorHAnsi" w:hAnsiTheme="minorHAnsi" w:cstheme="minorHAnsi"/>
        </w:rPr>
        <w:t>argumenta</w:t>
      </w:r>
      <w:r w:rsidRPr="004A5BD7" w:rsidR="00F878A6">
        <w:rPr>
          <w:rFonts w:asciiTheme="minorHAnsi" w:hAnsiTheme="minorHAnsi" w:cstheme="minorHAnsi"/>
        </w:rPr>
        <w:t>, em síntese,</w:t>
      </w:r>
      <w:r w:rsidRPr="004A5BD7">
        <w:rPr>
          <w:rFonts w:asciiTheme="minorHAnsi" w:hAnsiTheme="minorHAnsi" w:cstheme="minorHAnsi"/>
        </w:rPr>
        <w:t xml:space="preserve"> que </w:t>
      </w:r>
      <w:r w:rsidRPr="0018578B">
        <w:rPr>
          <w:rFonts w:asciiTheme="minorHAnsi" w:hAnsiTheme="minorHAnsi" w:cstheme="minorHAnsi"/>
          <w:i/>
        </w:rPr>
        <w:t>“...a emenda proposta</w:t>
      </w:r>
      <w:r w:rsidRPr="0018578B" w:rsidR="004A5BD7">
        <w:rPr>
          <w:rFonts w:asciiTheme="minorHAnsi" w:hAnsiTheme="minorHAnsi" w:cstheme="minorHAnsi"/>
          <w:i/>
        </w:rPr>
        <w:t xml:space="preserve"> afeta o planejamento orçamentário, além disso, ela extrapola o poder de emendar dos parlamentares e viola as n</w:t>
      </w:r>
      <w:r>
        <w:rPr>
          <w:rFonts w:asciiTheme="minorHAnsi" w:hAnsiTheme="minorHAnsi" w:cstheme="minorHAnsi"/>
          <w:i/>
        </w:rPr>
        <w:t xml:space="preserve">ormas financeiras vigentes...”, </w:t>
      </w:r>
      <w:r w:rsidR="004E1F69">
        <w:rPr>
          <w:rFonts w:asciiTheme="minorHAnsi" w:hAnsiTheme="minorHAnsi" w:cstheme="minorHAnsi"/>
        </w:rPr>
        <w:t xml:space="preserve">mais especificamente </w:t>
      </w:r>
      <w:r>
        <w:rPr>
          <w:rFonts w:asciiTheme="minorHAnsi" w:hAnsiTheme="minorHAnsi" w:cstheme="minorHAnsi"/>
        </w:rPr>
        <w:t xml:space="preserve">o art. 33, “a” da </w:t>
      </w:r>
      <w:r w:rsidRPr="0018578B">
        <w:rPr>
          <w:rFonts w:asciiTheme="minorHAnsi" w:hAnsiTheme="minorHAnsi" w:cstheme="minorHAnsi"/>
        </w:rPr>
        <w:t>Lei Federal nº 4.320/64</w:t>
      </w:r>
      <w:r>
        <w:rPr>
          <w:rFonts w:asciiTheme="minorHAnsi" w:hAnsiTheme="minorHAnsi" w:cstheme="minorHAnsi"/>
        </w:rPr>
        <w:t>.</w:t>
      </w:r>
    </w:p>
    <w:p w:rsidR="006A4CBA" w:rsidRPr="008A0B89" w:rsidP="006A4CBA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EF68B4">
        <w:rPr>
          <w:rFonts w:asciiTheme="minorHAnsi" w:hAnsiTheme="minorHAnsi" w:cstheme="minorHAnsi"/>
          <w:color w:val="auto"/>
        </w:rPr>
        <w:t>Assim sendo passamos a tecer nossas considerações</w:t>
      </w:r>
      <w:r w:rsidR="008A0B89">
        <w:rPr>
          <w:rFonts w:asciiTheme="minorHAnsi" w:hAnsiTheme="minorHAnsi" w:cstheme="minorHAnsi"/>
          <w:color w:val="auto"/>
        </w:rPr>
        <w:t>.</w:t>
      </w:r>
    </w:p>
    <w:p w:rsidR="00723344" w:rsidRPr="00EF68B4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EF68B4">
        <w:rPr>
          <w:rFonts w:eastAsia="Times New Roman" w:asciiTheme="minorHAnsi" w:hAnsiTheme="minorHAnsi" w:cstheme="minorHAnsi"/>
          <w:color w:val="auto"/>
          <w:szCs w:val="20"/>
        </w:rPr>
        <w:t>R</w:t>
      </w:r>
      <w:r w:rsidRPr="00EF68B4">
        <w:rPr>
          <w:rFonts w:eastAsia="Times New Roman" w:asciiTheme="minorHAnsi" w:hAnsiTheme="minorHAnsi" w:cstheme="minorHAnsi"/>
          <w:color w:val="auto"/>
          <w:szCs w:val="20"/>
        </w:rPr>
        <w:t>essalta-se que a opinião jurídica exarada neste parecer não tem força vinculante, sendo meramente opinativo</w:t>
      </w:r>
      <w:r>
        <w:rPr>
          <w:rStyle w:val="FootnoteReference"/>
          <w:rFonts w:eastAsia="Times New Roman" w:asciiTheme="minorHAnsi" w:hAnsiTheme="minorHAnsi" w:cstheme="minorHAnsi"/>
          <w:color w:val="auto"/>
          <w:szCs w:val="20"/>
        </w:rPr>
        <w:footnoteReference w:id="2"/>
      </w:r>
      <w:r w:rsidRPr="00EF68B4">
        <w:rPr>
          <w:rFonts w:eastAsia="Times New Roman" w:asciiTheme="minorHAnsi" w:hAnsiTheme="minorHAnsi" w:cstheme="minorHAnsi"/>
          <w:color w:val="auto"/>
          <w:szCs w:val="20"/>
        </w:rPr>
        <w:t xml:space="preserve"> não fundamentando decisão proferida pelas comissões e/ou nobres vereadores. </w:t>
      </w:r>
    </w:p>
    <w:p w:rsidR="00723344" w:rsidRPr="00EF68B4" w:rsidP="00723344">
      <w:pPr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EF68B4">
        <w:rPr>
          <w:rFonts w:asciiTheme="minorHAnsi" w:hAnsiTheme="minorHAnsi" w:cstheme="minorHAnsi"/>
        </w:rPr>
        <w:t xml:space="preserve">Nessa quadra, a competência legal da Edilidade </w:t>
      </w:r>
      <w:r w:rsidRPr="00EF68B4">
        <w:rPr>
          <w:rFonts w:asciiTheme="minorHAnsi" w:hAnsiTheme="minorHAnsi" w:cstheme="minorHAnsi"/>
        </w:rPr>
        <w:t>para apreciaç</w:t>
      </w:r>
      <w:r w:rsidRPr="00EF68B4" w:rsidR="00355E00">
        <w:rPr>
          <w:rFonts w:asciiTheme="minorHAnsi" w:hAnsiTheme="minorHAnsi" w:cstheme="minorHAnsi"/>
        </w:rPr>
        <w:t xml:space="preserve">ão do veto consta do artigo 27, </w:t>
      </w:r>
      <w:r w:rsidRPr="00EF68B4">
        <w:rPr>
          <w:rFonts w:asciiTheme="minorHAnsi" w:hAnsiTheme="minorHAnsi" w:cstheme="minorHAnsi"/>
        </w:rPr>
        <w:t>do Regimento Interno e do art. 54</w:t>
      </w:r>
      <w:r w:rsidRPr="00EF68B4" w:rsidR="00355E00">
        <w:rPr>
          <w:rFonts w:asciiTheme="minorHAnsi" w:hAnsiTheme="minorHAnsi" w:cstheme="minorHAnsi"/>
        </w:rPr>
        <w:t>,</w:t>
      </w:r>
      <w:r w:rsidRPr="00EF68B4">
        <w:rPr>
          <w:rFonts w:asciiTheme="minorHAnsi" w:hAnsiTheme="minorHAnsi" w:cstheme="minorHAnsi"/>
        </w:rPr>
        <w:t xml:space="preserve"> da Lei Orgânica em simetria com a Constituição Federal.</w:t>
      </w:r>
    </w:p>
    <w:p w:rsidR="00723344" w:rsidRPr="00EF68B4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EF68B4">
        <w:rPr>
          <w:rFonts w:asciiTheme="minorHAnsi" w:hAnsiTheme="minorHAnsi" w:cstheme="minorHAnsi"/>
          <w:color w:val="auto"/>
        </w:rPr>
        <w:t xml:space="preserve">Trata-se de </w:t>
      </w:r>
      <w:r w:rsidRPr="00EF68B4" w:rsidR="00311860">
        <w:rPr>
          <w:rFonts w:asciiTheme="minorHAnsi" w:hAnsiTheme="minorHAnsi" w:cstheme="minorHAnsi"/>
          <w:color w:val="auto"/>
        </w:rPr>
        <w:t>participação</w:t>
      </w:r>
      <w:r w:rsidRPr="00EF68B4">
        <w:rPr>
          <w:rFonts w:asciiTheme="minorHAnsi" w:hAnsiTheme="minorHAnsi" w:cstheme="minorHAnsi"/>
          <w:color w:val="auto"/>
        </w:rPr>
        <w:t xml:space="preserve"> do </w:t>
      </w:r>
      <w:r w:rsidRPr="00EF68B4" w:rsidR="00311860">
        <w:rPr>
          <w:rFonts w:asciiTheme="minorHAnsi" w:hAnsiTheme="minorHAnsi" w:cstheme="minorHAnsi"/>
          <w:color w:val="auto"/>
        </w:rPr>
        <w:t xml:space="preserve">Poder </w:t>
      </w:r>
      <w:r w:rsidRPr="00EF68B4">
        <w:rPr>
          <w:rFonts w:asciiTheme="minorHAnsi" w:hAnsiTheme="minorHAnsi" w:cstheme="minorHAnsi"/>
          <w:color w:val="auto"/>
        </w:rPr>
        <w:t>Executivo na con</w:t>
      </w:r>
      <w:r w:rsidRPr="00EF68B4" w:rsidR="00311860">
        <w:rPr>
          <w:rFonts w:asciiTheme="minorHAnsi" w:hAnsiTheme="minorHAnsi" w:cstheme="minorHAnsi"/>
          <w:color w:val="auto"/>
        </w:rPr>
        <w:t>strução da lei, em respeito ao sistema</w:t>
      </w:r>
      <w:r w:rsidRPr="00EF68B4">
        <w:rPr>
          <w:rFonts w:asciiTheme="minorHAnsi" w:hAnsiTheme="minorHAnsi" w:cstheme="minorHAnsi"/>
          <w:color w:val="auto"/>
        </w:rPr>
        <w:t xml:space="preserve"> de freios e contrapesos consagrad</w:t>
      </w:r>
      <w:r w:rsidRPr="00EF68B4" w:rsidR="00311860">
        <w:rPr>
          <w:rFonts w:asciiTheme="minorHAnsi" w:hAnsiTheme="minorHAnsi" w:cstheme="minorHAnsi"/>
          <w:color w:val="auto"/>
        </w:rPr>
        <w:t>o na sistemática constitucional, s</w:t>
      </w:r>
      <w:r w:rsidRPr="00EF68B4">
        <w:rPr>
          <w:rFonts w:asciiTheme="minorHAnsi" w:hAnsiTheme="minorHAnsi" w:cstheme="minorHAnsi"/>
          <w:color w:val="auto"/>
        </w:rPr>
        <w:t xml:space="preserve">endo que </w:t>
      </w:r>
      <w:r w:rsidRPr="00EF68B4" w:rsidR="00311860">
        <w:rPr>
          <w:rFonts w:asciiTheme="minorHAnsi" w:hAnsiTheme="minorHAnsi" w:cstheme="minorHAnsi"/>
          <w:color w:val="auto"/>
        </w:rPr>
        <w:t>a deliberação executiva</w:t>
      </w:r>
      <w:r w:rsidRPr="00EF68B4">
        <w:rPr>
          <w:rFonts w:asciiTheme="minorHAnsi" w:hAnsiTheme="minorHAnsi" w:cstheme="minorHAnsi"/>
          <w:color w:val="auto"/>
        </w:rPr>
        <w:t xml:space="preserve"> pode result</w:t>
      </w:r>
      <w:r w:rsidRPr="00EF68B4" w:rsidR="00311860">
        <w:rPr>
          <w:rFonts w:asciiTheme="minorHAnsi" w:hAnsiTheme="minorHAnsi" w:cstheme="minorHAnsi"/>
          <w:color w:val="auto"/>
        </w:rPr>
        <w:t>ar tanto n</w:t>
      </w:r>
      <w:r w:rsidRPr="00EF68B4">
        <w:rPr>
          <w:rFonts w:asciiTheme="minorHAnsi" w:hAnsiTheme="minorHAnsi" w:cstheme="minorHAnsi"/>
          <w:color w:val="auto"/>
        </w:rPr>
        <w:t>o assentimento ou sanção quanto na recusa ou o veto.</w:t>
      </w:r>
    </w:p>
    <w:p w:rsidR="00723344" w:rsidRPr="00EF68B4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EF68B4">
        <w:rPr>
          <w:rFonts w:asciiTheme="minorHAnsi" w:hAnsiTheme="minorHAnsi" w:cstheme="minorHAnsi"/>
          <w:color w:val="auto"/>
        </w:rPr>
        <w:t>A sanção transforma em lei o projeto aprovado pelo Legislativo</w:t>
      </w:r>
      <w:r w:rsidRPr="00EF68B4" w:rsidR="00315E38">
        <w:rPr>
          <w:rFonts w:asciiTheme="minorHAnsi" w:hAnsiTheme="minorHAnsi" w:cstheme="minorHAnsi"/>
          <w:color w:val="auto"/>
        </w:rPr>
        <w:t>,</w:t>
      </w:r>
      <w:r w:rsidRPr="00EF68B4">
        <w:rPr>
          <w:rFonts w:asciiTheme="minorHAnsi" w:hAnsiTheme="minorHAnsi" w:cstheme="minorHAnsi"/>
          <w:color w:val="auto"/>
        </w:rPr>
        <w:t xml:space="preserve"> podendo </w:t>
      </w:r>
      <w:r w:rsidRPr="00EF68B4" w:rsidR="00315E38">
        <w:rPr>
          <w:rFonts w:asciiTheme="minorHAnsi" w:hAnsiTheme="minorHAnsi" w:cstheme="minorHAnsi"/>
          <w:color w:val="auto"/>
        </w:rPr>
        <w:t xml:space="preserve">ocorrer de modo expresso ou tácito (art. 53, da </w:t>
      </w:r>
      <w:r w:rsidRPr="00EF68B4">
        <w:rPr>
          <w:rFonts w:asciiTheme="minorHAnsi" w:hAnsiTheme="minorHAnsi" w:cstheme="minorHAnsi"/>
          <w:color w:val="auto"/>
        </w:rPr>
        <w:t xml:space="preserve">LOM). A sanção </w:t>
      </w:r>
      <w:r w:rsidRPr="00EF68B4" w:rsidR="00315E38">
        <w:rPr>
          <w:rFonts w:asciiTheme="minorHAnsi" w:hAnsiTheme="minorHAnsi" w:cstheme="minorHAnsi"/>
          <w:color w:val="auto"/>
        </w:rPr>
        <w:t xml:space="preserve">é expressa quando </w:t>
      </w:r>
      <w:r w:rsidRPr="00EF68B4" w:rsidR="00315E38">
        <w:rPr>
          <w:rFonts w:asciiTheme="minorHAnsi" w:hAnsiTheme="minorHAnsi" w:cstheme="minorHAnsi"/>
          <w:color w:val="auto"/>
        </w:rPr>
        <w:t>o Executivo manifesta</w:t>
      </w:r>
      <w:r w:rsidRPr="00EF68B4">
        <w:rPr>
          <w:rFonts w:asciiTheme="minorHAnsi" w:hAnsiTheme="minorHAnsi" w:cstheme="minorHAnsi"/>
          <w:color w:val="auto"/>
        </w:rPr>
        <w:t xml:space="preserve"> sua concordância, de modo formal, no prazo de 15</w:t>
      </w:r>
      <w:r w:rsidRPr="00EF68B4" w:rsidR="00315E38">
        <w:rPr>
          <w:rFonts w:asciiTheme="minorHAnsi" w:hAnsiTheme="minorHAnsi" w:cstheme="minorHAnsi"/>
          <w:color w:val="auto"/>
        </w:rPr>
        <w:t xml:space="preserve"> (quinze)</w:t>
      </w:r>
      <w:r w:rsidRPr="00EF68B4">
        <w:rPr>
          <w:rFonts w:asciiTheme="minorHAnsi" w:hAnsiTheme="minorHAnsi" w:cstheme="minorHAnsi"/>
          <w:color w:val="auto"/>
        </w:rPr>
        <w:t xml:space="preserve"> dias úteis contados do recebimento da proposição </w:t>
      </w:r>
      <w:r w:rsidRPr="00EF68B4" w:rsidR="00315E38">
        <w:rPr>
          <w:rFonts w:asciiTheme="minorHAnsi" w:hAnsiTheme="minorHAnsi" w:cstheme="minorHAnsi"/>
          <w:color w:val="auto"/>
        </w:rPr>
        <w:t>aprovada</w:t>
      </w:r>
      <w:r w:rsidRPr="00EF68B4">
        <w:rPr>
          <w:rFonts w:asciiTheme="minorHAnsi" w:hAnsiTheme="minorHAnsi" w:cstheme="minorHAnsi"/>
          <w:color w:val="auto"/>
        </w:rPr>
        <w:t xml:space="preserve"> pelo Leg</w:t>
      </w:r>
      <w:r w:rsidRPr="00EF68B4" w:rsidR="003238D6">
        <w:rPr>
          <w:rFonts w:asciiTheme="minorHAnsi" w:hAnsiTheme="minorHAnsi" w:cstheme="minorHAnsi"/>
          <w:color w:val="auto"/>
        </w:rPr>
        <w:t xml:space="preserve">islativo (art. 53, I, </w:t>
      </w:r>
      <w:r w:rsidRPr="00EF68B4" w:rsidR="00315E38">
        <w:rPr>
          <w:rFonts w:asciiTheme="minorHAnsi" w:hAnsiTheme="minorHAnsi" w:cstheme="minorHAnsi"/>
          <w:color w:val="auto"/>
        </w:rPr>
        <w:t xml:space="preserve">da </w:t>
      </w:r>
      <w:r w:rsidRPr="00EF68B4" w:rsidR="003238D6">
        <w:rPr>
          <w:rFonts w:asciiTheme="minorHAnsi" w:hAnsiTheme="minorHAnsi" w:cstheme="minorHAnsi"/>
          <w:color w:val="auto"/>
        </w:rPr>
        <w:t>LOM). Por outro lado, na sanção tácita</w:t>
      </w:r>
      <w:r w:rsidRPr="00EF68B4">
        <w:rPr>
          <w:rFonts w:asciiTheme="minorHAnsi" w:hAnsiTheme="minorHAnsi" w:cstheme="minorHAnsi"/>
          <w:color w:val="auto"/>
        </w:rPr>
        <w:t xml:space="preserve"> o</w:t>
      </w:r>
      <w:r w:rsidRPr="00EF68B4" w:rsidR="003238D6">
        <w:rPr>
          <w:rFonts w:asciiTheme="minorHAnsi" w:hAnsiTheme="minorHAnsi" w:cstheme="minorHAnsi"/>
          <w:color w:val="auto"/>
        </w:rPr>
        <w:t xml:space="preserve"> prazo flui </w:t>
      </w:r>
      <w:r w:rsidRPr="00EF68B4" w:rsidR="003238D6">
        <w:rPr>
          <w:rFonts w:asciiTheme="minorHAnsi" w:hAnsiTheme="minorHAnsi" w:cstheme="minorHAnsi"/>
          <w:i/>
          <w:color w:val="auto"/>
        </w:rPr>
        <w:t>in albis</w:t>
      </w:r>
      <w:r w:rsidRPr="00EF68B4" w:rsidR="003238D6">
        <w:rPr>
          <w:rFonts w:asciiTheme="minorHAnsi" w:hAnsiTheme="minorHAnsi" w:cstheme="minorHAnsi"/>
          <w:color w:val="auto"/>
        </w:rPr>
        <w:t xml:space="preserve">, portanto </w:t>
      </w:r>
      <w:r w:rsidRPr="00EF68B4">
        <w:rPr>
          <w:rFonts w:asciiTheme="minorHAnsi" w:hAnsiTheme="minorHAnsi" w:cstheme="minorHAnsi"/>
          <w:color w:val="auto"/>
        </w:rPr>
        <w:t xml:space="preserve">sem manifestação </w:t>
      </w:r>
      <w:r w:rsidRPr="00EF68B4" w:rsidR="003238D6">
        <w:rPr>
          <w:rFonts w:asciiTheme="minorHAnsi" w:hAnsiTheme="minorHAnsi" w:cstheme="minorHAnsi"/>
          <w:color w:val="auto"/>
        </w:rPr>
        <w:t xml:space="preserve">de discordância </w:t>
      </w:r>
      <w:r w:rsidRPr="00EF68B4">
        <w:rPr>
          <w:rFonts w:asciiTheme="minorHAnsi" w:hAnsiTheme="minorHAnsi" w:cstheme="minorHAnsi"/>
          <w:color w:val="auto"/>
        </w:rPr>
        <w:t xml:space="preserve">(art. 53, II, </w:t>
      </w:r>
      <w:r w:rsidRPr="00EF68B4" w:rsidR="00315E38">
        <w:rPr>
          <w:rFonts w:asciiTheme="minorHAnsi" w:hAnsiTheme="minorHAnsi" w:cstheme="minorHAnsi"/>
          <w:color w:val="auto"/>
        </w:rPr>
        <w:t xml:space="preserve">da </w:t>
      </w:r>
      <w:r w:rsidRPr="00EF68B4">
        <w:rPr>
          <w:rFonts w:asciiTheme="minorHAnsi" w:hAnsiTheme="minorHAnsi" w:cstheme="minorHAnsi"/>
          <w:color w:val="auto"/>
        </w:rPr>
        <w:t>LOM).</w:t>
      </w:r>
    </w:p>
    <w:p w:rsidR="00723344" w:rsidRPr="00EF68B4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Art. 53. O projeto aprovado na forma regimental será, no prazo de dez dias úteis, enviado ao Prefeito que adotará uma das decisões seguintes: </w:t>
      </w:r>
    </w:p>
    <w:p w:rsidR="00723344" w:rsidRPr="00EF68B4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I - sancionar e promulgar no prazo de quinze dias úteis; </w:t>
      </w:r>
    </w:p>
    <w:p w:rsidR="00723344" w:rsidRPr="00EF68B4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II - deixar decorrer o prazo, importando o seu silêncio em sanção, sendo obrigatória, dentro de dez dias, a sua promulgação pelo Presidente da Câmara; </w:t>
      </w:r>
    </w:p>
    <w:p w:rsidR="00723344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>III - vetar total ou parcialmente.</w:t>
      </w:r>
    </w:p>
    <w:p w:rsidR="00021981" w:rsidRPr="00A61D6E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12"/>
          <w:szCs w:val="12"/>
        </w:rPr>
      </w:pPr>
    </w:p>
    <w:p w:rsidR="00723344" w:rsidRPr="00EF68B4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EF68B4">
        <w:rPr>
          <w:rFonts w:asciiTheme="minorHAnsi" w:hAnsiTheme="minorHAnsi" w:cstheme="minorHAnsi"/>
          <w:color w:val="auto"/>
        </w:rPr>
        <w:t xml:space="preserve">Como é sabido </w:t>
      </w:r>
      <w:r w:rsidRPr="00EF68B4">
        <w:rPr>
          <w:rFonts w:asciiTheme="minorHAnsi" w:hAnsiTheme="minorHAnsi" w:cstheme="minorHAnsi"/>
          <w:color w:val="auto"/>
        </w:rPr>
        <w:t>o Executivo</w:t>
      </w:r>
      <w:r w:rsidRPr="00EF68B4">
        <w:rPr>
          <w:rFonts w:asciiTheme="minorHAnsi" w:hAnsiTheme="minorHAnsi" w:cstheme="minorHAnsi"/>
          <w:color w:val="auto"/>
        </w:rPr>
        <w:t xml:space="preserve"> pode</w:t>
      </w:r>
      <w:r w:rsidRPr="00EF68B4">
        <w:rPr>
          <w:rFonts w:asciiTheme="minorHAnsi" w:hAnsiTheme="minorHAnsi" w:cstheme="minorHAnsi"/>
          <w:color w:val="auto"/>
        </w:rPr>
        <w:t xml:space="preserve"> </w:t>
      </w:r>
      <w:r w:rsidRPr="00EF68B4" w:rsidR="003238D6">
        <w:rPr>
          <w:rFonts w:asciiTheme="minorHAnsi" w:hAnsiTheme="minorHAnsi" w:cstheme="minorHAnsi"/>
          <w:color w:val="auto"/>
        </w:rPr>
        <w:t xml:space="preserve">manifestar recusa ao autógrafo </w:t>
      </w:r>
      <w:r w:rsidRPr="00EF68B4">
        <w:rPr>
          <w:rFonts w:asciiTheme="minorHAnsi" w:hAnsiTheme="minorHAnsi" w:cstheme="minorHAnsi"/>
          <w:color w:val="auto"/>
        </w:rPr>
        <w:t xml:space="preserve">impedindo, dessa forma, sua transformação em lei, manifestando-se através do veto (art. 53, III, LOM), que pode ser total ou parcial, conforme atinja total ou parcialmente o texto aprovado, nos termos do artigo 54 da Lei Orgânica, </w:t>
      </w:r>
      <w:r w:rsidRPr="00EF68B4">
        <w:rPr>
          <w:rFonts w:asciiTheme="minorHAnsi" w:hAnsiTheme="minorHAnsi" w:cstheme="minorHAnsi"/>
          <w:i/>
          <w:color w:val="auto"/>
        </w:rPr>
        <w:t>in verbis:</w:t>
      </w:r>
    </w:p>
    <w:p w:rsidR="00723344" w:rsidRPr="00EF68B4" w:rsidP="00CC1312">
      <w:pPr>
        <w:pStyle w:val="Default"/>
        <w:spacing w:line="264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>Art. 54. O Prefeito, entendendo ser o projeto, no todo ou em parte</w:t>
      </w:r>
      <w:r w:rsidRPr="00EF68B4">
        <w:rPr>
          <w:rFonts w:asciiTheme="minorHAnsi" w:hAnsiTheme="minorHAnsi" w:cstheme="minorHAnsi"/>
          <w:b/>
          <w:i/>
          <w:color w:val="auto"/>
          <w:sz w:val="22"/>
          <w:szCs w:val="22"/>
        </w:rPr>
        <w:t>, inconstitucional ou contrário ao interesse público</w:t>
      </w: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>, vetá-</w:t>
      </w: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lo-á total ou parcialmente, </w:t>
      </w:r>
      <w:r w:rsidRPr="00EF68B4">
        <w:rPr>
          <w:rFonts w:asciiTheme="minorHAnsi" w:hAnsiTheme="minorHAnsi" w:cstheme="minorHAnsi"/>
          <w:b/>
          <w:i/>
          <w:color w:val="auto"/>
          <w:sz w:val="22"/>
          <w:szCs w:val="22"/>
        </w:rPr>
        <w:t>em quinze dias úteis, contados da data do recebimento,</w:t>
      </w: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comunicando dentro de quarenta e oito horas, ao Presidente da Câmara, o motivo do veto.</w:t>
      </w:r>
    </w:p>
    <w:p w:rsidR="00723344" w:rsidRPr="00EF68B4" w:rsidP="00CC1312">
      <w:pPr>
        <w:pStyle w:val="Default"/>
        <w:spacing w:line="264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§ 1º. O veto deverá ser justificado e, quando parcial, abrangerá o texto integral de artigo, parágrafo, inciso, alínea ou item. </w:t>
      </w:r>
    </w:p>
    <w:p w:rsidR="00723344" w:rsidRPr="00EF68B4" w:rsidP="00CC1312">
      <w:pPr>
        <w:pStyle w:val="Default"/>
        <w:spacing w:line="264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2º. O Prefeito, sancionando e promulgando a matéria não vetada, deverá encaminhá-la para publicação. </w:t>
      </w:r>
    </w:p>
    <w:p w:rsidR="00723344" w:rsidRPr="00EF68B4" w:rsidP="00CC1312">
      <w:pPr>
        <w:pStyle w:val="Default"/>
        <w:spacing w:line="264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3º. A Câmara deliberará sobre a matéria vetada, em um </w:t>
      </w:r>
      <w:r w:rsidRPr="00EF68B4">
        <w:rPr>
          <w:rFonts w:asciiTheme="minorHAnsi" w:hAnsiTheme="minorHAnsi" w:cstheme="minorHAnsi"/>
          <w:b/>
          <w:i/>
          <w:color w:val="auto"/>
          <w:sz w:val="22"/>
          <w:szCs w:val="22"/>
        </w:rPr>
        <w:t>único turno de discussão e votação</w:t>
      </w: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no </w:t>
      </w:r>
      <w:r w:rsidRPr="00EF68B4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prazo de trinta dias de seu recebimento</w:t>
      </w:r>
      <w:r w:rsidRPr="00EF68B4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,</w:t>
      </w: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considerando-se aprovada quando obtiver o voto favorável da </w:t>
      </w:r>
      <w:r w:rsidRPr="00EF68B4">
        <w:rPr>
          <w:rFonts w:asciiTheme="minorHAnsi" w:hAnsiTheme="minorHAnsi" w:cstheme="minorHAnsi"/>
          <w:b/>
          <w:i/>
          <w:color w:val="auto"/>
          <w:sz w:val="22"/>
          <w:szCs w:val="22"/>
        </w:rPr>
        <w:t>maioria absoluta</w:t>
      </w: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 seus membros. (Em. 05/01) </w:t>
      </w:r>
    </w:p>
    <w:p w:rsidR="00723344" w:rsidRPr="00EF68B4" w:rsidP="00CC1312">
      <w:pPr>
        <w:pStyle w:val="Default"/>
        <w:spacing w:line="264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4º. Esgotado, sem deliberação, o prazo estabelecido no parágrafo anterior, o veto será incluído na Ordem do Dia da sessão imediata, sobrestadas as demais proposições, até sua votação final. </w:t>
      </w:r>
    </w:p>
    <w:p w:rsidR="00723344" w:rsidRPr="00EF68B4" w:rsidP="00CC1312">
      <w:pPr>
        <w:pStyle w:val="Default"/>
        <w:spacing w:line="264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5º. Se o veto for rejeitado, o projeto será enviado ao Prefeito, para que promulgue a lei em quarenta e oito horas, caso contrário, deverá fazê-lo o Presidente da Câmara em igual prazo. </w:t>
      </w:r>
    </w:p>
    <w:p w:rsidR="00723344" w:rsidRPr="00EF68B4" w:rsidP="00CC1312">
      <w:pPr>
        <w:pStyle w:val="Default"/>
        <w:spacing w:line="264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68B4">
        <w:rPr>
          <w:rFonts w:asciiTheme="minorHAnsi" w:hAnsiTheme="minorHAnsi" w:cstheme="minorHAnsi"/>
          <w:i/>
          <w:color w:val="auto"/>
          <w:sz w:val="22"/>
          <w:szCs w:val="22"/>
        </w:rPr>
        <w:t>§ 6º. A manutenção do veto não restaura matéria suprimida ou modificada pela Câmara.</w:t>
      </w:r>
    </w:p>
    <w:p w:rsidR="00723344" w:rsidRPr="00CC1312" w:rsidP="000C36F7">
      <w:pPr>
        <w:pStyle w:val="Default"/>
        <w:spacing w:after="120"/>
        <w:jc w:val="both"/>
        <w:rPr>
          <w:rFonts w:asciiTheme="minorHAnsi" w:hAnsiTheme="minorHAnsi" w:cstheme="minorHAnsi"/>
          <w:i/>
          <w:color w:val="auto"/>
          <w:sz w:val="12"/>
          <w:szCs w:val="12"/>
        </w:rPr>
      </w:pPr>
    </w:p>
    <w:p w:rsidR="00723344" w:rsidRPr="00B267D6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B267D6">
        <w:rPr>
          <w:rFonts w:asciiTheme="minorHAnsi" w:hAnsiTheme="minorHAnsi" w:cstheme="minorHAnsi"/>
          <w:color w:val="auto"/>
        </w:rPr>
        <w:t>Na hipótese em apreço,</w:t>
      </w:r>
      <w:r w:rsidRPr="00B267D6" w:rsidR="009A35CB">
        <w:rPr>
          <w:rFonts w:asciiTheme="minorHAnsi" w:hAnsiTheme="minorHAnsi" w:cstheme="minorHAnsi"/>
          <w:color w:val="auto"/>
        </w:rPr>
        <w:t xml:space="preserve"> o veto se afigura tempestivo eis que </w:t>
      </w:r>
      <w:r w:rsidRPr="00B267D6">
        <w:rPr>
          <w:rFonts w:asciiTheme="minorHAnsi" w:hAnsiTheme="minorHAnsi" w:cstheme="minorHAnsi"/>
          <w:color w:val="auto"/>
        </w:rPr>
        <w:t xml:space="preserve">o autógrafo foi </w:t>
      </w:r>
      <w:r w:rsidRPr="00B267D6" w:rsidR="007B2A09">
        <w:rPr>
          <w:rFonts w:asciiTheme="minorHAnsi" w:hAnsiTheme="minorHAnsi" w:cstheme="minorHAnsi"/>
          <w:color w:val="auto"/>
        </w:rPr>
        <w:t>enviado em</w:t>
      </w:r>
      <w:r w:rsidRPr="00B267D6" w:rsidR="00CA326C">
        <w:rPr>
          <w:rFonts w:asciiTheme="minorHAnsi" w:hAnsiTheme="minorHAnsi" w:cstheme="minorHAnsi"/>
          <w:color w:val="auto"/>
        </w:rPr>
        <w:t xml:space="preserve"> </w:t>
      </w:r>
      <w:r w:rsidRPr="00D957AB" w:rsidR="00B267D6">
        <w:rPr>
          <w:rFonts w:asciiTheme="minorHAnsi" w:hAnsiTheme="minorHAnsi" w:cstheme="minorHAnsi"/>
          <w:color w:val="auto"/>
          <w:u w:val="single"/>
        </w:rPr>
        <w:t>2</w:t>
      </w:r>
      <w:r w:rsidRPr="00D957AB" w:rsidR="00057F68">
        <w:rPr>
          <w:rFonts w:asciiTheme="minorHAnsi" w:hAnsiTheme="minorHAnsi" w:cstheme="minorHAnsi"/>
          <w:color w:val="auto"/>
          <w:u w:val="single"/>
        </w:rPr>
        <w:t>8/06</w:t>
      </w:r>
      <w:r w:rsidRPr="00D957AB">
        <w:rPr>
          <w:rFonts w:asciiTheme="minorHAnsi" w:hAnsiTheme="minorHAnsi" w:cstheme="minorHAnsi"/>
          <w:color w:val="auto"/>
          <w:u w:val="single"/>
        </w:rPr>
        <w:t>/202</w:t>
      </w:r>
      <w:r w:rsidRPr="00D957AB" w:rsidR="00057F68">
        <w:rPr>
          <w:rFonts w:asciiTheme="minorHAnsi" w:hAnsiTheme="minorHAnsi" w:cstheme="minorHAnsi"/>
          <w:color w:val="auto"/>
          <w:u w:val="single"/>
        </w:rPr>
        <w:t>4</w:t>
      </w:r>
      <w:r w:rsidRPr="00B267D6">
        <w:rPr>
          <w:rFonts w:asciiTheme="minorHAnsi" w:hAnsiTheme="minorHAnsi" w:cstheme="minorHAnsi"/>
          <w:color w:val="auto"/>
        </w:rPr>
        <w:t xml:space="preserve"> e o veto </w:t>
      </w:r>
      <w:r w:rsidRPr="00B267D6" w:rsidR="00EF2C75">
        <w:rPr>
          <w:rFonts w:asciiTheme="minorHAnsi" w:hAnsiTheme="minorHAnsi" w:cstheme="minorHAnsi"/>
          <w:color w:val="auto"/>
        </w:rPr>
        <w:t xml:space="preserve">ocorreu </w:t>
      </w:r>
      <w:r w:rsidRPr="00B267D6" w:rsidR="00CA326C">
        <w:rPr>
          <w:rFonts w:asciiTheme="minorHAnsi" w:hAnsiTheme="minorHAnsi" w:cstheme="minorHAnsi"/>
          <w:color w:val="auto"/>
        </w:rPr>
        <w:t xml:space="preserve">em </w:t>
      </w:r>
      <w:r w:rsidRPr="00D957AB" w:rsidR="00057F68">
        <w:rPr>
          <w:rFonts w:asciiTheme="minorHAnsi" w:hAnsiTheme="minorHAnsi" w:cstheme="minorHAnsi"/>
          <w:color w:val="auto"/>
          <w:u w:val="single"/>
        </w:rPr>
        <w:t>18</w:t>
      </w:r>
      <w:r w:rsidRPr="00D957AB" w:rsidR="00A61D6E">
        <w:rPr>
          <w:rFonts w:asciiTheme="minorHAnsi" w:hAnsiTheme="minorHAnsi" w:cstheme="minorHAnsi"/>
          <w:color w:val="auto"/>
          <w:u w:val="single"/>
        </w:rPr>
        <w:t>/</w:t>
      </w:r>
      <w:r w:rsidRPr="00D957AB" w:rsidR="00057F68">
        <w:rPr>
          <w:rFonts w:asciiTheme="minorHAnsi" w:hAnsiTheme="minorHAnsi" w:cstheme="minorHAnsi"/>
          <w:color w:val="auto"/>
          <w:u w:val="single"/>
        </w:rPr>
        <w:t>07</w:t>
      </w:r>
      <w:r w:rsidRPr="00D957AB">
        <w:rPr>
          <w:rFonts w:asciiTheme="minorHAnsi" w:hAnsiTheme="minorHAnsi" w:cstheme="minorHAnsi"/>
          <w:color w:val="auto"/>
          <w:u w:val="single"/>
        </w:rPr>
        <w:t>/202</w:t>
      </w:r>
      <w:r w:rsidRPr="00D957AB" w:rsidR="00A61D6E">
        <w:rPr>
          <w:rFonts w:asciiTheme="minorHAnsi" w:hAnsiTheme="minorHAnsi" w:cstheme="minorHAnsi"/>
          <w:color w:val="auto"/>
          <w:u w:val="single"/>
        </w:rPr>
        <w:t>4</w:t>
      </w:r>
      <w:r w:rsidRPr="00D957AB" w:rsidR="00EF2C75">
        <w:rPr>
          <w:rFonts w:asciiTheme="minorHAnsi" w:hAnsiTheme="minorHAnsi" w:cstheme="minorHAnsi"/>
          <w:color w:val="auto"/>
          <w:u w:val="single"/>
        </w:rPr>
        <w:t>.</w:t>
      </w:r>
      <w:r w:rsidRPr="00B267D6" w:rsidR="00EF2C75">
        <w:rPr>
          <w:rFonts w:asciiTheme="minorHAnsi" w:hAnsiTheme="minorHAnsi" w:cstheme="minorHAnsi"/>
          <w:color w:val="auto"/>
        </w:rPr>
        <w:t xml:space="preserve"> </w:t>
      </w:r>
    </w:p>
    <w:p w:rsidR="00723344" w:rsidRPr="005E1C42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5E1C42">
        <w:rPr>
          <w:rFonts w:asciiTheme="minorHAnsi" w:hAnsiTheme="minorHAnsi" w:cstheme="minorHAnsi"/>
          <w:color w:val="auto"/>
        </w:rPr>
        <w:t>Ainda, o veto pode ter por fundamento a inconstitucionalidade da pr</w:t>
      </w:r>
      <w:r w:rsidRPr="005E1C42" w:rsidR="005D5BA6">
        <w:rPr>
          <w:rFonts w:asciiTheme="minorHAnsi" w:hAnsiTheme="minorHAnsi" w:cstheme="minorHAnsi"/>
          <w:color w:val="auto"/>
        </w:rPr>
        <w:t>oposição (veto jurídico) ou sua contrariedade ao interesse público (veto político).</w:t>
      </w:r>
    </w:p>
    <w:p w:rsidR="0033090B" w:rsidRPr="00D957AB" w:rsidP="00A61D6E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8A0B89">
        <w:rPr>
          <w:rFonts w:asciiTheme="minorHAnsi" w:hAnsiTheme="minorHAnsi" w:cstheme="minorHAnsi"/>
          <w:i/>
          <w:color w:val="auto"/>
        </w:rPr>
        <w:t>In casu</w:t>
      </w:r>
      <w:r w:rsidRPr="00E6754B" w:rsidR="005D5BA6">
        <w:rPr>
          <w:rFonts w:asciiTheme="minorHAnsi" w:hAnsiTheme="minorHAnsi" w:cstheme="minorHAnsi"/>
          <w:color w:val="auto"/>
        </w:rPr>
        <w:t>,</w:t>
      </w:r>
      <w:r w:rsidRPr="00E6754B" w:rsidR="0073661A">
        <w:rPr>
          <w:rFonts w:asciiTheme="minorHAnsi" w:hAnsiTheme="minorHAnsi" w:cstheme="minorHAnsi"/>
          <w:color w:val="auto"/>
        </w:rPr>
        <w:t xml:space="preserve"> trata-se de </w:t>
      </w:r>
      <w:r w:rsidRPr="009F2FB6" w:rsidR="0073661A">
        <w:rPr>
          <w:rFonts w:asciiTheme="minorHAnsi" w:hAnsiTheme="minorHAnsi" w:cstheme="minorHAnsi"/>
          <w:color w:val="auto"/>
        </w:rPr>
        <w:t>v</w:t>
      </w:r>
      <w:r w:rsidRPr="009F2FB6" w:rsidR="00723344">
        <w:rPr>
          <w:rFonts w:asciiTheme="minorHAnsi" w:hAnsiTheme="minorHAnsi" w:cstheme="minorHAnsi"/>
          <w:color w:val="auto"/>
        </w:rPr>
        <w:t xml:space="preserve">eto </w:t>
      </w:r>
      <w:r w:rsidRPr="009F2FB6" w:rsidR="0073661A">
        <w:rPr>
          <w:rFonts w:asciiTheme="minorHAnsi" w:hAnsiTheme="minorHAnsi" w:cstheme="minorHAnsi"/>
          <w:color w:val="auto"/>
        </w:rPr>
        <w:t xml:space="preserve">parcial </w:t>
      </w:r>
      <w:r w:rsidR="008A0B89">
        <w:rPr>
          <w:rFonts w:asciiTheme="minorHAnsi" w:hAnsiTheme="minorHAnsi" w:cstheme="minorHAnsi"/>
          <w:color w:val="auto"/>
        </w:rPr>
        <w:t>da Emenda</w:t>
      </w:r>
      <w:r w:rsidRPr="009F2FB6" w:rsidR="009D70E6">
        <w:rPr>
          <w:rFonts w:asciiTheme="minorHAnsi" w:hAnsiTheme="minorHAnsi" w:cstheme="minorHAnsi"/>
          <w:color w:val="auto"/>
        </w:rPr>
        <w:t xml:space="preserve"> 01</w:t>
      </w:r>
      <w:r w:rsidRPr="009F2FB6" w:rsidR="00A61D6E">
        <w:rPr>
          <w:rFonts w:asciiTheme="minorHAnsi" w:hAnsiTheme="minorHAnsi" w:cstheme="minorHAnsi"/>
          <w:color w:val="auto"/>
        </w:rPr>
        <w:t xml:space="preserve"> </w:t>
      </w:r>
      <w:r w:rsidRPr="00E6754B" w:rsidR="009D70E6">
        <w:rPr>
          <w:rFonts w:asciiTheme="minorHAnsi" w:hAnsiTheme="minorHAnsi" w:cstheme="minorHAnsi"/>
          <w:color w:val="auto"/>
        </w:rPr>
        <w:t xml:space="preserve">por suposta </w:t>
      </w:r>
      <w:r w:rsidRPr="00D03ED4" w:rsidR="00A61D6E">
        <w:rPr>
          <w:rFonts w:asciiTheme="minorHAnsi" w:hAnsiTheme="minorHAnsi" w:cstheme="minorHAnsi"/>
        </w:rPr>
        <w:t xml:space="preserve">inconstitucionalidade e ilegalidade, </w:t>
      </w:r>
      <w:r w:rsidR="004E1F69">
        <w:rPr>
          <w:rFonts w:asciiTheme="minorHAnsi" w:hAnsiTheme="minorHAnsi" w:cstheme="minorHAnsi"/>
        </w:rPr>
        <w:t>eis</w:t>
      </w:r>
      <w:r w:rsidRPr="00D03ED4" w:rsidR="00A61D6E">
        <w:rPr>
          <w:rFonts w:asciiTheme="minorHAnsi" w:hAnsiTheme="minorHAnsi" w:cstheme="minorHAnsi"/>
        </w:rPr>
        <w:t xml:space="preserve"> </w:t>
      </w:r>
      <w:r w:rsidR="00D957AB">
        <w:rPr>
          <w:rFonts w:asciiTheme="minorHAnsi" w:hAnsiTheme="minorHAnsi" w:cstheme="minorHAnsi"/>
        </w:rPr>
        <w:t>a referida emenda estaria</w:t>
      </w:r>
      <w:r w:rsidR="00A61D6E">
        <w:rPr>
          <w:rFonts w:asciiTheme="minorHAnsi" w:hAnsiTheme="minorHAnsi" w:cstheme="minorHAnsi"/>
        </w:rPr>
        <w:t xml:space="preserve"> propondo</w:t>
      </w:r>
      <w:r w:rsidRPr="00D03ED4" w:rsidR="00A61D6E">
        <w:rPr>
          <w:rFonts w:asciiTheme="minorHAnsi" w:hAnsiTheme="minorHAnsi" w:cstheme="minorHAnsi"/>
        </w:rPr>
        <w:t xml:space="preserve"> a anulação de despesas correntes (custeio), o que é proibido pelo art. 33, “a” da Lei </w:t>
      </w:r>
      <w:r w:rsidRPr="00D957AB" w:rsidR="00A61D6E">
        <w:rPr>
          <w:rFonts w:asciiTheme="minorHAnsi" w:hAnsiTheme="minorHAnsi" w:cstheme="minorHAnsi"/>
          <w:color w:val="auto"/>
        </w:rPr>
        <w:t xml:space="preserve">Federal nº 4.320/1964, </w:t>
      </w:r>
      <w:r w:rsidRPr="00D957AB">
        <w:rPr>
          <w:rFonts w:asciiTheme="minorHAnsi" w:hAnsiTheme="minorHAnsi" w:cstheme="minorHAnsi"/>
          <w:color w:val="auto"/>
        </w:rPr>
        <w:t xml:space="preserve">consoante se extrai </w:t>
      </w:r>
      <w:r w:rsidRPr="00D957AB" w:rsidR="009D70E6">
        <w:rPr>
          <w:rFonts w:asciiTheme="minorHAnsi" w:hAnsiTheme="minorHAnsi" w:cstheme="minorHAnsi"/>
          <w:color w:val="auto"/>
        </w:rPr>
        <w:t>das razões do veto.</w:t>
      </w:r>
      <w:r w:rsidRPr="00D957AB" w:rsidR="00286092">
        <w:rPr>
          <w:rFonts w:asciiTheme="minorHAnsi" w:hAnsiTheme="minorHAnsi" w:cstheme="minorHAnsi"/>
          <w:color w:val="auto"/>
        </w:rPr>
        <w:t xml:space="preserve"> </w:t>
      </w:r>
    </w:p>
    <w:p w:rsidR="00681CB0" w:rsidRPr="00D957AB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D957AB">
        <w:rPr>
          <w:rFonts w:asciiTheme="minorHAnsi" w:hAnsiTheme="minorHAnsi" w:cstheme="minorHAnsi"/>
          <w:color w:val="auto"/>
        </w:rPr>
        <w:t xml:space="preserve">Ao analisarmos </w:t>
      </w:r>
      <w:r w:rsidRPr="00D957AB" w:rsidR="00910946">
        <w:rPr>
          <w:rFonts w:asciiTheme="minorHAnsi" w:hAnsiTheme="minorHAnsi" w:cstheme="minorHAnsi"/>
          <w:color w:val="auto"/>
        </w:rPr>
        <w:t>a</w:t>
      </w:r>
      <w:r w:rsidRPr="00D957AB" w:rsidR="00840F4F">
        <w:rPr>
          <w:rFonts w:asciiTheme="minorHAnsi" w:hAnsiTheme="minorHAnsi" w:cstheme="minorHAnsi"/>
          <w:color w:val="auto"/>
        </w:rPr>
        <w:t>s razões apresentadas</w:t>
      </w:r>
      <w:r w:rsidRPr="00D957AB" w:rsidR="00910946">
        <w:rPr>
          <w:rFonts w:asciiTheme="minorHAnsi" w:hAnsiTheme="minorHAnsi" w:cstheme="minorHAnsi"/>
          <w:color w:val="auto"/>
        </w:rPr>
        <w:t xml:space="preserve">, com todo respeito à </w:t>
      </w:r>
      <w:r w:rsidRPr="00D957AB" w:rsidR="009D70E6">
        <w:rPr>
          <w:rFonts w:asciiTheme="minorHAnsi" w:hAnsiTheme="minorHAnsi" w:cstheme="minorHAnsi"/>
          <w:color w:val="auto"/>
        </w:rPr>
        <w:t xml:space="preserve">Exma. </w:t>
      </w:r>
      <w:r w:rsidRPr="00D957AB" w:rsidR="009D70E6">
        <w:rPr>
          <w:rFonts w:asciiTheme="minorHAnsi" w:hAnsiTheme="minorHAnsi" w:cstheme="minorHAnsi"/>
          <w:color w:val="auto"/>
        </w:rPr>
        <w:t>Sra.</w:t>
      </w:r>
      <w:r w:rsidRPr="00D957AB" w:rsidR="009D70E6">
        <w:rPr>
          <w:rFonts w:asciiTheme="minorHAnsi" w:hAnsiTheme="minorHAnsi" w:cstheme="minorHAnsi"/>
          <w:color w:val="auto"/>
        </w:rPr>
        <w:t xml:space="preserve"> </w:t>
      </w:r>
      <w:r w:rsidRPr="00D957AB">
        <w:rPr>
          <w:rFonts w:asciiTheme="minorHAnsi" w:hAnsiTheme="minorHAnsi" w:cstheme="minorHAnsi"/>
          <w:color w:val="auto"/>
        </w:rPr>
        <w:t xml:space="preserve">Prefeita, </w:t>
      </w:r>
      <w:r w:rsidRPr="00D957AB" w:rsidR="009D70E6">
        <w:rPr>
          <w:rFonts w:asciiTheme="minorHAnsi" w:hAnsiTheme="minorHAnsi" w:cstheme="minorHAnsi"/>
          <w:color w:val="auto"/>
        </w:rPr>
        <w:t xml:space="preserve">ousamos divergir </w:t>
      </w:r>
      <w:r w:rsidRPr="00D957AB" w:rsidR="006B4704">
        <w:rPr>
          <w:rFonts w:asciiTheme="minorHAnsi" w:hAnsiTheme="minorHAnsi" w:cstheme="minorHAnsi"/>
          <w:color w:val="auto"/>
        </w:rPr>
        <w:t>da</w:t>
      </w:r>
      <w:r w:rsidRPr="00D957AB">
        <w:rPr>
          <w:rFonts w:asciiTheme="minorHAnsi" w:hAnsiTheme="minorHAnsi" w:cstheme="minorHAnsi"/>
          <w:color w:val="auto"/>
        </w:rPr>
        <w:t xml:space="preserve"> alegada inconstitucionalidade</w:t>
      </w:r>
      <w:r w:rsidRPr="00D957AB" w:rsidR="009D70E6">
        <w:rPr>
          <w:rFonts w:asciiTheme="minorHAnsi" w:hAnsiTheme="minorHAnsi" w:cstheme="minorHAnsi"/>
          <w:color w:val="auto"/>
        </w:rPr>
        <w:t xml:space="preserve">, </w:t>
      </w:r>
      <w:r w:rsidRPr="00D957AB" w:rsidR="005D29D6">
        <w:rPr>
          <w:rFonts w:asciiTheme="minorHAnsi" w:hAnsiTheme="minorHAnsi" w:cstheme="minorHAnsi"/>
          <w:color w:val="auto"/>
        </w:rPr>
        <w:t xml:space="preserve">eis que </w:t>
      </w:r>
      <w:r w:rsidRPr="00D957AB">
        <w:rPr>
          <w:rFonts w:asciiTheme="minorHAnsi" w:hAnsiTheme="minorHAnsi" w:cstheme="minorHAnsi"/>
          <w:color w:val="auto"/>
        </w:rPr>
        <w:t xml:space="preserve">não restou </w:t>
      </w:r>
      <w:r w:rsidRPr="00D957AB" w:rsidR="00D957AB">
        <w:rPr>
          <w:rFonts w:asciiTheme="minorHAnsi" w:hAnsiTheme="minorHAnsi" w:cstheme="minorHAnsi"/>
          <w:color w:val="auto"/>
        </w:rPr>
        <w:t>demonstrada qualquer</w:t>
      </w:r>
      <w:r w:rsidRPr="00D957AB">
        <w:rPr>
          <w:rFonts w:asciiTheme="minorHAnsi" w:hAnsiTheme="minorHAnsi" w:cstheme="minorHAnsi"/>
          <w:color w:val="auto"/>
        </w:rPr>
        <w:t xml:space="preserve"> </w:t>
      </w:r>
      <w:r w:rsidRPr="00D957AB" w:rsidR="003306D1">
        <w:rPr>
          <w:rFonts w:asciiTheme="minorHAnsi" w:hAnsiTheme="minorHAnsi" w:cstheme="minorHAnsi"/>
          <w:color w:val="auto"/>
        </w:rPr>
        <w:t>violação ao disposto no</w:t>
      </w:r>
      <w:r w:rsidRPr="00D957AB" w:rsidR="006B4704">
        <w:rPr>
          <w:rFonts w:asciiTheme="minorHAnsi" w:hAnsiTheme="minorHAnsi" w:cstheme="minorHAnsi"/>
          <w:color w:val="auto"/>
        </w:rPr>
        <w:t xml:space="preserve"> </w:t>
      </w:r>
      <w:r w:rsidRPr="00D957AB">
        <w:rPr>
          <w:rFonts w:asciiTheme="minorHAnsi" w:hAnsiTheme="minorHAnsi" w:cstheme="minorHAnsi"/>
          <w:color w:val="auto"/>
        </w:rPr>
        <w:t>art. 166, § 3º da Constituição Federal</w:t>
      </w:r>
      <w:r w:rsidRPr="00D957AB" w:rsidR="00D957AB">
        <w:rPr>
          <w:rFonts w:asciiTheme="minorHAnsi" w:hAnsiTheme="minorHAnsi" w:cstheme="minorHAnsi"/>
          <w:color w:val="auto"/>
        </w:rPr>
        <w:t xml:space="preserve"> </w:t>
      </w:r>
      <w:r w:rsidRPr="00D957AB" w:rsidR="001B598E">
        <w:rPr>
          <w:rFonts w:asciiTheme="minorHAnsi" w:hAnsiTheme="minorHAnsi" w:cstheme="minorHAnsi"/>
          <w:color w:val="auto"/>
        </w:rPr>
        <w:t>ou mesmo ao art. 153</w:t>
      </w:r>
      <w:r w:rsidRPr="00D957AB" w:rsidR="00D957AB">
        <w:rPr>
          <w:rFonts w:asciiTheme="minorHAnsi" w:hAnsiTheme="minorHAnsi" w:cstheme="minorHAnsi"/>
          <w:color w:val="auto"/>
        </w:rPr>
        <w:t>, § 1º</w:t>
      </w:r>
      <w:r w:rsidRPr="00D957AB" w:rsidR="001B598E">
        <w:rPr>
          <w:rFonts w:asciiTheme="minorHAnsi" w:hAnsiTheme="minorHAnsi" w:cstheme="minorHAnsi"/>
          <w:color w:val="auto"/>
        </w:rPr>
        <w:t xml:space="preserve"> da Lei Orgânica Municipal de Valinhos</w:t>
      </w:r>
      <w:r w:rsidRPr="00D957AB" w:rsidR="00D957AB">
        <w:rPr>
          <w:rFonts w:asciiTheme="minorHAnsi" w:hAnsiTheme="minorHAnsi" w:cstheme="minorHAnsi"/>
          <w:color w:val="auto"/>
        </w:rPr>
        <w:t xml:space="preserve"> citados, </w:t>
      </w:r>
      <w:r w:rsidRPr="00D957AB" w:rsidR="00D957AB">
        <w:rPr>
          <w:rFonts w:asciiTheme="minorHAnsi" w:hAnsiTheme="minorHAnsi" w:cstheme="minorHAnsi"/>
          <w:color w:val="auto"/>
          <w:u w:val="single"/>
        </w:rPr>
        <w:t xml:space="preserve">porquanto </w:t>
      </w:r>
      <w:r w:rsidR="004E1F69">
        <w:rPr>
          <w:rFonts w:asciiTheme="minorHAnsi" w:hAnsiTheme="minorHAnsi" w:cstheme="minorHAnsi"/>
          <w:color w:val="auto"/>
          <w:u w:val="single"/>
        </w:rPr>
        <w:t xml:space="preserve">tais dispositivos </w:t>
      </w:r>
      <w:r w:rsidRPr="00D957AB" w:rsidR="00D957AB">
        <w:rPr>
          <w:rFonts w:asciiTheme="minorHAnsi" w:hAnsiTheme="minorHAnsi" w:cstheme="minorHAnsi"/>
          <w:color w:val="auto"/>
          <w:u w:val="single"/>
        </w:rPr>
        <w:t xml:space="preserve">se referem à emenda em projeto </w:t>
      </w:r>
      <w:r w:rsidR="004E1F69">
        <w:rPr>
          <w:rFonts w:asciiTheme="minorHAnsi" w:hAnsiTheme="minorHAnsi" w:cstheme="minorHAnsi"/>
          <w:color w:val="auto"/>
          <w:u w:val="single"/>
        </w:rPr>
        <w:t xml:space="preserve">de lei do orçamento anual e não a projeto </w:t>
      </w:r>
      <w:r w:rsidRPr="00D957AB" w:rsidR="00D957AB">
        <w:rPr>
          <w:rFonts w:asciiTheme="minorHAnsi" w:hAnsiTheme="minorHAnsi" w:cstheme="minorHAnsi"/>
          <w:color w:val="auto"/>
          <w:u w:val="single"/>
        </w:rPr>
        <w:t>de lei de diretrizes</w:t>
      </w:r>
      <w:r w:rsidR="004E1F69">
        <w:rPr>
          <w:rFonts w:asciiTheme="minorHAnsi" w:hAnsiTheme="minorHAnsi" w:cstheme="minorHAnsi"/>
          <w:color w:val="auto"/>
          <w:u w:val="single"/>
        </w:rPr>
        <w:t xml:space="preserve"> orçamentárias, como no caso em questão,</w:t>
      </w:r>
      <w:r w:rsidRPr="00D957AB" w:rsidR="00286092">
        <w:rPr>
          <w:rFonts w:asciiTheme="minorHAnsi" w:hAnsiTheme="minorHAnsi" w:cstheme="minorHAnsi"/>
          <w:color w:val="auto"/>
        </w:rPr>
        <w:t xml:space="preserve"> </w:t>
      </w:r>
      <w:r w:rsidRPr="00D957AB" w:rsidR="00286092">
        <w:rPr>
          <w:rFonts w:asciiTheme="minorHAnsi" w:hAnsiTheme="minorHAnsi" w:cstheme="minorHAnsi"/>
          <w:i/>
          <w:color w:val="auto"/>
        </w:rPr>
        <w:t>in verbis:</w:t>
      </w:r>
    </w:p>
    <w:p w:rsidR="001B598E" w:rsidRPr="00D957AB" w:rsidP="001B598E">
      <w:pPr>
        <w:pStyle w:val="Default"/>
        <w:numPr>
          <w:ilvl w:val="0"/>
          <w:numId w:val="4"/>
        </w:numPr>
        <w:spacing w:line="276" w:lineRule="auto"/>
        <w:ind w:left="2552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  <w:r w:rsidRPr="00D957AB">
        <w:rPr>
          <w:rFonts w:asciiTheme="minorHAnsi" w:hAnsiTheme="minorHAnsi" w:cstheme="minorHAnsi"/>
          <w:b/>
          <w:color w:val="auto"/>
        </w:rPr>
        <w:t>Constituição Federal</w:t>
      </w:r>
    </w:p>
    <w:p w:rsidR="001B598E" w:rsidRPr="00D957AB" w:rsidP="001B598E">
      <w:pPr>
        <w:pStyle w:val="Default"/>
        <w:spacing w:line="276" w:lineRule="auto"/>
        <w:ind w:left="2988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b/>
          <w:i/>
          <w:color w:val="auto"/>
          <w:sz w:val="22"/>
          <w:szCs w:val="22"/>
        </w:rPr>
        <w:t>Art. 166</w:t>
      </w:r>
      <w:r w:rsidRPr="00D957AB">
        <w:rPr>
          <w:rFonts w:ascii="Calibri" w:hAnsi="Calibri" w:cs="Calibri"/>
          <w:i/>
          <w:color w:val="auto"/>
          <w:sz w:val="22"/>
          <w:szCs w:val="22"/>
        </w:rPr>
        <w:t>. Os projetos de lei relativos ao plano plurianual, às diretrizes orçamentárias, ao orçamento anual e aos créditos adicionais serão apreciados pelas duas Casas do Congresso Nacional, na forma do regimento comum.</w:t>
      </w:r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>(...)</w:t>
      </w:r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 xml:space="preserve">§ 3º </w:t>
      </w:r>
      <w:r w:rsidRPr="00D957AB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>As emendas ao projeto de lei do orçamento anual</w:t>
      </w:r>
      <w:r w:rsidRPr="00D957AB">
        <w:rPr>
          <w:rFonts w:ascii="Calibri" w:hAnsi="Calibri" w:cs="Calibri"/>
          <w:i/>
          <w:color w:val="auto"/>
          <w:sz w:val="22"/>
          <w:szCs w:val="22"/>
        </w:rPr>
        <w:t xml:space="preserve"> ou aos projetos que o modifiquem somente podem ser aprovadas caso:</w:t>
      </w:r>
      <w:bookmarkStart w:id="0" w:name="art166§3i"/>
      <w:bookmarkEnd w:id="0"/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>I - sejam compatíveis com o plano plurianual e com a lei de diretrizes orçamentárias;</w:t>
      </w:r>
      <w:bookmarkStart w:id="1" w:name="art166§3ii"/>
      <w:bookmarkEnd w:id="1"/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>II - indiquem os recursos necessários, admitidos apenas os provenientes de anulação de despesa, excluídas as que incidam sobre:</w:t>
      </w:r>
      <w:bookmarkStart w:id="2" w:name="art166§3iia"/>
      <w:bookmarkEnd w:id="2"/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>a) dotações para pessoal e seus encargos;</w:t>
      </w:r>
      <w:bookmarkStart w:id="3" w:name="art166§3iib"/>
      <w:bookmarkEnd w:id="3"/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>b) serviço da dívida;</w:t>
      </w:r>
      <w:bookmarkStart w:id="4" w:name="art166§3iic"/>
      <w:bookmarkEnd w:id="4"/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 xml:space="preserve">c) transferências tributárias constitucionais para Estados, Municípios e Distrito Federal; </w:t>
      </w:r>
      <w:r w:rsidRPr="00D957AB">
        <w:rPr>
          <w:rFonts w:ascii="Calibri" w:hAnsi="Calibri" w:cs="Calibri"/>
          <w:i/>
          <w:color w:val="auto"/>
          <w:sz w:val="22"/>
          <w:szCs w:val="22"/>
        </w:rPr>
        <w:t>ou</w:t>
      </w:r>
      <w:bookmarkStart w:id="5" w:name="art166§3iii"/>
      <w:bookmarkEnd w:id="5"/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>III - sejam relacionadas:</w:t>
      </w:r>
      <w:bookmarkStart w:id="6" w:name="art166§3iiia"/>
      <w:bookmarkEnd w:id="6"/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 xml:space="preserve">a) com a correção de erros ou omissões; </w:t>
      </w:r>
      <w:r w:rsidRPr="00D957AB">
        <w:rPr>
          <w:rFonts w:ascii="Calibri" w:hAnsi="Calibri" w:cs="Calibri"/>
          <w:i/>
          <w:color w:val="auto"/>
          <w:sz w:val="22"/>
          <w:szCs w:val="22"/>
        </w:rPr>
        <w:t>ou</w:t>
      </w:r>
      <w:bookmarkStart w:id="7" w:name="art166§3iiib"/>
      <w:bookmarkEnd w:id="7"/>
    </w:p>
    <w:p w:rsidR="001B598E" w:rsidRPr="00D957AB" w:rsidP="004E1F69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D957AB">
        <w:rPr>
          <w:rFonts w:ascii="Calibri" w:hAnsi="Calibri" w:cs="Calibri"/>
          <w:i/>
          <w:color w:val="auto"/>
          <w:sz w:val="22"/>
          <w:szCs w:val="22"/>
        </w:rPr>
        <w:t>b) com os dispositivos do texto do projeto de lei.</w:t>
      </w:r>
      <w:bookmarkStart w:id="8" w:name="art166§4"/>
      <w:bookmarkEnd w:id="8"/>
    </w:p>
    <w:p w:rsidR="001B598E" w:rsidRPr="004E1F69" w:rsidP="001B598E">
      <w:pPr>
        <w:pStyle w:val="Default"/>
        <w:spacing w:after="120"/>
        <w:ind w:left="2268"/>
        <w:jc w:val="both"/>
        <w:rPr>
          <w:rFonts w:ascii="Calibri" w:hAnsi="Calibri" w:cs="Calibri"/>
          <w:i/>
          <w:color w:val="auto"/>
          <w:sz w:val="12"/>
          <w:szCs w:val="12"/>
        </w:rPr>
      </w:pPr>
    </w:p>
    <w:p w:rsidR="001B598E" w:rsidRPr="00D957AB" w:rsidP="001B598E">
      <w:pPr>
        <w:pStyle w:val="Default"/>
        <w:numPr>
          <w:ilvl w:val="0"/>
          <w:numId w:val="4"/>
        </w:numPr>
        <w:spacing w:line="276" w:lineRule="auto"/>
        <w:ind w:left="2552"/>
        <w:jc w:val="both"/>
        <w:rPr>
          <w:rFonts w:asciiTheme="minorHAnsi" w:hAnsiTheme="minorHAnsi" w:cstheme="minorHAnsi"/>
          <w:b/>
          <w:color w:val="auto"/>
        </w:rPr>
      </w:pPr>
      <w:r w:rsidRPr="00D957AB">
        <w:rPr>
          <w:rFonts w:asciiTheme="minorHAnsi" w:hAnsiTheme="minorHAnsi" w:cstheme="minorHAnsi"/>
          <w:b/>
          <w:color w:val="auto"/>
        </w:rPr>
        <w:t>Lei Orgânica Municipal de Valinhos</w:t>
      </w:r>
    </w:p>
    <w:p w:rsidR="001B598E" w:rsidRPr="004E1F69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12"/>
          <w:szCs w:val="12"/>
        </w:rPr>
      </w:pPr>
    </w:p>
    <w:p w:rsidR="001B598E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1B598E">
        <w:rPr>
          <w:rFonts w:ascii="Calibri" w:hAnsi="Calibri" w:cs="Calibri"/>
          <w:b/>
          <w:i/>
          <w:color w:val="auto"/>
          <w:sz w:val="22"/>
          <w:szCs w:val="22"/>
        </w:rPr>
        <w:t>Art. 153.</w:t>
      </w:r>
      <w:r w:rsidRPr="001B598E">
        <w:rPr>
          <w:rFonts w:ascii="Calibri" w:hAnsi="Calibri" w:cs="Calibri"/>
          <w:i/>
          <w:color w:val="auto"/>
          <w:sz w:val="22"/>
          <w:szCs w:val="22"/>
        </w:rPr>
        <w:t xml:space="preserve"> Os projetos de lei relativos ao plano plurianual, às diretrizes orçamentárias, ao orçamento anual e aos créditos adicionais, bem como suas emendas, serão apreciados pela Câmara Municipal. </w:t>
      </w:r>
    </w:p>
    <w:p w:rsidR="001B598E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1B598E">
        <w:rPr>
          <w:rFonts w:ascii="Calibri" w:hAnsi="Calibri" w:cs="Calibri"/>
          <w:i/>
          <w:color w:val="auto"/>
          <w:sz w:val="22"/>
          <w:szCs w:val="22"/>
        </w:rPr>
        <w:t xml:space="preserve">§ 1º </w:t>
      </w:r>
      <w:r w:rsidRPr="00D957AB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>As emendas ao projeto de lei do orçamento anual</w:t>
      </w:r>
      <w:r w:rsidRPr="001B598E">
        <w:rPr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 w:rsidRPr="001B598E">
        <w:rPr>
          <w:rFonts w:ascii="Calibri" w:hAnsi="Calibri" w:cs="Calibri"/>
          <w:i/>
          <w:color w:val="auto"/>
          <w:sz w:val="22"/>
          <w:szCs w:val="22"/>
        </w:rPr>
        <w:t xml:space="preserve">ou aos projetos que o modifiquem serão admitidas desde que: </w:t>
      </w:r>
    </w:p>
    <w:p w:rsidR="001B598E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1B598E">
        <w:rPr>
          <w:rFonts w:ascii="Calibri" w:hAnsi="Calibri" w:cs="Calibri"/>
          <w:i/>
          <w:color w:val="auto"/>
          <w:sz w:val="22"/>
          <w:szCs w:val="22"/>
        </w:rPr>
        <w:t xml:space="preserve">I - sejam compatíveis com o plano plurianual e com a lei de diretrizes orçamentárias; </w:t>
      </w:r>
    </w:p>
    <w:p w:rsidR="001B598E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1B598E">
        <w:rPr>
          <w:rFonts w:ascii="Calibri" w:hAnsi="Calibri" w:cs="Calibri"/>
          <w:i/>
          <w:color w:val="auto"/>
          <w:sz w:val="22"/>
          <w:szCs w:val="22"/>
        </w:rPr>
        <w:t xml:space="preserve">II - indiquem os recursos necessários, aceitos apenas os provenientes de anulação de despesa, excluídas as que incidam sobre: </w:t>
      </w:r>
    </w:p>
    <w:p w:rsidR="001B598E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1B598E">
        <w:rPr>
          <w:rFonts w:ascii="Calibri" w:hAnsi="Calibri" w:cs="Calibri"/>
          <w:i/>
          <w:color w:val="auto"/>
          <w:sz w:val="22"/>
          <w:szCs w:val="22"/>
        </w:rPr>
        <w:t xml:space="preserve">a) dotação para pessoal e seus encargos; </w:t>
      </w:r>
    </w:p>
    <w:p w:rsidR="001B598E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1B598E">
        <w:rPr>
          <w:rFonts w:ascii="Calibri" w:hAnsi="Calibri" w:cs="Calibri"/>
          <w:i/>
          <w:color w:val="auto"/>
          <w:sz w:val="22"/>
          <w:szCs w:val="22"/>
        </w:rPr>
        <w:t>b) serviço da dívida;</w:t>
      </w:r>
    </w:p>
    <w:p w:rsidR="001B598E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1B598E">
        <w:rPr>
          <w:rFonts w:ascii="Calibri" w:hAnsi="Calibri" w:cs="Calibri"/>
          <w:i/>
          <w:color w:val="auto"/>
          <w:sz w:val="22"/>
          <w:szCs w:val="22"/>
        </w:rPr>
        <w:t xml:space="preserve"> III - sejam relacionadas:</w:t>
      </w:r>
    </w:p>
    <w:p w:rsidR="001B598E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1B598E">
        <w:rPr>
          <w:rFonts w:ascii="Calibri" w:hAnsi="Calibri" w:cs="Calibri"/>
          <w:i/>
          <w:color w:val="auto"/>
          <w:sz w:val="22"/>
          <w:szCs w:val="22"/>
        </w:rPr>
        <w:t xml:space="preserve">a) com correção de erros ou omissões; </w:t>
      </w:r>
    </w:p>
    <w:p w:rsidR="001B598E" w:rsidP="00E615D5">
      <w:pPr>
        <w:pStyle w:val="Default"/>
        <w:spacing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1B598E">
        <w:rPr>
          <w:rFonts w:ascii="Calibri" w:hAnsi="Calibri" w:cs="Calibri"/>
          <w:i/>
          <w:color w:val="auto"/>
          <w:sz w:val="22"/>
          <w:szCs w:val="22"/>
        </w:rPr>
        <w:t xml:space="preserve">b) com os dispositivos do texto do projeto de lei. </w:t>
      </w:r>
    </w:p>
    <w:p w:rsidR="006B4704" w:rsidP="006B4704">
      <w:pPr>
        <w:pStyle w:val="Default"/>
        <w:spacing w:after="240" w:line="360" w:lineRule="auto"/>
        <w:jc w:val="both"/>
        <w:rPr>
          <w:color w:val="FF0000"/>
          <w:sz w:val="12"/>
          <w:szCs w:val="12"/>
        </w:rPr>
      </w:pPr>
    </w:p>
    <w:p w:rsidR="00D957AB" w:rsidP="00D957AB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concernente às emendas ao projeto de lei de diretrizes orçamentárias a Constituição Federal estabelece:</w:t>
      </w:r>
    </w:p>
    <w:p w:rsidR="00D957AB" w:rsidRPr="004F59F2" w:rsidP="00D957AB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</w:pPr>
      <w:r w:rsidRPr="004F59F2"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  <w:t>Art. 166. Os projetos de lei relativos ao plano plurianual, às diretrizes orçamentárias, ao orçamento anual e aos créditos adicionais serão apreciados pelas duas Casas do Congresso Nacional, na forma do regimento comum.</w:t>
      </w:r>
    </w:p>
    <w:p w:rsidR="00D957AB" w:rsidRPr="004F59F2" w:rsidP="00D957AB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</w:pPr>
      <w:r w:rsidRPr="004F59F2"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  <w:t>(...)</w:t>
      </w:r>
    </w:p>
    <w:p w:rsidR="00D957AB" w:rsidRPr="004F59F2" w:rsidP="00D957AB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</w:pPr>
      <w:r w:rsidRPr="004F59F2"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  <w:t xml:space="preserve">§ 4º </w:t>
      </w:r>
      <w:r w:rsidRPr="004F59F2">
        <w:rPr>
          <w:rFonts w:eastAsia="Calibri" w:asciiTheme="minorHAnsi" w:hAnsiTheme="minorHAnsi" w:cstheme="minorHAnsi"/>
          <w:b/>
          <w:i/>
          <w:sz w:val="22"/>
          <w:szCs w:val="22"/>
          <w:shd w:val="clear" w:color="auto" w:fill="FFFFFF"/>
        </w:rPr>
        <w:t>As emendas ao projeto de lei de diretrizes orçamentárias não poderão ser aprovadas quando incompatíveis com o plano plurianual.</w:t>
      </w:r>
    </w:p>
    <w:p w:rsidR="00D957AB" w:rsidP="00D957AB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</w:pPr>
      <w:r w:rsidRPr="004F59F2"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  <w:t>(...)</w:t>
      </w:r>
    </w:p>
    <w:p w:rsidR="00D957AB" w:rsidP="00D957A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No mesmo sentido a Lei Orgânica do Município de Valinhos:</w:t>
      </w:r>
    </w:p>
    <w:p w:rsidR="00D957AB" w:rsidRPr="00A42263" w:rsidP="00D957AB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42263">
        <w:rPr>
          <w:rFonts w:asciiTheme="minorHAnsi" w:hAnsiTheme="minorHAnsi" w:cstheme="minorHAnsi"/>
          <w:i/>
          <w:color w:val="auto"/>
          <w:sz w:val="22"/>
          <w:szCs w:val="22"/>
        </w:rPr>
        <w:t>Art. 153. Os projetos de lei relativos ao plano plurianual, às diretrizes orçamentárias, ao orçamento anual e aos créditos adicionais, bem como suas emendas, serão apreciados pela Câmara Municipal.</w:t>
      </w:r>
    </w:p>
    <w:p w:rsidR="00D957AB" w:rsidP="00D957A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</w:pPr>
      <w:r w:rsidRPr="004F59F2"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  <w:t>(...)</w:t>
      </w:r>
    </w:p>
    <w:p w:rsidR="00D957AB" w:rsidP="00D957AB">
      <w:pPr>
        <w:pStyle w:val="Default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A42263">
        <w:rPr>
          <w:rFonts w:asciiTheme="minorHAnsi" w:hAnsiTheme="minorHAnsi" w:cstheme="minorHAnsi"/>
          <w:b/>
          <w:i/>
          <w:color w:val="auto"/>
          <w:sz w:val="22"/>
          <w:szCs w:val="22"/>
        </w:rPr>
        <w:t>§ 2º As emendas ao projeto de lei de diretrizes orçamentárias não poderão ser aprovadas quando incompatíveis com o plano plurianual.</w:t>
      </w:r>
    </w:p>
    <w:p w:rsidR="00D957AB" w:rsidP="00D957A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</w:pPr>
      <w:r w:rsidRPr="004F59F2"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  <w:t>(...)</w:t>
      </w:r>
    </w:p>
    <w:p w:rsidR="00D957AB" w:rsidP="00D957AB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D957AB" w:rsidP="00D957A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F7C76">
        <w:rPr>
          <w:rFonts w:asciiTheme="minorHAnsi" w:hAnsiTheme="minorHAnsi" w:cstheme="minorHAnsi"/>
          <w:color w:val="auto"/>
        </w:rPr>
        <w:t xml:space="preserve">Neste particular, s.m.j, observamos que a emenda </w:t>
      </w:r>
      <w:r>
        <w:rPr>
          <w:rFonts w:asciiTheme="minorHAnsi" w:hAnsiTheme="minorHAnsi" w:cstheme="minorHAnsi"/>
          <w:color w:val="auto"/>
        </w:rPr>
        <w:t>alterou</w:t>
      </w:r>
      <w:r w:rsidRPr="00CF7C76">
        <w:rPr>
          <w:rFonts w:asciiTheme="minorHAnsi" w:hAnsiTheme="minorHAnsi" w:cstheme="minorHAnsi"/>
          <w:color w:val="auto"/>
        </w:rPr>
        <w:t xml:space="preserve"> custos estimados de programas que já </w:t>
      </w:r>
      <w:r>
        <w:rPr>
          <w:rFonts w:asciiTheme="minorHAnsi" w:hAnsiTheme="minorHAnsi" w:cstheme="minorHAnsi"/>
          <w:color w:val="auto"/>
        </w:rPr>
        <w:t xml:space="preserve">se encontram na lei que veicula o </w:t>
      </w:r>
      <w:r w:rsidRPr="00CF7C76">
        <w:rPr>
          <w:rFonts w:asciiTheme="minorHAnsi" w:hAnsiTheme="minorHAnsi" w:cstheme="minorHAnsi"/>
          <w:color w:val="auto"/>
        </w:rPr>
        <w:t>Plano Plurianual</w:t>
      </w:r>
      <w:r>
        <w:rPr>
          <w:rFonts w:asciiTheme="minorHAnsi" w:hAnsiTheme="minorHAnsi" w:cstheme="minorHAnsi"/>
          <w:color w:val="auto"/>
        </w:rPr>
        <w:t xml:space="preserve"> (LM nº 6.204/2021), </w:t>
      </w:r>
      <w:r w:rsidRPr="00CF7C76">
        <w:rPr>
          <w:rFonts w:asciiTheme="minorHAnsi" w:hAnsiTheme="minorHAnsi" w:cstheme="minorHAnsi"/>
          <w:color w:val="auto"/>
        </w:rPr>
        <w:t>restando atendido o comando constitucional.</w:t>
      </w:r>
    </w:p>
    <w:p w:rsidR="0047188A" w:rsidRPr="009F2FB6" w:rsidP="0047188A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Nessa linha,</w:t>
      </w:r>
      <w:r w:rsidRPr="009F2FB6">
        <w:rPr>
          <w:rFonts w:ascii="Calibri" w:hAnsi="Calibri" w:cs="Calibri"/>
          <w:color w:val="auto"/>
        </w:rPr>
        <w:t xml:space="preserve"> colacionamos decisão da Suprema Corte referente à prerrogativa institucional do Legislativo de apresentar emendas aos projetos de leis, bem como esclarece as limitações constitucionais em relação aos projetos orçamentários: </w:t>
      </w:r>
    </w:p>
    <w:p w:rsidR="0047188A" w:rsidRPr="009F2FB6" w:rsidP="003D27F3">
      <w:pPr>
        <w:pStyle w:val="Default"/>
        <w:spacing w:after="240" w:line="276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9F2FB6">
        <w:rPr>
          <w:rFonts w:ascii="Calibri" w:hAnsi="Calibri" w:cs="Calibri"/>
          <w:color w:val="auto"/>
          <w:sz w:val="22"/>
          <w:szCs w:val="22"/>
        </w:rPr>
        <w:t>“</w:t>
      </w:r>
      <w:r w:rsidRPr="009F2FB6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 xml:space="preserve">o poder de emendar projetos de lei, que se reveste de natureza eminentemente constitucional, qualifica-se como prerrogativa de ordem político-jurídica inerente ao exercício da atividade legislativa. </w:t>
      </w:r>
      <w:r w:rsidRPr="009F2FB6">
        <w:rPr>
          <w:rFonts w:ascii="Calibri" w:hAnsi="Calibri" w:cs="Calibri"/>
          <w:i/>
          <w:color w:val="auto"/>
          <w:sz w:val="22"/>
          <w:szCs w:val="22"/>
        </w:rPr>
        <w:t xml:space="preserve">Essa prerrogativa institucional, precisamente por não traduzir corolário do poder de iniciar o processo de formação das leis (TTJ 36/382, 385 – RTJ 37/113 – RDA 102/61), </w:t>
      </w:r>
      <w:r w:rsidRPr="009F2FB6">
        <w:rPr>
          <w:rFonts w:ascii="Calibri" w:hAnsi="Calibri" w:cs="Calibri"/>
          <w:b/>
          <w:i/>
          <w:color w:val="auto"/>
          <w:sz w:val="22"/>
          <w:szCs w:val="22"/>
        </w:rPr>
        <w:t xml:space="preserve">pode ser </w:t>
      </w:r>
      <w:r w:rsidRPr="009F2FB6">
        <w:rPr>
          <w:rFonts w:ascii="Calibri" w:hAnsi="Calibri" w:cs="Calibri"/>
          <w:b/>
          <w:i/>
          <w:color w:val="auto"/>
          <w:sz w:val="22"/>
          <w:szCs w:val="22"/>
        </w:rPr>
        <w:t>legitimamente exercida pelos membros do Legislativo, ainda que se cuide de proposições constitucionalmente sujeitas à cláusula de reserva de iniciativa</w:t>
      </w:r>
      <w:r w:rsidRPr="009F2FB6">
        <w:rPr>
          <w:rFonts w:ascii="Calibri" w:hAnsi="Calibri" w:cs="Calibri"/>
          <w:i/>
          <w:color w:val="auto"/>
          <w:sz w:val="22"/>
          <w:szCs w:val="22"/>
        </w:rPr>
        <w:t xml:space="preserve"> (ADI 865/MA, rel. min. Celso de Mello</w:t>
      </w:r>
      <w:r w:rsidRPr="009F2FB6">
        <w:rPr>
          <w:rFonts w:ascii="Calibri" w:hAnsi="Calibri" w:cs="Calibri"/>
          <w:b/>
          <w:i/>
          <w:color w:val="auto"/>
          <w:sz w:val="22"/>
          <w:szCs w:val="22"/>
        </w:rPr>
        <w:t xml:space="preserve">), </w:t>
      </w:r>
      <w:r w:rsidRPr="009F2FB6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>desde que, respeitadas as limitações restabelecidas na Constituição da República, as emendas parlamentares</w:t>
      </w:r>
      <w:r w:rsidRPr="009F2FB6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9F2FB6">
        <w:rPr>
          <w:rFonts w:ascii="Calibri" w:hAnsi="Calibri" w:cs="Calibri"/>
          <w:b/>
          <w:i/>
          <w:color w:val="auto"/>
          <w:sz w:val="22"/>
          <w:szCs w:val="22"/>
          <w:u w:val="single"/>
        </w:rPr>
        <w:t>(a) não importem em aumento da despesa prevista no projeto de lei, (b) guardem afinidade lógica (relação de pertinência) com a propositura original e (c) tratando-se de projetos orçamentários (CF, art. 165, I, II e III), observem as restrições fixadas no art. 166, §§ 3º e 4º, da Carta Política</w:t>
      </w:r>
      <w:r w:rsidRPr="009F2FB6">
        <w:rPr>
          <w:rFonts w:ascii="Calibri" w:hAnsi="Calibri" w:cs="Calibri"/>
          <w:i/>
          <w:color w:val="auto"/>
          <w:sz w:val="22"/>
          <w:szCs w:val="22"/>
        </w:rPr>
        <w:t xml:space="preserve"> (…).” (grifamos</w:t>
      </w:r>
      <w:r w:rsidRPr="009F2FB6">
        <w:rPr>
          <w:rFonts w:ascii="Calibri" w:hAnsi="Calibri" w:cs="Calibri"/>
          <w:i/>
          <w:color w:val="auto"/>
          <w:sz w:val="22"/>
          <w:szCs w:val="22"/>
        </w:rPr>
        <w:t>)</w:t>
      </w:r>
    </w:p>
    <w:p w:rsidR="0047188A" w:rsidRPr="009F2FB6" w:rsidP="0047188A">
      <w:pPr>
        <w:pStyle w:val="Default"/>
        <w:spacing w:line="360" w:lineRule="auto"/>
        <w:ind w:firstLine="1701"/>
        <w:jc w:val="both"/>
        <w:rPr>
          <w:rFonts w:ascii="Calibri" w:hAnsi="Calibri" w:cs="Calibri"/>
          <w:color w:val="auto"/>
        </w:rPr>
      </w:pPr>
      <w:r w:rsidRPr="009F2FB6">
        <w:rPr>
          <w:rFonts w:ascii="Calibri" w:hAnsi="Calibri" w:cs="Calibri"/>
          <w:color w:val="auto"/>
        </w:rPr>
        <w:t>Vejamos algumas decisões do E. Tribunal de Justiça de São Paulo acerca do tema:</w:t>
      </w:r>
    </w:p>
    <w:p w:rsidR="0047188A" w:rsidRPr="0047188A" w:rsidP="003D27F3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</w:pPr>
      <w:r w:rsidRPr="0047188A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DIRETA DE INCONSTITUCIONALIDADE. -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>EMENDA PARLAMENTAR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>QUE ALTEROU PROJETO DE LEI DE DIRETRIZES ORÇAMENTÁRIAS PARA CONSIGNAR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 xml:space="preserve">AUMENTO DE DOTAÇÃO DAS AÇÕES GOVERNAMENTAIS DESTINADAS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>À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 xml:space="preserve"> DETERMINADAS SECRETARIAS MUNICIPAIS SEM INDICAR A FONTE DE CUSTEIO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 -</w:t>
      </w:r>
      <w:r w:rsidRPr="0047188A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 ADEQUAÇÃO DA VIA ELEITA - POSSIBILIDADE DE SUBMISSÃO DAS NORMAS ORÇAMENTÁRIAS AO CONTROLE ABSTRATO DE CONSTITUCIONALIDADE – VÍCIO DE INCONSTITUCIONALIDADE RECONHECIDO - AÇÃO PROCEDENTE</w:t>
      </w:r>
      <w:r w:rsidRPr="0047188A"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  <w:t>.</w:t>
      </w:r>
    </w:p>
    <w:p w:rsidR="0047188A" w:rsidRPr="0047188A" w:rsidP="0047188A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</w:pPr>
      <w:r w:rsidRPr="0047188A"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  <w:t>(TJSP;</w:t>
      </w:r>
      <w:r w:rsidRPr="0047188A"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  <w:t xml:space="preserve">  </w:t>
      </w:r>
      <w:r w:rsidRPr="0047188A"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  <w:t>Direta de Inconstitucionalidade 2225368-61.2021.8.26.0000; Relator (a): Moreira Viegas; Órgão Julgador: Órgão Especial; Tribunal de Justiça de São Paulo - N/A; Data do Julgamento: 16/02/2022; Data de Registro: 17/02/2022)</w:t>
      </w:r>
    </w:p>
    <w:p w:rsidR="0047188A" w:rsidRPr="0047188A" w:rsidP="0047188A">
      <w:pPr>
        <w:pStyle w:val="Default"/>
        <w:pBdr>
          <w:bottom w:val="single" w:sz="12" w:space="0" w:color="auto"/>
        </w:pBdr>
        <w:spacing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12"/>
          <w:szCs w:val="12"/>
          <w:shd w:val="clear" w:color="auto" w:fill="FFFFFF"/>
        </w:rPr>
      </w:pPr>
    </w:p>
    <w:p w:rsidR="0047188A" w:rsidRPr="0047188A" w:rsidP="0047188A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47188A" w:rsidRPr="0047188A" w:rsidP="003D27F3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</w:pPr>
      <w:r w:rsidRPr="0047188A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AÇÃO DIRETA DE INCONSTITUCIONALIDADE – § 3º DO ART. 5º DA LEI Nº 2.161/2021, INCLUÍDO PELA EMENDA PARLAMENTAR Nº 37/2021, E PARÁGRAFO ÚNICO DO ART. 8º DA LEI Nº 2.162/2021, INCLUÍDO PELA EMENDA PARLAMENTAR Nº 29/2021 – LEIS Nº 2.161/2021 E Nº 2.162/2021 QUE DISPÕEM, RESPECTIVAMENTE, SOBRE O PLANO PLURIANUAL DO MUNICÍPIO DE JUQUITIBA PARA O PERÍODO DE 2022 A 2025 E SOBRE A LEI DE DIRETRIZES ORÇAMENTÁRIAS DO MUNICÍPIO DE JUQUITIBA PARA O EXERCÍCIO FINANCEIRO DE 2022 – EMENDAS PARLAMENTARES Nº 37/2021 E Nº 29/2021 QUE REPRODUZEM, NO ÂMBITO MUNICIPAL, NORMA DA CONSTITUIÇÃO FEDERAL SOBRE ORÇAMENTO IMPOSITIVO – EXERCÍCIO LEGÍTIMO DO PODER DE AUTO-ORGANIZAÇÃO MUNICIPAL – INOCORRÊNCIA DE VIOLAÇÃO AOS PRINCÍPIOS DA SEPARAÇÃO ENTRE OS PODERES E DA </w:t>
      </w:r>
      <w:r w:rsidRPr="0047188A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RESERVA DE INICIATIVA LEGISLATIVA OUTORGADA AO CHEFE DO PODER </w:t>
      </w:r>
      <w:r w:rsidRPr="0047188A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>EXECUTIVO – NECESSIDADE</w:t>
      </w:r>
      <w:r w:rsidRPr="0047188A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, PORÉM, DE CONFERIR AO § 3º DO ART. 5º DA LEI Nº 2.161/2021, INCLUÍDO PELA EMENDA PARLAMENTAR Nº 37/2021, E AO PARÁGRAFO ÚNICO DO ART. 8º DA LEI Nº 2.162/2021, INCLUÍDO PELA EMENDA PARLAMENTAR Nº 29/2021, INTERPRETAÇÃO CONFORME O ART. 166, §§ 9º, 10 E 11 DA CONSTITUIÇÃO FEDERAL E ART. 175, §§ 6º, 7º E 8º, DA CONSTITUIÇÃO ESTADUAL PARA QUE METADE DO PERCENTUAL DE 1,2% A SER RESERVADO PARA CONTEMPLAR EMENDAS LEGISLATIVAS E SUAS EXECUÇÕES ORÇAMENTÁRIAS SEJA DESTINADO A AÇÕES E SERVIÇOS PÚBLICOS DE SAÚDE, NÃO PODENDO SER UTILIZADO PARA PAGAMENTO DE PESSOAL OU ENCARGOS SOCIAIS –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EMENDAS PARLAMENTARES nº 05/2021 – ALTERAÇÃO DOS ANEXOS DO PLANO PLURIANUAL DO MUNICÍPIO DE JUQUITIBA PARA O PERÍODO DE 2022 A 2025 E DA PRÉVIA DA LEI DE DIRETRIZES ORÇAMENTÁRIAS DO MUNICÍPIO DE JUQUITIBA PARA O EXERCÍCIO FINANCEIRO DE 2022 – DESTINAÇÃO DE VALORES AO CONVÊNIO CMDPD-CONSELHO MUNICIPAL DOS DIREITOS DAS PESSOAS COM DEFICIÊNCIA,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 xml:space="preserve">MAS SEM INDICAÇÃO PRECISA DAS DESPESAS ANULADAS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– VIOLAÇÃO DO ART. 166, § 3º, INCISOS I E II, DA CONSTITUIÇÃO FEDERAL E DOS ARTS. 175, § 1º, ITENS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>1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 E 2, E 144 DA CONSTITUIÇÃO ESTADUAL – EMENDA PARLAMENTAR Nº 36/2021 AO PLANO PLURIANUAL DO MUNICÍPIO DE JUQUITIBA PARA O PERÍODO DE 2022 A 2025 E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>EMENDA PARLAMENTAR Nº 28/2021 À LEI DE DIRETRIZES ORÇAMENTÁRIAS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 DO MUNICÍPIO DE JUQUITIBA PARA O EXERCÍCIO FINANCEIRO DE 2022 – EDIÇÃO PARA EXCLUSÃO DE FONTE, OU SEJA, ANULAÇÃO DE DESPESAS,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>MAS TAMBÉM SEM INDICAÇÃO PRECISA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 DAS DESPESAS ANULADAS E DO DESTINO DE TAIS DESPESAS – VIOLAÇÃO DO ART. 166, § 3º, INCISOS I E II, DA CONSTITUIÇÃO FEDERAL E DOS ARTS. 175, § 1º, ITENS 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>1</w:t>
      </w:r>
      <w:r w:rsidRPr="0047188A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 xml:space="preserve"> E 2, E 144 DA CONSTITUIÇÃO ESTADUAL</w:t>
      </w:r>
      <w:r w:rsidRPr="0047188A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 – AÇÃO PARCIALMENTE PROCEDENTE, CONFIRMADA NESSA EXTENSÃO A LIMINAR.</w:t>
      </w:r>
    </w:p>
    <w:p w:rsidR="0047188A" w:rsidRPr="0047188A" w:rsidP="0047188A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</w:pPr>
      <w:r w:rsidRPr="0047188A"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  <w:t>(TJSP;</w:t>
      </w:r>
      <w:r w:rsidRPr="0047188A"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  <w:t xml:space="preserve">  </w:t>
      </w:r>
      <w:r w:rsidRPr="0047188A"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  <w:t>Direta de Inconstitucionalidade 2278376-50.2021.8.26.0000; Relator (a): Matheus Fontes; Órgão Julgador: Órgão Especial; Tribunal de Justiça de São Paulo - N/A; Data do Julgamento: 24/08/2022; Data de Registro: 25/08/2022)</w:t>
      </w:r>
    </w:p>
    <w:p w:rsidR="0047188A" w:rsidRPr="0084799B" w:rsidP="0047188A">
      <w:pPr>
        <w:pStyle w:val="Default"/>
        <w:spacing w:after="240"/>
        <w:ind w:left="2268"/>
        <w:jc w:val="both"/>
        <w:rPr>
          <w:rFonts w:asciiTheme="minorHAnsi" w:hAnsiTheme="minorHAnsi" w:cstheme="minorHAnsi"/>
          <w:i/>
          <w:color w:val="FF0000"/>
          <w:sz w:val="4"/>
          <w:szCs w:val="4"/>
          <w:shd w:val="clear" w:color="auto" w:fill="FFFFFF"/>
        </w:rPr>
      </w:pPr>
    </w:p>
    <w:p w:rsidR="0047188A" w:rsidRPr="00695AEB" w:rsidP="0047188A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Destarte,</w:t>
      </w:r>
      <w:r w:rsidRPr="00695AEB">
        <w:rPr>
          <w:rFonts w:ascii="Calibri" w:hAnsi="Calibri" w:cs="Calibri"/>
          <w:i/>
          <w:color w:val="auto"/>
        </w:rPr>
        <w:t xml:space="preserve"> </w:t>
      </w:r>
      <w:r w:rsidRPr="00695AEB">
        <w:rPr>
          <w:rFonts w:ascii="Calibri" w:hAnsi="Calibri" w:cs="Calibri"/>
          <w:color w:val="auto"/>
        </w:rPr>
        <w:t>não vislumbramos nas razões de veto a demonstração de qualquer violação aos limites constitucionais ao poder de emenda.</w:t>
      </w:r>
    </w:p>
    <w:p w:rsidR="009E3C01" w:rsidRPr="00695AEB" w:rsidP="00695AEB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695AEB">
        <w:rPr>
          <w:rFonts w:ascii="Calibri" w:hAnsi="Calibri" w:cs="Calibri"/>
          <w:color w:val="auto"/>
        </w:rPr>
        <w:t xml:space="preserve">Do mesmo modo, </w:t>
      </w:r>
      <w:r w:rsidR="00B57CC9">
        <w:rPr>
          <w:rFonts w:ascii="Calibri" w:hAnsi="Calibri" w:cs="Calibri"/>
          <w:color w:val="auto"/>
        </w:rPr>
        <w:t>cumpre</w:t>
      </w:r>
      <w:r w:rsidR="00D6448E">
        <w:rPr>
          <w:rFonts w:ascii="Calibri" w:hAnsi="Calibri" w:cs="Calibri"/>
          <w:color w:val="auto"/>
        </w:rPr>
        <w:t xml:space="preserve"> ressaltar que o dispositivo</w:t>
      </w:r>
      <w:r w:rsidRPr="00695AEB">
        <w:rPr>
          <w:rFonts w:ascii="Calibri" w:hAnsi="Calibri" w:cs="Calibri"/>
          <w:color w:val="auto"/>
        </w:rPr>
        <w:t xml:space="preserve"> da </w:t>
      </w:r>
      <w:r w:rsidRPr="00695AEB">
        <w:rPr>
          <w:rFonts w:asciiTheme="minorHAnsi" w:hAnsiTheme="minorHAnsi" w:cstheme="minorHAnsi"/>
          <w:color w:val="auto"/>
        </w:rPr>
        <w:t>Le</w:t>
      </w:r>
      <w:r w:rsidR="00D6448E">
        <w:rPr>
          <w:rFonts w:asciiTheme="minorHAnsi" w:hAnsiTheme="minorHAnsi" w:cstheme="minorHAnsi"/>
          <w:color w:val="auto"/>
        </w:rPr>
        <w:t>i Federal nº 4.320/1964, citado</w:t>
      </w:r>
      <w:r w:rsidRPr="00695AEB">
        <w:rPr>
          <w:rFonts w:asciiTheme="minorHAnsi" w:hAnsiTheme="minorHAnsi" w:cstheme="minorHAnsi"/>
          <w:color w:val="auto"/>
        </w:rPr>
        <w:t xml:space="preserve"> nas razões de veto refere</w:t>
      </w:r>
      <w:bookmarkStart w:id="9" w:name="_GoBack"/>
      <w:bookmarkEnd w:id="9"/>
      <w:r w:rsidRPr="00695AEB">
        <w:rPr>
          <w:rFonts w:asciiTheme="minorHAnsi" w:hAnsiTheme="minorHAnsi" w:cstheme="minorHAnsi"/>
          <w:color w:val="auto"/>
        </w:rPr>
        <w:t xml:space="preserve">-se </w:t>
      </w:r>
      <w:r w:rsidR="0084799B">
        <w:rPr>
          <w:rFonts w:asciiTheme="minorHAnsi" w:hAnsiTheme="minorHAnsi" w:cstheme="minorHAnsi"/>
          <w:color w:val="auto"/>
        </w:rPr>
        <w:t>a</w:t>
      </w:r>
      <w:r w:rsidRPr="00695AEB">
        <w:rPr>
          <w:rFonts w:asciiTheme="minorHAnsi" w:hAnsiTheme="minorHAnsi" w:cstheme="minorHAnsi"/>
          <w:color w:val="auto"/>
        </w:rPr>
        <w:t xml:space="preserve"> alterações do projeto da Lei de Orçamento (LOA) e não </w:t>
      </w:r>
      <w:r w:rsidR="0084799B">
        <w:rPr>
          <w:rFonts w:asciiTheme="minorHAnsi" w:hAnsiTheme="minorHAnsi" w:cstheme="minorHAnsi"/>
          <w:color w:val="auto"/>
        </w:rPr>
        <w:t>a projeto de</w:t>
      </w:r>
      <w:r w:rsidRPr="00695AEB">
        <w:rPr>
          <w:rFonts w:asciiTheme="minorHAnsi" w:hAnsiTheme="minorHAnsi" w:cstheme="minorHAnsi"/>
          <w:color w:val="auto"/>
        </w:rPr>
        <w:t xml:space="preserve"> Lei de Diretrizes Orçamentárias (LDO)</w:t>
      </w:r>
      <w:r w:rsidRPr="00695AEB">
        <w:rPr>
          <w:rFonts w:asciiTheme="minorHAnsi" w:hAnsiTheme="minorHAnsi" w:cstheme="minorHAnsi"/>
          <w:color w:val="auto"/>
        </w:rPr>
        <w:t xml:space="preserve">, </w:t>
      </w:r>
      <w:r w:rsidRPr="00695AEB">
        <w:rPr>
          <w:rFonts w:asciiTheme="minorHAnsi" w:hAnsiTheme="minorHAnsi" w:cstheme="minorHAnsi"/>
          <w:i/>
          <w:color w:val="auto"/>
        </w:rPr>
        <w:t xml:space="preserve">in verbis: </w:t>
      </w:r>
    </w:p>
    <w:p w:rsidR="009E3C01" w:rsidRPr="00695AEB" w:rsidP="003D27F3">
      <w:pPr>
        <w:spacing w:after="120" w:line="240" w:lineRule="auto"/>
        <w:ind w:left="2268"/>
        <w:jc w:val="both"/>
        <w:rPr>
          <w:rFonts w:asciiTheme="minorHAnsi" w:hAnsiTheme="minorHAnsi"/>
          <w:b/>
          <w:i/>
          <w:sz w:val="22"/>
          <w:szCs w:val="22"/>
        </w:rPr>
      </w:pPr>
      <w:r w:rsidRPr="00695AEB">
        <w:rPr>
          <w:rFonts w:asciiTheme="minorHAnsi" w:hAnsiTheme="minorHAnsi" w:cs="Arial"/>
          <w:i/>
          <w:sz w:val="22"/>
          <w:szCs w:val="22"/>
        </w:rPr>
        <w:t xml:space="preserve">Art. 33. </w:t>
      </w:r>
      <w:r w:rsidRPr="00695AEB">
        <w:rPr>
          <w:rFonts w:asciiTheme="minorHAnsi" w:hAnsiTheme="minorHAnsi" w:cs="Arial"/>
          <w:b/>
          <w:i/>
          <w:sz w:val="22"/>
          <w:szCs w:val="22"/>
        </w:rPr>
        <w:t>Não se admitirão emenda</w:t>
      </w:r>
      <w:r w:rsidRPr="00695AEB">
        <w:rPr>
          <w:rFonts w:asciiTheme="minorHAnsi" w:hAnsiTheme="minorHAnsi" w:cs="Arial"/>
          <w:i/>
          <w:sz w:val="22"/>
          <w:szCs w:val="22"/>
        </w:rPr>
        <w:t xml:space="preserve">s </w:t>
      </w:r>
      <w:r w:rsidRPr="00695AEB">
        <w:rPr>
          <w:rFonts w:asciiTheme="minorHAnsi" w:hAnsiTheme="minorHAnsi" w:cs="Arial"/>
          <w:b/>
          <w:i/>
          <w:sz w:val="22"/>
          <w:szCs w:val="22"/>
          <w:u w:val="thick"/>
        </w:rPr>
        <w:t>ao projeto de Lei de Orçamento</w:t>
      </w:r>
      <w:r w:rsidRPr="00695AEB">
        <w:rPr>
          <w:rFonts w:asciiTheme="minorHAnsi" w:hAnsiTheme="minorHAnsi" w:cs="Arial"/>
          <w:b/>
          <w:i/>
          <w:sz w:val="22"/>
          <w:szCs w:val="22"/>
        </w:rPr>
        <w:t xml:space="preserve"> que visem a:</w:t>
      </w:r>
    </w:p>
    <w:p w:rsidR="009E3C01" w:rsidRPr="00695AEB" w:rsidP="003D27F3">
      <w:pPr>
        <w:spacing w:after="120" w:line="240" w:lineRule="auto"/>
        <w:ind w:left="2268"/>
        <w:jc w:val="both"/>
        <w:rPr>
          <w:rFonts w:asciiTheme="minorHAnsi" w:hAnsiTheme="minorHAnsi"/>
          <w:i/>
          <w:sz w:val="22"/>
          <w:szCs w:val="22"/>
        </w:rPr>
      </w:pPr>
      <w:bookmarkStart w:id="10" w:name="art33a"/>
      <w:bookmarkEnd w:id="10"/>
      <w:r w:rsidRPr="00695AEB">
        <w:rPr>
          <w:rFonts w:asciiTheme="minorHAnsi" w:hAnsiTheme="minorHAnsi" w:cs="Arial"/>
          <w:i/>
          <w:sz w:val="22"/>
          <w:szCs w:val="22"/>
        </w:rPr>
        <w:t>a) alterar a dotação solicitada para despesa de custeio, salvo quando provada, nesse ponto, a inexatidão da proposta;</w:t>
      </w:r>
    </w:p>
    <w:p w:rsidR="009E3C01" w:rsidRPr="00695AEB" w:rsidP="003D27F3">
      <w:pPr>
        <w:spacing w:after="120" w:line="240" w:lineRule="auto"/>
        <w:ind w:left="2268"/>
        <w:jc w:val="both"/>
        <w:rPr>
          <w:rFonts w:asciiTheme="minorHAnsi" w:hAnsiTheme="minorHAnsi"/>
          <w:i/>
          <w:sz w:val="22"/>
          <w:szCs w:val="22"/>
        </w:rPr>
      </w:pPr>
      <w:bookmarkStart w:id="11" w:name="art33b"/>
      <w:bookmarkEnd w:id="11"/>
      <w:r w:rsidRPr="00695AEB">
        <w:rPr>
          <w:rFonts w:asciiTheme="minorHAnsi" w:hAnsiTheme="minorHAnsi" w:cs="Arial"/>
          <w:i/>
          <w:sz w:val="22"/>
          <w:szCs w:val="22"/>
        </w:rPr>
        <w:t>b) conceder dotação para o início de obra cujo projeto não esteja aprovado pelos órgãos competentes;</w:t>
      </w:r>
    </w:p>
    <w:p w:rsidR="009E3C01" w:rsidRPr="00695AEB" w:rsidP="003D27F3">
      <w:pPr>
        <w:spacing w:after="120" w:line="240" w:lineRule="auto"/>
        <w:ind w:left="2268"/>
        <w:jc w:val="both"/>
        <w:rPr>
          <w:rFonts w:asciiTheme="minorHAnsi" w:hAnsiTheme="minorHAnsi"/>
          <w:i/>
          <w:sz w:val="22"/>
          <w:szCs w:val="22"/>
        </w:rPr>
      </w:pPr>
      <w:bookmarkStart w:id="12" w:name="art33c"/>
      <w:bookmarkEnd w:id="12"/>
      <w:r w:rsidRPr="00695AEB">
        <w:rPr>
          <w:rFonts w:asciiTheme="minorHAnsi" w:hAnsiTheme="minorHAnsi" w:cs="Arial"/>
          <w:i/>
          <w:sz w:val="22"/>
          <w:szCs w:val="22"/>
        </w:rPr>
        <w:t>c) conceder dotação para instalação ou funcionamento de serviço que não esteja anteriormente criado;</w:t>
      </w:r>
    </w:p>
    <w:p w:rsidR="009E3C01" w:rsidP="003D27F3">
      <w:pPr>
        <w:spacing w:after="120" w:line="240" w:lineRule="auto"/>
        <w:ind w:left="2268"/>
        <w:jc w:val="both"/>
        <w:rPr>
          <w:rFonts w:asciiTheme="minorHAnsi" w:hAnsiTheme="minorHAnsi" w:cs="Arial"/>
          <w:i/>
          <w:sz w:val="22"/>
          <w:szCs w:val="22"/>
        </w:rPr>
      </w:pPr>
      <w:bookmarkStart w:id="13" w:name="art33d"/>
      <w:bookmarkEnd w:id="13"/>
      <w:r w:rsidRPr="00695AEB">
        <w:rPr>
          <w:rFonts w:asciiTheme="minorHAnsi" w:hAnsiTheme="minorHAnsi" w:cs="Arial"/>
          <w:i/>
          <w:sz w:val="22"/>
          <w:szCs w:val="22"/>
        </w:rPr>
        <w:t>d) conceder dotação superior aos quantitativos previamente fixados em resolução do Poder Legislativo para concessão de auxílios e subvenções.</w:t>
      </w:r>
    </w:p>
    <w:p w:rsidR="008C045D" w:rsidRPr="00695AEB" w:rsidP="008C045D">
      <w:pPr>
        <w:spacing w:after="0" w:line="240" w:lineRule="auto"/>
        <w:ind w:left="2268"/>
        <w:jc w:val="both"/>
        <w:rPr>
          <w:rFonts w:asciiTheme="minorHAnsi" w:hAnsiTheme="minorHAnsi" w:cs="Arial"/>
          <w:i/>
          <w:sz w:val="22"/>
          <w:szCs w:val="22"/>
        </w:rPr>
      </w:pPr>
    </w:p>
    <w:p w:rsidR="00695AEB" w:rsidP="008C045D">
      <w:pPr>
        <w:spacing w:after="12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Por fim</w:t>
      </w:r>
      <w:r>
        <w:rPr>
          <w:rFonts w:ascii="Calibri" w:eastAsia="Calibri" w:hAnsi="Calibri" w:cs="Calibri"/>
          <w:szCs w:val="24"/>
        </w:rPr>
        <w:t xml:space="preserve">, </w:t>
      </w:r>
      <w:r w:rsidR="003F4485">
        <w:rPr>
          <w:rFonts w:ascii="Calibri" w:eastAsia="Calibri" w:hAnsi="Calibri" w:cs="Calibri"/>
          <w:szCs w:val="24"/>
        </w:rPr>
        <w:t xml:space="preserve">com todo respeito, </w:t>
      </w:r>
      <w:r w:rsidR="00B57CC9">
        <w:rPr>
          <w:rFonts w:ascii="Calibri" w:eastAsia="Calibri" w:hAnsi="Calibri" w:cs="Calibri"/>
          <w:szCs w:val="24"/>
        </w:rPr>
        <w:t xml:space="preserve">cabe observar que a manifestação da Secretaria da Fazenda (fls. 08/11) </w:t>
      </w:r>
      <w:r>
        <w:rPr>
          <w:rFonts w:ascii="Calibri" w:eastAsia="Calibri" w:hAnsi="Calibri" w:cs="Calibri"/>
          <w:szCs w:val="24"/>
        </w:rPr>
        <w:t>limita-se a apontar</w:t>
      </w:r>
      <w:r w:rsidR="00B57CC9">
        <w:rPr>
          <w:rFonts w:ascii="Calibri" w:eastAsia="Calibri" w:hAnsi="Calibri" w:cs="Calibri"/>
          <w:szCs w:val="24"/>
        </w:rPr>
        <w:t xml:space="preserve"> supostos impedimentos de ordem técnica.</w:t>
      </w:r>
    </w:p>
    <w:p w:rsidR="00723344" w:rsidRPr="00695AEB" w:rsidP="008C045D">
      <w:pPr>
        <w:spacing w:after="12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695AEB">
        <w:rPr>
          <w:rFonts w:ascii="Calibri" w:eastAsia="Calibri" w:hAnsi="Calibri" w:cs="Calibri"/>
          <w:szCs w:val="24"/>
        </w:rPr>
        <w:t xml:space="preserve">Ante todo o </w:t>
      </w:r>
      <w:r w:rsidRPr="00695AEB">
        <w:rPr>
          <w:rFonts w:ascii="Calibri" w:eastAsia="Calibri" w:hAnsi="Calibri" w:cs="Calibri"/>
          <w:szCs w:val="24"/>
        </w:rPr>
        <w:t xml:space="preserve">exposto, </w:t>
      </w:r>
      <w:r w:rsidRPr="00695AEB" w:rsidR="00B91E9A">
        <w:rPr>
          <w:rFonts w:ascii="Calibri" w:eastAsia="Calibri" w:hAnsi="Calibri" w:cs="Calibri"/>
          <w:szCs w:val="24"/>
        </w:rPr>
        <w:t>s.m.j.</w:t>
      </w:r>
      <w:r w:rsidRPr="00695AEB" w:rsidR="0024796D">
        <w:rPr>
          <w:rFonts w:ascii="Calibri" w:eastAsia="Calibri" w:hAnsi="Calibri" w:cs="Calibri"/>
          <w:szCs w:val="24"/>
        </w:rPr>
        <w:t>,</w:t>
      </w:r>
      <w:r w:rsidRPr="00695AEB" w:rsidR="00A81753">
        <w:rPr>
          <w:rFonts w:ascii="Calibri" w:eastAsia="Calibri" w:hAnsi="Calibri" w:cs="Calibri"/>
          <w:szCs w:val="24"/>
        </w:rPr>
        <w:t xml:space="preserve"> </w:t>
      </w:r>
      <w:r w:rsidRPr="00695AEB">
        <w:rPr>
          <w:rFonts w:ascii="Calibri" w:eastAsia="Calibri" w:hAnsi="Calibri" w:cs="Calibri"/>
          <w:szCs w:val="24"/>
        </w:rPr>
        <w:t>quanto à alegada inconstitucionalidade</w:t>
      </w:r>
      <w:r w:rsidRPr="00695AEB" w:rsidR="00695AEB">
        <w:rPr>
          <w:rFonts w:ascii="Calibri" w:eastAsia="Calibri" w:hAnsi="Calibri" w:cs="Calibri"/>
          <w:szCs w:val="24"/>
        </w:rPr>
        <w:t xml:space="preserve"> </w:t>
      </w:r>
      <w:r w:rsidR="00B57CC9">
        <w:rPr>
          <w:rFonts w:ascii="Calibri" w:eastAsia="Calibri" w:hAnsi="Calibri" w:cs="Calibri"/>
          <w:szCs w:val="24"/>
        </w:rPr>
        <w:t>e</w:t>
      </w:r>
      <w:r w:rsidRPr="00695AEB" w:rsidR="00695AEB">
        <w:rPr>
          <w:rFonts w:ascii="Calibri" w:eastAsia="Calibri" w:hAnsi="Calibri" w:cs="Calibri"/>
          <w:szCs w:val="24"/>
        </w:rPr>
        <w:t xml:space="preserve"> ilegalidade</w:t>
      </w:r>
      <w:r w:rsidRPr="00695AEB">
        <w:rPr>
          <w:rFonts w:ascii="Calibri" w:eastAsia="Calibri" w:hAnsi="Calibri" w:cs="Calibri"/>
          <w:szCs w:val="24"/>
        </w:rPr>
        <w:t xml:space="preserve"> pedimos vênia para divergir dos argumentos apresentados</w:t>
      </w:r>
      <w:r w:rsidRPr="00695AEB" w:rsidR="00695AEB">
        <w:rPr>
          <w:rFonts w:ascii="Calibri" w:eastAsia="Calibri" w:hAnsi="Calibri" w:cs="Calibri"/>
          <w:szCs w:val="24"/>
        </w:rPr>
        <w:t>.</w:t>
      </w:r>
      <w:r w:rsidRPr="00695AEB" w:rsidR="00A81753">
        <w:rPr>
          <w:rFonts w:ascii="Calibri" w:eastAsia="Calibri" w:hAnsi="Calibri" w:cs="Calibri"/>
          <w:szCs w:val="24"/>
        </w:rPr>
        <w:t xml:space="preserve"> </w:t>
      </w:r>
      <w:r w:rsidRPr="00695AEB">
        <w:rPr>
          <w:rFonts w:ascii="Calibri" w:eastAsia="Calibri" w:hAnsi="Calibri" w:cs="Calibri"/>
          <w:szCs w:val="24"/>
        </w:rPr>
        <w:t xml:space="preserve">Sobre o mérito a análise </w:t>
      </w:r>
      <w:r w:rsidRPr="00695AEB" w:rsidR="00F176D6">
        <w:rPr>
          <w:rFonts w:ascii="Calibri" w:eastAsia="Calibri" w:hAnsi="Calibri" w:cs="Calibri"/>
          <w:szCs w:val="24"/>
        </w:rPr>
        <w:t>compete soberanamente ao Plenário</w:t>
      </w:r>
      <w:r w:rsidRPr="00695AEB">
        <w:rPr>
          <w:rFonts w:ascii="Calibri" w:eastAsia="Calibri" w:hAnsi="Calibri" w:cs="Calibri"/>
          <w:szCs w:val="24"/>
        </w:rPr>
        <w:t>, nos termos do art. 54</w:t>
      </w:r>
      <w:r w:rsidRPr="00695AEB" w:rsidR="00CD5C4D">
        <w:rPr>
          <w:rFonts w:ascii="Calibri" w:eastAsia="Calibri" w:hAnsi="Calibri" w:cs="Calibri"/>
          <w:szCs w:val="24"/>
        </w:rPr>
        <w:t>,</w:t>
      </w:r>
      <w:r w:rsidRPr="00695AEB">
        <w:rPr>
          <w:rFonts w:ascii="Calibri" w:eastAsia="Calibri" w:hAnsi="Calibri" w:cs="Calibri"/>
          <w:szCs w:val="24"/>
        </w:rPr>
        <w:t xml:space="preserve"> </w:t>
      </w:r>
      <w:r w:rsidRPr="00695AEB" w:rsidR="00F861B6">
        <w:rPr>
          <w:rFonts w:ascii="Calibri" w:eastAsia="Calibri" w:hAnsi="Calibri" w:cs="Calibri"/>
          <w:szCs w:val="24"/>
        </w:rPr>
        <w:t xml:space="preserve">§3º, </w:t>
      </w:r>
      <w:r w:rsidRPr="00695AEB">
        <w:rPr>
          <w:rFonts w:ascii="Calibri" w:eastAsia="Calibri" w:hAnsi="Calibri" w:cs="Calibri"/>
          <w:szCs w:val="24"/>
        </w:rPr>
        <w:t>da Lei Orgânica do Município de Valinhos.</w:t>
      </w:r>
    </w:p>
    <w:p w:rsidR="00723344" w:rsidRPr="00E6754B" w:rsidP="008C045D">
      <w:pPr>
        <w:spacing w:after="120" w:line="360" w:lineRule="auto"/>
        <w:ind w:firstLine="1701"/>
        <w:jc w:val="both"/>
        <w:rPr>
          <w:rFonts w:asciiTheme="minorHAnsi" w:hAnsiTheme="minorHAnsi" w:cstheme="minorHAnsi"/>
        </w:rPr>
      </w:pPr>
      <w:r w:rsidRPr="00E6754B">
        <w:rPr>
          <w:rFonts w:asciiTheme="minorHAnsi" w:hAnsiTheme="minorHAnsi" w:cstheme="minorHAnsi"/>
        </w:rPr>
        <w:t>É o parecer, a superior consideração.</w:t>
      </w:r>
    </w:p>
    <w:p w:rsidR="00834F2B" w:rsidRPr="00E6754B" w:rsidP="008C045D">
      <w:pPr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E6754B">
        <w:rPr>
          <w:rFonts w:asciiTheme="minorHAnsi" w:hAnsiTheme="minorHAnsi" w:cstheme="minorHAnsi"/>
        </w:rPr>
        <w:t>Procuradoria</w:t>
      </w:r>
      <w:r w:rsidRPr="00E6754B" w:rsidR="003B02E8">
        <w:rPr>
          <w:rFonts w:asciiTheme="minorHAnsi" w:hAnsiTheme="minorHAnsi" w:cstheme="minorHAnsi"/>
        </w:rPr>
        <w:t>,</w:t>
      </w:r>
      <w:r w:rsidRPr="00E6754B">
        <w:rPr>
          <w:rFonts w:asciiTheme="minorHAnsi" w:hAnsiTheme="minorHAnsi" w:cstheme="minorHAnsi"/>
        </w:rPr>
        <w:t xml:space="preserve"> </w:t>
      </w:r>
      <w:r w:rsidR="008A0B89">
        <w:rPr>
          <w:rFonts w:asciiTheme="minorHAnsi" w:hAnsiTheme="minorHAnsi" w:cstheme="minorHAnsi"/>
        </w:rPr>
        <w:t>0</w:t>
      </w:r>
      <w:r w:rsidR="006F1468">
        <w:rPr>
          <w:rFonts w:asciiTheme="minorHAnsi" w:hAnsiTheme="minorHAnsi" w:cstheme="minorHAnsi"/>
        </w:rPr>
        <w:t>8</w:t>
      </w:r>
      <w:r w:rsidRPr="00E6754B" w:rsidR="00C34111">
        <w:rPr>
          <w:rFonts w:asciiTheme="minorHAnsi" w:hAnsiTheme="minorHAnsi" w:cstheme="minorHAnsi"/>
        </w:rPr>
        <w:t xml:space="preserve"> de</w:t>
      </w:r>
      <w:r w:rsidRPr="00E6754B" w:rsidR="0006611C">
        <w:rPr>
          <w:rFonts w:asciiTheme="minorHAnsi" w:hAnsiTheme="minorHAnsi" w:cstheme="minorHAnsi"/>
        </w:rPr>
        <w:t xml:space="preserve"> </w:t>
      </w:r>
      <w:r w:rsidR="008A0B89">
        <w:rPr>
          <w:rFonts w:asciiTheme="minorHAnsi" w:hAnsiTheme="minorHAnsi" w:cstheme="minorHAnsi"/>
        </w:rPr>
        <w:t>agosto</w:t>
      </w:r>
      <w:r w:rsidRPr="00E6754B" w:rsidR="003B02E8">
        <w:rPr>
          <w:rFonts w:asciiTheme="minorHAnsi" w:hAnsiTheme="minorHAnsi" w:cstheme="minorHAnsi"/>
        </w:rPr>
        <w:t xml:space="preserve"> de 202</w:t>
      </w:r>
      <w:r w:rsidR="00A61D6E">
        <w:rPr>
          <w:rFonts w:asciiTheme="minorHAnsi" w:hAnsiTheme="minorHAnsi" w:cstheme="minorHAnsi"/>
        </w:rPr>
        <w:t>4</w:t>
      </w:r>
      <w:r w:rsidRPr="00E6754B">
        <w:rPr>
          <w:rFonts w:asciiTheme="minorHAnsi" w:hAnsiTheme="minorHAnsi" w:cstheme="minorHAnsi"/>
        </w:rPr>
        <w:t>.</w:t>
      </w:r>
    </w:p>
    <w:p w:rsidR="00B45471" w:rsidP="00A33C51">
      <w:pPr>
        <w:pStyle w:val="BodyText"/>
        <w:spacing w:before="240" w:after="240" w:line="240" w:lineRule="auto"/>
        <w:rPr>
          <w:rFonts w:asciiTheme="minorHAnsi" w:hAnsiTheme="minorHAnsi" w:cstheme="minorHAnsi"/>
          <w:color w:val="FF0000"/>
          <w:szCs w:val="24"/>
        </w:rPr>
      </w:pPr>
    </w:p>
    <w:p w:rsidR="00A81753" w:rsidRPr="00CD4AD0" w:rsidP="00A33C51">
      <w:pPr>
        <w:pStyle w:val="BodyText"/>
        <w:spacing w:before="240" w:after="240" w:line="240" w:lineRule="auto"/>
        <w:rPr>
          <w:rFonts w:asciiTheme="minorHAnsi" w:hAnsiTheme="minorHAnsi" w:cstheme="minorHAnsi"/>
          <w:color w:val="FF0000"/>
          <w:szCs w:val="24"/>
        </w:rPr>
        <w:sectPr w:rsidSect="00453F54">
          <w:headerReference w:type="default" r:id="rId7"/>
          <w:footerReference w:type="default" r:id="rId8"/>
          <w:type w:val="continuous"/>
          <w:pgSz w:w="11906" w:h="16838"/>
          <w:pgMar w:top="2522" w:right="1701" w:bottom="1418" w:left="1701" w:header="709" w:footer="658" w:gutter="0"/>
          <w:cols w:space="708"/>
          <w:docGrid w:linePitch="360"/>
        </w:sectPr>
      </w:pPr>
    </w:p>
    <w:p w:rsidR="007D2C08" w:rsidP="007D2C08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7D2C08" w:rsidRPr="00E85A3F" w:rsidP="007D2C08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85A3F">
        <w:rPr>
          <w:rFonts w:asciiTheme="minorHAnsi" w:hAnsiTheme="minorHAnsi" w:cstheme="minorHAnsi"/>
          <w:b/>
          <w:szCs w:val="24"/>
        </w:rPr>
        <w:t>Rosemeire de Souza Cardoso Barbosa</w:t>
      </w:r>
    </w:p>
    <w:p w:rsidR="007D2C08" w:rsidRPr="00E85A3F" w:rsidP="007D2C08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85A3F">
        <w:rPr>
          <w:rFonts w:asciiTheme="minorHAnsi" w:hAnsiTheme="minorHAnsi" w:cstheme="minorHAnsi"/>
          <w:b/>
          <w:szCs w:val="24"/>
        </w:rPr>
        <w:t>Procuradora - OAB/SP 308.298</w:t>
      </w:r>
    </w:p>
    <w:p w:rsidR="007D2C08" w:rsidRPr="00737702" w:rsidP="007D2C08">
      <w:pPr>
        <w:pStyle w:val="BodyText"/>
        <w:spacing w:after="0" w:line="240" w:lineRule="auto"/>
        <w:jc w:val="center"/>
      </w:pPr>
      <w:r w:rsidRPr="00E85A3F">
        <w:rPr>
          <w:rFonts w:asciiTheme="minorHAnsi" w:hAnsiTheme="minorHAnsi" w:cstheme="minorHAnsi"/>
          <w:szCs w:val="24"/>
        </w:rPr>
        <w:t>Assinado digitalmente</w:t>
      </w:r>
    </w:p>
    <w:p w:rsidR="00204E47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color w:val="FF0000"/>
          <w:szCs w:val="24"/>
        </w:rPr>
        <w:sectPr w:rsidSect="00453F54">
          <w:headerReference w:type="default" r:id="rId9"/>
          <w:footerReference w:type="default" r:id="rId10"/>
          <w:type w:val="continuous"/>
          <w:pgSz w:w="11906" w:h="16838"/>
          <w:pgMar w:top="3062" w:right="1701" w:bottom="1418" w:left="1701" w:header="709" w:footer="658" w:gutter="0"/>
          <w:cols w:space="708"/>
          <w:docGrid w:linePitch="360"/>
        </w:sectPr>
      </w:pPr>
    </w:p>
    <w:p w:rsidR="0098412F" w:rsidRPr="00CD4AD0" w:rsidP="00453F54">
      <w:pPr>
        <w:pStyle w:val="BodyText"/>
        <w:spacing w:after="0" w:line="240" w:lineRule="auto"/>
        <w:ind w:left="1429"/>
        <w:rPr>
          <w:rFonts w:asciiTheme="minorHAnsi" w:hAnsiTheme="minorHAnsi" w:cstheme="minorHAnsi"/>
          <w:b/>
          <w:color w:val="FF0000"/>
          <w:szCs w:val="24"/>
        </w:rPr>
      </w:pPr>
    </w:p>
    <w:sectPr w:rsidSect="00453F54">
      <w:type w:val="continuous"/>
      <w:pgSz w:w="11906" w:h="16838"/>
      <w:pgMar w:top="3062" w:right="1701" w:bottom="1418" w:left="1701" w:header="709" w:footer="6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F54" w:rsidP="00453F54">
    <w:pPr>
      <w:pStyle w:val="Footer"/>
      <w:jc w:val="right"/>
    </w:pPr>
  </w:p>
  <w:sdt>
    <w:sdtPr>
      <w:id w:val="-1194074369"/>
      <w:docPartObj>
        <w:docPartGallery w:val="Page Numbers (Bottom of Page)"/>
        <w:docPartUnique/>
      </w:docPartObj>
    </w:sdtPr>
    <w:sdtContent>
      <w:sdt>
        <w:sdtPr>
          <w:id w:val="1093822867"/>
          <w:docPartObj>
            <w:docPartGallery w:val="Page Numbers (Top of Page)"/>
            <w:docPartUnique/>
          </w:docPartObj>
        </w:sdtPr>
        <w:sdtContent>
          <w:p w:rsidR="00453F54" w:rsidP="00453F54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53F54" w:rsidP="00453F54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</w:sdtContent>
      </w:sdt>
    </w:sdtContent>
  </w:sdt>
  <w:p w:rsidR="00E615D5" w:rsidP="00453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3F5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o 15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 xmlns:wps="http://schemas.microsoft.com/office/word/2010/wordprocessingShape"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Endereço"/>
                              <w:id w:val="840356355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453F54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[Digite o endereço da empresa]</w:t>
                                </w:r>
                              </w:p>
                            </w:sdtContent>
                          </w:sdt>
                          <w:p w:rsidR="00453F54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F54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Página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Pr="000829C1" w:rsidR="000829C1">
                              <w:rPr>
                                <w:noProof/>
                                <w:color w:val="FFFFFF" w:themeColor="background1"/>
                              </w:rPr>
                              <w:t>12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2053" style="width:580.05pt;height:27.35pt;margin-top:0;margin-left:0;mso-position-horizontal:center;mso-position-horizontal-relative:page;mso-position-vertical:top;mso-position-vertical-relative:line;position:absolute;z-index:251663360" coordorigin="321,14850" coordsize="11601,547">
              <v:rect id="Rectangle 157" o:spid="_x0000_s2054" style="width:9346;height:432;left:374;mso-wrap-style:square;position:absolute;top:14903;visibility:visible;v-text-anchor:top" fillcolor="#943634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Endereço"/>
                        <w:id w:val="1855839579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:rsidR="00453F5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[Digite o endereço da empresa]</w:t>
                          </w:r>
                        </w:p>
                      </w:sdtContent>
                    </w:sdt>
                    <w:p w:rsidR="00453F54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2055" style="width:2102;height:432;left:9763;mso-wrap-style:square;position:absolute;top:14903;visibility:visible;v-text-anchor:top" fillcolor="#943634" stroked="f">
                <v:textbox>
                  <w:txbxContent>
                    <w:p w:rsidR="00453F54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Página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Pr="000829C1" w:rsidR="000829C1">
                        <w:rPr>
                          <w:noProof/>
                          <w:color w:val="FFFFFF" w:themeColor="background1"/>
                        </w:rPr>
                        <w:t>12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2056" style="width:11601;height:547;left:321;mso-wrap-style:square;position:absolute;top:14850;visibility:visible;v-text-anchor:top" filled="f"/>
              <w10:wrap type="topAndBottom"/>
            </v:group>
          </w:pict>
        </mc:Fallback>
      </mc:AlternateContent>
    </w:r>
  </w:p>
  <w:p w:rsidR="00E615D5" w:rsidP="00FC39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30B47">
      <w:pPr>
        <w:spacing w:after="0" w:line="240" w:lineRule="auto"/>
      </w:pPr>
      <w:r>
        <w:separator/>
      </w:r>
    </w:p>
  </w:footnote>
  <w:footnote w:type="continuationSeparator" w:id="1">
    <w:p w:rsidR="00930B47">
      <w:pPr>
        <w:spacing w:after="0" w:line="240" w:lineRule="auto"/>
      </w:pPr>
      <w:r>
        <w:continuationSeparator/>
      </w:r>
    </w:p>
  </w:footnote>
  <w:footnote w:id="2">
    <w:p w:rsidR="00021981" w:rsidP="00021981">
      <w:pPr>
        <w:pStyle w:val="Default"/>
        <w:jc w:val="both"/>
      </w:pPr>
      <w:r w:rsidRPr="00021981">
        <w:rPr>
          <w:rStyle w:val="FootnoteReference"/>
          <w:rFonts w:asciiTheme="minorHAnsi" w:hAnsiTheme="minorHAnsi"/>
          <w:i/>
          <w:sz w:val="20"/>
          <w:szCs w:val="20"/>
        </w:rPr>
        <w:footnoteRef/>
      </w:r>
      <w:r w:rsidRPr="00021981">
        <w:rPr>
          <w:rFonts w:asciiTheme="minorHAnsi" w:hAnsiTheme="minorHAnsi"/>
          <w:i/>
          <w:sz w:val="20"/>
          <w:szCs w:val="20"/>
        </w:rPr>
        <w:t xml:space="preserve"> 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 xml:space="preserve">Nesse sentido é o entendimento do C.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5D5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5D5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83713461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086582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E615D5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3" name="Imagem 13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467387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E615D5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E615D5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E615D5" w:rsidP="00984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5D5" w:rsidP="00885CB6">
    <w:pPr>
      <w:pStyle w:val="Header"/>
      <w:jc w:val="center"/>
      <w:rPr>
        <w:b/>
        <w:sz w:val="26"/>
        <w:lang w:val="pt-PT"/>
      </w:rPr>
    </w:pPr>
  </w:p>
  <w:p w:rsidR="00E615D5" w:rsidP="00885CB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5D5" w:rsidP="00885C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48311683" name="Imagem 14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800244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2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2" DrawAspect="Content" ObjectID="_178461637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E615D5" w:rsidP="00885CB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4" name="Imagem 14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321170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1" type="#_x0000_t75" style="width:69pt;height:68.25pt" o:oleicon="f" o:ole="">
                        <v:imagedata r:id="rId2" o:title=""/>
                      </v:shape>
                      <o:OLEObject Type="Embed" ProgID="MSPhotoEd.3" ShapeID="_x0000_i2051" DrawAspect="Content" ObjectID="_1784554991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E615D5" w:rsidP="00885CB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E615D5" w:rsidP="00885CB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CC1C63"/>
    <w:multiLevelType w:val="hybridMultilevel"/>
    <w:tmpl w:val="00DC516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A6911"/>
    <w:multiLevelType w:val="hybridMultilevel"/>
    <w:tmpl w:val="14D20D2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556C7"/>
    <w:multiLevelType w:val="hybridMultilevel"/>
    <w:tmpl w:val="CD586792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161D5"/>
    <w:rsid w:val="0001758C"/>
    <w:rsid w:val="00021981"/>
    <w:rsid w:val="00031E27"/>
    <w:rsid w:val="00057F68"/>
    <w:rsid w:val="00060CA0"/>
    <w:rsid w:val="00064F0D"/>
    <w:rsid w:val="0006611C"/>
    <w:rsid w:val="00072745"/>
    <w:rsid w:val="000829C1"/>
    <w:rsid w:val="00087763"/>
    <w:rsid w:val="00094FC8"/>
    <w:rsid w:val="000A7037"/>
    <w:rsid w:val="000B4ADE"/>
    <w:rsid w:val="000C08B8"/>
    <w:rsid w:val="000C1D38"/>
    <w:rsid w:val="000C36F7"/>
    <w:rsid w:val="000C3EF3"/>
    <w:rsid w:val="000C5FC0"/>
    <w:rsid w:val="000E086D"/>
    <w:rsid w:val="000F33CA"/>
    <w:rsid w:val="0011307F"/>
    <w:rsid w:val="00113C1E"/>
    <w:rsid w:val="00117687"/>
    <w:rsid w:val="00121A24"/>
    <w:rsid w:val="0012614D"/>
    <w:rsid w:val="0012667D"/>
    <w:rsid w:val="0013060F"/>
    <w:rsid w:val="00132824"/>
    <w:rsid w:val="00141BA0"/>
    <w:rsid w:val="00141F86"/>
    <w:rsid w:val="001420FA"/>
    <w:rsid w:val="0014270F"/>
    <w:rsid w:val="001466B7"/>
    <w:rsid w:val="00146CE5"/>
    <w:rsid w:val="00152692"/>
    <w:rsid w:val="00173415"/>
    <w:rsid w:val="00174657"/>
    <w:rsid w:val="00174DDA"/>
    <w:rsid w:val="0018578B"/>
    <w:rsid w:val="001B51E9"/>
    <w:rsid w:val="001B598E"/>
    <w:rsid w:val="001C3CC3"/>
    <w:rsid w:val="001E3272"/>
    <w:rsid w:val="001F4F2E"/>
    <w:rsid w:val="00204E47"/>
    <w:rsid w:val="00223178"/>
    <w:rsid w:val="0022477A"/>
    <w:rsid w:val="002268B5"/>
    <w:rsid w:val="002324DA"/>
    <w:rsid w:val="002433C5"/>
    <w:rsid w:val="0024796D"/>
    <w:rsid w:val="00252ADC"/>
    <w:rsid w:val="00261689"/>
    <w:rsid w:val="0026654A"/>
    <w:rsid w:val="00267382"/>
    <w:rsid w:val="00286092"/>
    <w:rsid w:val="00287DF9"/>
    <w:rsid w:val="002907F1"/>
    <w:rsid w:val="002935E9"/>
    <w:rsid w:val="002B15C8"/>
    <w:rsid w:val="002B1985"/>
    <w:rsid w:val="002B4295"/>
    <w:rsid w:val="002C2449"/>
    <w:rsid w:val="002C514C"/>
    <w:rsid w:val="002C7E9A"/>
    <w:rsid w:val="002D0737"/>
    <w:rsid w:val="002D399B"/>
    <w:rsid w:val="002E0808"/>
    <w:rsid w:val="002E0E58"/>
    <w:rsid w:val="002E5E66"/>
    <w:rsid w:val="002F31F1"/>
    <w:rsid w:val="002F6340"/>
    <w:rsid w:val="00304A13"/>
    <w:rsid w:val="00304D47"/>
    <w:rsid w:val="00311860"/>
    <w:rsid w:val="00315E38"/>
    <w:rsid w:val="003238D6"/>
    <w:rsid w:val="00324DAA"/>
    <w:rsid w:val="003269C2"/>
    <w:rsid w:val="00326C05"/>
    <w:rsid w:val="003306D1"/>
    <w:rsid w:val="0033090B"/>
    <w:rsid w:val="00342462"/>
    <w:rsid w:val="0034451E"/>
    <w:rsid w:val="00355E00"/>
    <w:rsid w:val="0036016D"/>
    <w:rsid w:val="00363CDF"/>
    <w:rsid w:val="00365F07"/>
    <w:rsid w:val="003717F0"/>
    <w:rsid w:val="0038135B"/>
    <w:rsid w:val="003A2C23"/>
    <w:rsid w:val="003B02E8"/>
    <w:rsid w:val="003B0AE0"/>
    <w:rsid w:val="003C02A2"/>
    <w:rsid w:val="003C2EAD"/>
    <w:rsid w:val="003D0BDE"/>
    <w:rsid w:val="003D27F3"/>
    <w:rsid w:val="003D329B"/>
    <w:rsid w:val="003D3DD2"/>
    <w:rsid w:val="003E0849"/>
    <w:rsid w:val="003E68E7"/>
    <w:rsid w:val="003F4485"/>
    <w:rsid w:val="003F5D28"/>
    <w:rsid w:val="00402E15"/>
    <w:rsid w:val="00406876"/>
    <w:rsid w:val="00412E7C"/>
    <w:rsid w:val="00421304"/>
    <w:rsid w:val="00442AE0"/>
    <w:rsid w:val="00445AFC"/>
    <w:rsid w:val="00450D7D"/>
    <w:rsid w:val="00453F54"/>
    <w:rsid w:val="00455EE3"/>
    <w:rsid w:val="0047188A"/>
    <w:rsid w:val="00483A4D"/>
    <w:rsid w:val="00484EF7"/>
    <w:rsid w:val="00487B12"/>
    <w:rsid w:val="004910BD"/>
    <w:rsid w:val="00494E9F"/>
    <w:rsid w:val="00497A57"/>
    <w:rsid w:val="004A00BE"/>
    <w:rsid w:val="004A1DBC"/>
    <w:rsid w:val="004A39AA"/>
    <w:rsid w:val="004A3ECF"/>
    <w:rsid w:val="004A5BD7"/>
    <w:rsid w:val="004A76A4"/>
    <w:rsid w:val="004B170A"/>
    <w:rsid w:val="004B1CA3"/>
    <w:rsid w:val="004C1F6D"/>
    <w:rsid w:val="004D3AA4"/>
    <w:rsid w:val="004E1F69"/>
    <w:rsid w:val="004F1E85"/>
    <w:rsid w:val="004F2F14"/>
    <w:rsid w:val="004F43EB"/>
    <w:rsid w:val="004F59F2"/>
    <w:rsid w:val="005059D6"/>
    <w:rsid w:val="00515A76"/>
    <w:rsid w:val="00516A25"/>
    <w:rsid w:val="00521E8D"/>
    <w:rsid w:val="00526E32"/>
    <w:rsid w:val="00526FB6"/>
    <w:rsid w:val="00527AA6"/>
    <w:rsid w:val="005344B9"/>
    <w:rsid w:val="00541851"/>
    <w:rsid w:val="005443F5"/>
    <w:rsid w:val="00546E3D"/>
    <w:rsid w:val="00553328"/>
    <w:rsid w:val="0058201A"/>
    <w:rsid w:val="00592C62"/>
    <w:rsid w:val="005B5B3A"/>
    <w:rsid w:val="005C5E63"/>
    <w:rsid w:val="005C61FE"/>
    <w:rsid w:val="005D29D6"/>
    <w:rsid w:val="005D2AEA"/>
    <w:rsid w:val="005D5BA6"/>
    <w:rsid w:val="005E0943"/>
    <w:rsid w:val="005E0CC1"/>
    <w:rsid w:val="005E1C42"/>
    <w:rsid w:val="005E6F3B"/>
    <w:rsid w:val="005F28BA"/>
    <w:rsid w:val="00600907"/>
    <w:rsid w:val="00605D93"/>
    <w:rsid w:val="00620FEF"/>
    <w:rsid w:val="0062714B"/>
    <w:rsid w:val="0063337D"/>
    <w:rsid w:val="00633897"/>
    <w:rsid w:val="00636BBC"/>
    <w:rsid w:val="00654625"/>
    <w:rsid w:val="00662FC7"/>
    <w:rsid w:val="0066513F"/>
    <w:rsid w:val="00681CB0"/>
    <w:rsid w:val="00683121"/>
    <w:rsid w:val="00684901"/>
    <w:rsid w:val="006904B3"/>
    <w:rsid w:val="00695AEB"/>
    <w:rsid w:val="00695BAF"/>
    <w:rsid w:val="00696105"/>
    <w:rsid w:val="006A4CBA"/>
    <w:rsid w:val="006A7893"/>
    <w:rsid w:val="006B19C9"/>
    <w:rsid w:val="006B4704"/>
    <w:rsid w:val="006B7254"/>
    <w:rsid w:val="006C1ABF"/>
    <w:rsid w:val="006C37F5"/>
    <w:rsid w:val="006D10C0"/>
    <w:rsid w:val="006D5311"/>
    <w:rsid w:val="006D7024"/>
    <w:rsid w:val="006E59A6"/>
    <w:rsid w:val="006E71F6"/>
    <w:rsid w:val="006F1468"/>
    <w:rsid w:val="006F3F2C"/>
    <w:rsid w:val="006F674F"/>
    <w:rsid w:val="00700CDC"/>
    <w:rsid w:val="007042A1"/>
    <w:rsid w:val="007125D7"/>
    <w:rsid w:val="0071591A"/>
    <w:rsid w:val="00721E78"/>
    <w:rsid w:val="00723344"/>
    <w:rsid w:val="00727664"/>
    <w:rsid w:val="0073661A"/>
    <w:rsid w:val="00737702"/>
    <w:rsid w:val="00745F2C"/>
    <w:rsid w:val="00747C65"/>
    <w:rsid w:val="00750FEA"/>
    <w:rsid w:val="00756002"/>
    <w:rsid w:val="00757B87"/>
    <w:rsid w:val="007627E3"/>
    <w:rsid w:val="00777ACF"/>
    <w:rsid w:val="007949FB"/>
    <w:rsid w:val="00795897"/>
    <w:rsid w:val="00796903"/>
    <w:rsid w:val="007A7435"/>
    <w:rsid w:val="007B2A09"/>
    <w:rsid w:val="007C28D8"/>
    <w:rsid w:val="007C2ECA"/>
    <w:rsid w:val="007C4ABA"/>
    <w:rsid w:val="007C7B45"/>
    <w:rsid w:val="007D2C08"/>
    <w:rsid w:val="007D453B"/>
    <w:rsid w:val="007D5015"/>
    <w:rsid w:val="007D5186"/>
    <w:rsid w:val="007E5326"/>
    <w:rsid w:val="007E5A0C"/>
    <w:rsid w:val="007E6039"/>
    <w:rsid w:val="007F01A5"/>
    <w:rsid w:val="007F4EB5"/>
    <w:rsid w:val="0080519A"/>
    <w:rsid w:val="00805EF5"/>
    <w:rsid w:val="00806D16"/>
    <w:rsid w:val="00814806"/>
    <w:rsid w:val="008152AD"/>
    <w:rsid w:val="00834F2B"/>
    <w:rsid w:val="00836B6B"/>
    <w:rsid w:val="00836FB4"/>
    <w:rsid w:val="00837714"/>
    <w:rsid w:val="00840F4F"/>
    <w:rsid w:val="00844764"/>
    <w:rsid w:val="0084799B"/>
    <w:rsid w:val="00872C12"/>
    <w:rsid w:val="008732C7"/>
    <w:rsid w:val="008831C3"/>
    <w:rsid w:val="008833EF"/>
    <w:rsid w:val="00884663"/>
    <w:rsid w:val="00885CB6"/>
    <w:rsid w:val="008923E9"/>
    <w:rsid w:val="008A0B89"/>
    <w:rsid w:val="008B488E"/>
    <w:rsid w:val="008C03B4"/>
    <w:rsid w:val="008C045D"/>
    <w:rsid w:val="008C1C27"/>
    <w:rsid w:val="008C24D7"/>
    <w:rsid w:val="008C51BE"/>
    <w:rsid w:val="008F29B2"/>
    <w:rsid w:val="0090054E"/>
    <w:rsid w:val="00900653"/>
    <w:rsid w:val="009028B1"/>
    <w:rsid w:val="00903636"/>
    <w:rsid w:val="00910946"/>
    <w:rsid w:val="0091678F"/>
    <w:rsid w:val="00924852"/>
    <w:rsid w:val="00930B47"/>
    <w:rsid w:val="00930C34"/>
    <w:rsid w:val="00935C32"/>
    <w:rsid w:val="009369FB"/>
    <w:rsid w:val="0093777C"/>
    <w:rsid w:val="00946FC6"/>
    <w:rsid w:val="00950AE0"/>
    <w:rsid w:val="00967B88"/>
    <w:rsid w:val="0097203E"/>
    <w:rsid w:val="00982C8F"/>
    <w:rsid w:val="0098412F"/>
    <w:rsid w:val="0098472D"/>
    <w:rsid w:val="009875F0"/>
    <w:rsid w:val="009924D4"/>
    <w:rsid w:val="00996E6A"/>
    <w:rsid w:val="009975F7"/>
    <w:rsid w:val="009977A8"/>
    <w:rsid w:val="009A128E"/>
    <w:rsid w:val="009A35CB"/>
    <w:rsid w:val="009B4CD0"/>
    <w:rsid w:val="009B5F4D"/>
    <w:rsid w:val="009D3BE9"/>
    <w:rsid w:val="009D511B"/>
    <w:rsid w:val="009D550A"/>
    <w:rsid w:val="009D70E6"/>
    <w:rsid w:val="009E3C01"/>
    <w:rsid w:val="009F0B51"/>
    <w:rsid w:val="009F2FB6"/>
    <w:rsid w:val="00A11944"/>
    <w:rsid w:val="00A172F8"/>
    <w:rsid w:val="00A31F50"/>
    <w:rsid w:val="00A33C51"/>
    <w:rsid w:val="00A34C24"/>
    <w:rsid w:val="00A35149"/>
    <w:rsid w:val="00A42263"/>
    <w:rsid w:val="00A554E9"/>
    <w:rsid w:val="00A61D6E"/>
    <w:rsid w:val="00A63ED4"/>
    <w:rsid w:val="00A67E63"/>
    <w:rsid w:val="00A7176E"/>
    <w:rsid w:val="00A71D06"/>
    <w:rsid w:val="00A81753"/>
    <w:rsid w:val="00AA0F4F"/>
    <w:rsid w:val="00AA13F0"/>
    <w:rsid w:val="00AB498A"/>
    <w:rsid w:val="00AC01B0"/>
    <w:rsid w:val="00AC08AA"/>
    <w:rsid w:val="00AC6896"/>
    <w:rsid w:val="00AD05AC"/>
    <w:rsid w:val="00AD740D"/>
    <w:rsid w:val="00AE2C9C"/>
    <w:rsid w:val="00B20A65"/>
    <w:rsid w:val="00B22C55"/>
    <w:rsid w:val="00B267D6"/>
    <w:rsid w:val="00B41D15"/>
    <w:rsid w:val="00B45471"/>
    <w:rsid w:val="00B5646D"/>
    <w:rsid w:val="00B57CC9"/>
    <w:rsid w:val="00B60874"/>
    <w:rsid w:val="00B719B9"/>
    <w:rsid w:val="00B778AA"/>
    <w:rsid w:val="00B83011"/>
    <w:rsid w:val="00B91E9A"/>
    <w:rsid w:val="00B93ED4"/>
    <w:rsid w:val="00B94621"/>
    <w:rsid w:val="00BA1D2D"/>
    <w:rsid w:val="00BA6010"/>
    <w:rsid w:val="00BA65D2"/>
    <w:rsid w:val="00BB0361"/>
    <w:rsid w:val="00BB3B11"/>
    <w:rsid w:val="00BC387A"/>
    <w:rsid w:val="00BF55F6"/>
    <w:rsid w:val="00C0003E"/>
    <w:rsid w:val="00C015F6"/>
    <w:rsid w:val="00C02E72"/>
    <w:rsid w:val="00C14FBC"/>
    <w:rsid w:val="00C24ABB"/>
    <w:rsid w:val="00C267EA"/>
    <w:rsid w:val="00C34111"/>
    <w:rsid w:val="00C46C1C"/>
    <w:rsid w:val="00C551CD"/>
    <w:rsid w:val="00C552BE"/>
    <w:rsid w:val="00C6031B"/>
    <w:rsid w:val="00C61066"/>
    <w:rsid w:val="00C6291C"/>
    <w:rsid w:val="00C62A22"/>
    <w:rsid w:val="00C63602"/>
    <w:rsid w:val="00C66224"/>
    <w:rsid w:val="00C75CD1"/>
    <w:rsid w:val="00C83C7F"/>
    <w:rsid w:val="00C86B57"/>
    <w:rsid w:val="00CA326C"/>
    <w:rsid w:val="00CB2D83"/>
    <w:rsid w:val="00CB369D"/>
    <w:rsid w:val="00CC1312"/>
    <w:rsid w:val="00CC1FE4"/>
    <w:rsid w:val="00CC2608"/>
    <w:rsid w:val="00CD4AD0"/>
    <w:rsid w:val="00CD5C4D"/>
    <w:rsid w:val="00CE0C3C"/>
    <w:rsid w:val="00CE5172"/>
    <w:rsid w:val="00CF7799"/>
    <w:rsid w:val="00CF7C76"/>
    <w:rsid w:val="00D035EF"/>
    <w:rsid w:val="00D03ED4"/>
    <w:rsid w:val="00D05705"/>
    <w:rsid w:val="00D111F9"/>
    <w:rsid w:val="00D14717"/>
    <w:rsid w:val="00D30934"/>
    <w:rsid w:val="00D31E84"/>
    <w:rsid w:val="00D33D7D"/>
    <w:rsid w:val="00D344FF"/>
    <w:rsid w:val="00D37D32"/>
    <w:rsid w:val="00D436E8"/>
    <w:rsid w:val="00D4374D"/>
    <w:rsid w:val="00D6346A"/>
    <w:rsid w:val="00D6448E"/>
    <w:rsid w:val="00D674CF"/>
    <w:rsid w:val="00D72476"/>
    <w:rsid w:val="00D74BBF"/>
    <w:rsid w:val="00D77AD3"/>
    <w:rsid w:val="00D81E3F"/>
    <w:rsid w:val="00D822CC"/>
    <w:rsid w:val="00D84C58"/>
    <w:rsid w:val="00D93D41"/>
    <w:rsid w:val="00D957AB"/>
    <w:rsid w:val="00DA1655"/>
    <w:rsid w:val="00DA4495"/>
    <w:rsid w:val="00DA485E"/>
    <w:rsid w:val="00DB2D3E"/>
    <w:rsid w:val="00DB5EB0"/>
    <w:rsid w:val="00DC330C"/>
    <w:rsid w:val="00DD4EC2"/>
    <w:rsid w:val="00DE36CE"/>
    <w:rsid w:val="00DE5290"/>
    <w:rsid w:val="00DF4BF9"/>
    <w:rsid w:val="00DF576F"/>
    <w:rsid w:val="00E009A9"/>
    <w:rsid w:val="00E02FEF"/>
    <w:rsid w:val="00E11727"/>
    <w:rsid w:val="00E12919"/>
    <w:rsid w:val="00E20AD6"/>
    <w:rsid w:val="00E307C3"/>
    <w:rsid w:val="00E41EE1"/>
    <w:rsid w:val="00E60FD0"/>
    <w:rsid w:val="00E615D5"/>
    <w:rsid w:val="00E64E8F"/>
    <w:rsid w:val="00E654B2"/>
    <w:rsid w:val="00E65F4B"/>
    <w:rsid w:val="00E661C5"/>
    <w:rsid w:val="00E6754B"/>
    <w:rsid w:val="00E67B0A"/>
    <w:rsid w:val="00E7515C"/>
    <w:rsid w:val="00E7612F"/>
    <w:rsid w:val="00E80FFF"/>
    <w:rsid w:val="00E85A3F"/>
    <w:rsid w:val="00E9216A"/>
    <w:rsid w:val="00E934DB"/>
    <w:rsid w:val="00EA0F15"/>
    <w:rsid w:val="00EA1DB6"/>
    <w:rsid w:val="00EB315E"/>
    <w:rsid w:val="00ED1E87"/>
    <w:rsid w:val="00ED612E"/>
    <w:rsid w:val="00ED6182"/>
    <w:rsid w:val="00EF2C75"/>
    <w:rsid w:val="00EF4078"/>
    <w:rsid w:val="00EF6371"/>
    <w:rsid w:val="00EF6534"/>
    <w:rsid w:val="00EF68B4"/>
    <w:rsid w:val="00F0163A"/>
    <w:rsid w:val="00F14F5D"/>
    <w:rsid w:val="00F163AB"/>
    <w:rsid w:val="00F165BC"/>
    <w:rsid w:val="00F176D6"/>
    <w:rsid w:val="00F22283"/>
    <w:rsid w:val="00F22CE9"/>
    <w:rsid w:val="00F25374"/>
    <w:rsid w:val="00F27B5E"/>
    <w:rsid w:val="00F34BF6"/>
    <w:rsid w:val="00F4065A"/>
    <w:rsid w:val="00F43DDE"/>
    <w:rsid w:val="00F43E47"/>
    <w:rsid w:val="00F44A22"/>
    <w:rsid w:val="00F53BEF"/>
    <w:rsid w:val="00F752F1"/>
    <w:rsid w:val="00F82AEB"/>
    <w:rsid w:val="00F861B6"/>
    <w:rsid w:val="00F8645F"/>
    <w:rsid w:val="00F878A6"/>
    <w:rsid w:val="00F94A2F"/>
    <w:rsid w:val="00FA1B00"/>
    <w:rsid w:val="00FC3987"/>
    <w:rsid w:val="00FC6AF1"/>
    <w:rsid w:val="00FD38DB"/>
    <w:rsid w:val="00FE4CC5"/>
    <w:rsid w:val="00FF614D"/>
    <w:rsid w:val="00FF7E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3090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33090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30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07B25D-6213-403C-898D-7335A86A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2180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12</cp:revision>
  <cp:lastPrinted>2021-12-03T16:31:00Z</cp:lastPrinted>
  <dcterms:created xsi:type="dcterms:W3CDTF">2024-08-07T16:13:00Z</dcterms:created>
  <dcterms:modified xsi:type="dcterms:W3CDTF">2024-08-08T13:00:00Z</dcterms:modified>
</cp:coreProperties>
</file>