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C14149" w:rsidRPr="003B5E71" w:rsidP="00DF4D61">
      <w:pPr>
        <w:pStyle w:val="Default"/>
        <w:jc w:val="both"/>
        <w:rPr>
          <w:rFonts w:eastAsia="Times New Roman" w:asciiTheme="minorHAnsi" w:hAnsiTheme="minorHAnsi" w:cstheme="minorHAnsi"/>
          <w:color w:val="auto"/>
          <w:szCs w:val="20"/>
        </w:rPr>
      </w:pPr>
      <w:r w:rsidRPr="003B5E71">
        <w:rPr>
          <w:rFonts w:asciiTheme="minorHAnsi" w:hAnsiTheme="minorHAnsi" w:cstheme="minorHAnsi"/>
          <w:b/>
          <w:color w:val="auto"/>
        </w:rPr>
        <w:t xml:space="preserve">Parecer Jurídico nº </w:t>
      </w:r>
      <w:r w:rsidRPr="003B5E71" w:rsidR="00BC46BA">
        <w:rPr>
          <w:rFonts w:asciiTheme="minorHAnsi" w:hAnsiTheme="minorHAnsi" w:cstheme="minorHAnsi"/>
          <w:b/>
          <w:color w:val="auto"/>
        </w:rPr>
        <w:t>169</w:t>
      </w:r>
      <w:r w:rsidRPr="003B5E71">
        <w:rPr>
          <w:rFonts w:asciiTheme="minorHAnsi" w:hAnsiTheme="minorHAnsi" w:cstheme="minorHAnsi"/>
          <w:b/>
          <w:color w:val="auto"/>
        </w:rPr>
        <w:t>/20</w:t>
      </w:r>
      <w:r w:rsidRPr="003B5E71" w:rsidR="00C2495E">
        <w:rPr>
          <w:rFonts w:asciiTheme="minorHAnsi" w:hAnsiTheme="minorHAnsi" w:cstheme="minorHAnsi"/>
          <w:b/>
          <w:color w:val="auto"/>
        </w:rPr>
        <w:t>2</w:t>
      </w:r>
      <w:r w:rsidRPr="003B5E71" w:rsidR="00F20B73">
        <w:rPr>
          <w:rFonts w:asciiTheme="minorHAnsi" w:hAnsiTheme="minorHAnsi" w:cstheme="minorHAnsi"/>
          <w:b/>
          <w:color w:val="auto"/>
        </w:rPr>
        <w:t>4</w:t>
      </w:r>
      <w:r w:rsidRPr="003B5E71" w:rsidR="00D03D6E">
        <w:rPr>
          <w:rFonts w:asciiTheme="minorHAnsi" w:hAnsiTheme="minorHAnsi" w:cstheme="minorHAnsi"/>
          <w:b/>
          <w:color w:val="auto"/>
        </w:rPr>
        <w:t>.</w:t>
      </w:r>
    </w:p>
    <w:p w:rsidR="00F20B73" w:rsidRPr="003B5E71" w:rsidP="00DF4D61">
      <w:pPr>
        <w:spacing w:after="0" w:line="240" w:lineRule="auto"/>
        <w:jc w:val="both"/>
        <w:rPr>
          <w:rFonts w:asciiTheme="minorHAnsi" w:hAnsiTheme="minorHAnsi" w:cstheme="minorHAnsi"/>
        </w:rPr>
      </w:pPr>
      <w:r w:rsidRPr="003B5E71">
        <w:rPr>
          <w:rFonts w:asciiTheme="minorHAnsi" w:hAnsiTheme="minorHAnsi" w:cstheme="minorHAnsi"/>
          <w:b/>
        </w:rPr>
        <w:t>Assunto:</w:t>
      </w:r>
      <w:r w:rsidRPr="003B5E71">
        <w:rPr>
          <w:rFonts w:asciiTheme="minorHAnsi" w:hAnsiTheme="minorHAnsi" w:cstheme="minorHAnsi"/>
        </w:rPr>
        <w:t xml:space="preserve"> </w:t>
      </w:r>
      <w:r w:rsidRPr="003B5E71">
        <w:rPr>
          <w:rFonts w:asciiTheme="minorHAnsi" w:hAnsiTheme="minorHAnsi" w:cstheme="minorHAnsi"/>
          <w:b/>
        </w:rPr>
        <w:t xml:space="preserve">Projeto de Lei nº </w:t>
      </w:r>
      <w:r w:rsidRPr="003B5E71">
        <w:rPr>
          <w:rFonts w:asciiTheme="minorHAnsi" w:hAnsiTheme="minorHAnsi" w:cstheme="minorHAnsi"/>
          <w:b/>
        </w:rPr>
        <w:t>68</w:t>
      </w:r>
      <w:r w:rsidRPr="003B5E71">
        <w:rPr>
          <w:rFonts w:asciiTheme="minorHAnsi" w:hAnsiTheme="minorHAnsi" w:cstheme="minorHAnsi"/>
          <w:b/>
        </w:rPr>
        <w:t>/202</w:t>
      </w:r>
      <w:r w:rsidRPr="003B5E71">
        <w:rPr>
          <w:rFonts w:asciiTheme="minorHAnsi" w:hAnsiTheme="minorHAnsi" w:cstheme="minorHAnsi"/>
          <w:b/>
        </w:rPr>
        <w:t xml:space="preserve">4 </w:t>
      </w:r>
      <w:r w:rsidRPr="003B5E71">
        <w:rPr>
          <w:rFonts w:asciiTheme="minorHAnsi" w:hAnsiTheme="minorHAnsi" w:cstheme="minorHAnsi"/>
          <w:b/>
        </w:rPr>
        <w:t>-</w:t>
      </w:r>
      <w:r w:rsidRPr="003B5E71">
        <w:rPr>
          <w:rFonts w:asciiTheme="minorHAnsi" w:hAnsiTheme="minorHAnsi" w:cstheme="minorHAnsi"/>
          <w:b/>
        </w:rPr>
        <w:t xml:space="preserve"> </w:t>
      </w:r>
      <w:r w:rsidRPr="00794ECE">
        <w:rPr>
          <w:rFonts w:asciiTheme="minorHAnsi" w:hAnsiTheme="minorHAnsi" w:cstheme="minorHAnsi"/>
          <w:i/>
        </w:rPr>
        <w:t>Altera</w:t>
      </w:r>
      <w:r w:rsidRPr="00794ECE">
        <w:rPr>
          <w:rFonts w:asciiTheme="minorHAnsi" w:hAnsiTheme="minorHAnsi" w:cstheme="minorHAnsi"/>
          <w:i/>
        </w:rPr>
        <w:t xml:space="preserve"> dispositivos da Lei nº 6.574, de 29 de dezembro de 2023 e da Lei nº 6.573, de 29 de dezembro de 2023, na forma que especifica</w:t>
      </w:r>
      <w:r w:rsidRPr="003B5E71">
        <w:rPr>
          <w:rFonts w:asciiTheme="minorHAnsi" w:hAnsiTheme="minorHAnsi" w:cstheme="minorHAnsi"/>
        </w:rPr>
        <w:t>.</w:t>
      </w:r>
      <w:r w:rsidRPr="003B5E71">
        <w:rPr>
          <w:rFonts w:asciiTheme="minorHAnsi" w:hAnsiTheme="minorHAnsi" w:cstheme="minorHAnsi"/>
        </w:rPr>
        <w:t xml:space="preserve"> </w:t>
      </w:r>
    </w:p>
    <w:p w:rsidR="00C2495E" w:rsidRPr="003B5E71" w:rsidP="00DF4D61">
      <w:pPr>
        <w:spacing w:after="0" w:line="240" w:lineRule="auto"/>
        <w:jc w:val="both"/>
        <w:rPr>
          <w:rFonts w:asciiTheme="minorHAnsi" w:hAnsiTheme="minorHAnsi" w:cstheme="minorHAnsi"/>
          <w:b/>
        </w:rPr>
      </w:pPr>
      <w:r w:rsidRPr="003B5E71">
        <w:rPr>
          <w:rFonts w:asciiTheme="minorHAnsi" w:hAnsiTheme="minorHAnsi" w:cstheme="minorHAnsi"/>
          <w:b/>
        </w:rPr>
        <w:t>Autoria: Vereador Mayr.</w:t>
      </w:r>
    </w:p>
    <w:p w:rsidR="00C14149" w:rsidRPr="003B5E71" w:rsidP="00C14149">
      <w:pPr>
        <w:pStyle w:val="Default"/>
        <w:spacing w:after="240"/>
        <w:jc w:val="both"/>
        <w:rPr>
          <w:rFonts w:asciiTheme="minorHAnsi" w:hAnsiTheme="minorHAnsi" w:cstheme="minorHAnsi"/>
          <w:color w:val="auto"/>
        </w:rPr>
      </w:pPr>
    </w:p>
    <w:p w:rsidR="004B55A6" w:rsidRPr="003B5E71" w:rsidP="00C14149">
      <w:pPr>
        <w:pStyle w:val="Default"/>
        <w:spacing w:after="240"/>
        <w:jc w:val="both"/>
        <w:rPr>
          <w:rFonts w:asciiTheme="minorHAnsi" w:hAnsiTheme="minorHAnsi" w:cstheme="minorHAnsi"/>
          <w:color w:val="auto"/>
          <w:sz w:val="12"/>
          <w:szCs w:val="12"/>
        </w:rPr>
      </w:pPr>
    </w:p>
    <w:p w:rsidR="00C14149" w:rsidRPr="003B5E71" w:rsidP="00C14149">
      <w:pPr>
        <w:pStyle w:val="Default"/>
        <w:jc w:val="both"/>
        <w:rPr>
          <w:rFonts w:asciiTheme="minorHAnsi" w:hAnsiTheme="minorHAnsi" w:cstheme="minorHAnsi"/>
          <w:b/>
          <w:i/>
        </w:rPr>
      </w:pPr>
      <w:r w:rsidRPr="003B5E71">
        <w:rPr>
          <w:rFonts w:asciiTheme="minorHAnsi" w:hAnsiTheme="minorHAnsi" w:cstheme="minorHAnsi"/>
          <w:b/>
          <w:i/>
        </w:rPr>
        <w:t>À Comissão de Justiça e Redação</w:t>
      </w:r>
      <w:r w:rsidRPr="003B5E71" w:rsidR="00D03D6E">
        <w:rPr>
          <w:rFonts w:asciiTheme="minorHAnsi" w:hAnsiTheme="minorHAnsi" w:cstheme="minorHAnsi"/>
          <w:b/>
          <w:i/>
        </w:rPr>
        <w:t>,</w:t>
      </w:r>
    </w:p>
    <w:p w:rsidR="00C14149" w:rsidRPr="003B5E71" w:rsidP="00C2495E">
      <w:pPr>
        <w:pStyle w:val="Default"/>
        <w:jc w:val="both"/>
        <w:rPr>
          <w:rFonts w:asciiTheme="minorHAnsi" w:hAnsiTheme="minorHAnsi" w:cstheme="minorHAnsi"/>
          <w:b/>
          <w:i/>
        </w:rPr>
      </w:pPr>
      <w:r w:rsidRPr="003B5E71">
        <w:rPr>
          <w:rFonts w:asciiTheme="minorHAnsi" w:hAnsiTheme="minorHAnsi" w:cstheme="minorHAnsi"/>
          <w:b/>
          <w:i/>
        </w:rPr>
        <w:t xml:space="preserve">Excelentíssimo Presidente </w:t>
      </w:r>
      <w:r w:rsidRPr="003B5E71" w:rsidR="00C2495E">
        <w:rPr>
          <w:rFonts w:asciiTheme="minorHAnsi" w:hAnsiTheme="minorHAnsi" w:cstheme="minorHAnsi"/>
          <w:b/>
          <w:i/>
        </w:rPr>
        <w:t>Vereador Gabriel Bueno</w:t>
      </w:r>
      <w:r w:rsidRPr="003B5E71" w:rsidR="00D03D6E">
        <w:rPr>
          <w:rFonts w:asciiTheme="minorHAnsi" w:hAnsiTheme="minorHAnsi" w:cstheme="minorHAnsi"/>
          <w:b/>
          <w:i/>
        </w:rPr>
        <w:t>.</w:t>
      </w:r>
    </w:p>
    <w:p w:rsidR="00C2495E" w:rsidRPr="003B5E71" w:rsidP="00C2495E">
      <w:pPr>
        <w:pStyle w:val="Default"/>
        <w:jc w:val="both"/>
        <w:rPr>
          <w:rFonts w:asciiTheme="minorHAnsi" w:hAnsiTheme="minorHAnsi" w:cstheme="minorHAnsi"/>
          <w:b/>
          <w:i/>
        </w:rPr>
      </w:pPr>
    </w:p>
    <w:p w:rsidR="004B55A6" w:rsidRPr="003B5E71" w:rsidP="00C2495E">
      <w:pPr>
        <w:pStyle w:val="Default"/>
        <w:jc w:val="both"/>
        <w:rPr>
          <w:rFonts w:asciiTheme="minorHAnsi" w:hAnsiTheme="minorHAnsi" w:cstheme="minorHAnsi"/>
          <w:b/>
          <w:i/>
        </w:rPr>
      </w:pPr>
    </w:p>
    <w:p w:rsidR="00C2495E" w:rsidRPr="003B5E71" w:rsidP="00C2495E">
      <w:pPr>
        <w:pStyle w:val="Default"/>
        <w:jc w:val="both"/>
        <w:rPr>
          <w:rFonts w:asciiTheme="minorHAnsi" w:hAnsiTheme="minorHAnsi" w:cstheme="minorHAnsi"/>
          <w:b/>
          <w:i/>
        </w:rPr>
      </w:pPr>
    </w:p>
    <w:p w:rsidR="00C2495E" w:rsidRPr="003B5E71" w:rsidP="00C2495E">
      <w:pPr>
        <w:pStyle w:val="Default"/>
        <w:jc w:val="both"/>
        <w:rPr>
          <w:rFonts w:asciiTheme="minorHAnsi" w:hAnsiTheme="minorHAnsi" w:cstheme="minorHAnsi"/>
          <w:color w:val="auto"/>
        </w:rPr>
      </w:pPr>
    </w:p>
    <w:p w:rsidR="00DF4D61" w:rsidRPr="003B5E71" w:rsidP="00F20B73">
      <w:pPr>
        <w:spacing w:after="240" w:line="360" w:lineRule="auto"/>
        <w:ind w:firstLine="1701"/>
        <w:jc w:val="both"/>
        <w:rPr>
          <w:rFonts w:asciiTheme="minorHAnsi" w:hAnsiTheme="minorHAnsi" w:cstheme="minorHAnsi"/>
        </w:rPr>
      </w:pPr>
      <w:r w:rsidRPr="003B5E71">
        <w:rPr>
          <w:rFonts w:asciiTheme="minorHAnsi" w:hAnsiTheme="minorHAnsi" w:cstheme="minorHAnsi"/>
        </w:rPr>
        <w:t>Trata-se de parecer jurídico relativo ao projeto em epígrafe</w:t>
      </w:r>
      <w:r w:rsidRPr="003B5E71">
        <w:rPr>
          <w:rFonts w:asciiTheme="minorHAnsi" w:hAnsiTheme="minorHAnsi" w:cstheme="minorHAnsi"/>
          <w:b/>
          <w:bCs/>
        </w:rPr>
        <w:t xml:space="preserve"> </w:t>
      </w:r>
      <w:r w:rsidRPr="003B5E71">
        <w:rPr>
          <w:rFonts w:asciiTheme="minorHAnsi" w:hAnsiTheme="minorHAnsi" w:cstheme="minorHAnsi"/>
          <w:bCs/>
        </w:rPr>
        <w:t xml:space="preserve">que </w:t>
      </w:r>
      <w:r w:rsidRPr="003B5E71">
        <w:rPr>
          <w:rFonts w:asciiTheme="minorHAnsi" w:hAnsiTheme="minorHAnsi" w:cstheme="minorHAnsi"/>
          <w:bCs/>
        </w:rPr>
        <w:t>“</w:t>
      </w:r>
      <w:r w:rsidRPr="00D032DA" w:rsidR="00F20B73">
        <w:rPr>
          <w:rFonts w:asciiTheme="minorHAnsi" w:hAnsiTheme="minorHAnsi" w:cstheme="minorHAnsi"/>
          <w:i/>
        </w:rPr>
        <w:t>Altera dispositivos da Lei nº 6.574, de 29 de dezembro de 2023 e da Lei nº 6.573, de 29 de dezembro de 2023, na forma que especifica</w:t>
      </w:r>
      <w:r w:rsidRPr="003B5E71">
        <w:rPr>
          <w:rFonts w:asciiTheme="minorHAnsi" w:hAnsiTheme="minorHAnsi" w:cstheme="minorHAnsi"/>
        </w:rPr>
        <w:t>”</w:t>
      </w:r>
      <w:r w:rsidRPr="003B5E71" w:rsidR="00F20B73">
        <w:rPr>
          <w:rFonts w:asciiTheme="minorHAnsi" w:hAnsiTheme="minorHAnsi" w:cstheme="minorHAnsi"/>
        </w:rPr>
        <w:t>, conforme segue:</w:t>
      </w:r>
    </w:p>
    <w:tbl>
      <w:tblPr>
        <w:tblStyle w:val="TableGrid"/>
        <w:tblW w:w="9889" w:type="dxa"/>
        <w:tblInd w:w="-601" w:type="dxa"/>
        <w:tblLayout w:type="fixed"/>
        <w:tblLook w:val="04A0"/>
      </w:tblPr>
      <w:tblGrid>
        <w:gridCol w:w="4678"/>
        <w:gridCol w:w="5211"/>
      </w:tblGrid>
      <w:tr w:rsidTr="0039642F">
        <w:tblPrEx>
          <w:tblW w:w="9889" w:type="dxa"/>
          <w:tblInd w:w="-601" w:type="dxa"/>
          <w:tblLayout w:type="fixed"/>
          <w:tblLook w:val="04A0"/>
        </w:tblPrEx>
        <w:tc>
          <w:tcPr>
            <w:tcW w:w="4678" w:type="dxa"/>
            <w:shd w:val="clear" w:color="auto" w:fill="B8CCE4" w:themeFill="accent1" w:themeFillTint="66"/>
            <w:vAlign w:val="center"/>
          </w:tcPr>
          <w:p w:rsidR="00CB1AA7" w:rsidRPr="002D7427" w:rsidP="004B55A6">
            <w:pPr>
              <w:jc w:val="center"/>
              <w:rPr>
                <w:rFonts w:asciiTheme="minorHAnsi" w:hAnsiTheme="minorHAnsi" w:cstheme="minorHAnsi"/>
                <w:b/>
                <w:i/>
                <w:szCs w:val="24"/>
              </w:rPr>
            </w:pPr>
            <w:r w:rsidRPr="002D7427">
              <w:rPr>
                <w:rFonts w:asciiTheme="minorHAnsi" w:hAnsiTheme="minorHAnsi" w:cstheme="minorHAnsi"/>
                <w:b/>
                <w:i/>
                <w:szCs w:val="24"/>
              </w:rPr>
              <w:t>Lei nº 6.574/2023</w:t>
            </w:r>
          </w:p>
        </w:tc>
        <w:tc>
          <w:tcPr>
            <w:tcW w:w="5211" w:type="dxa"/>
            <w:shd w:val="clear" w:color="auto" w:fill="B8CCE4" w:themeFill="accent1" w:themeFillTint="66"/>
            <w:vAlign w:val="center"/>
          </w:tcPr>
          <w:p w:rsidR="002D7427" w:rsidP="004B55A6">
            <w:pPr>
              <w:jc w:val="center"/>
              <w:rPr>
                <w:rFonts w:asciiTheme="minorHAnsi" w:hAnsiTheme="minorHAnsi" w:cstheme="minorHAnsi"/>
                <w:b/>
                <w:i/>
                <w:szCs w:val="24"/>
              </w:rPr>
            </w:pPr>
          </w:p>
          <w:p w:rsidR="00CB1AA7" w:rsidRPr="002D7427" w:rsidP="004B55A6">
            <w:pPr>
              <w:jc w:val="center"/>
              <w:rPr>
                <w:rFonts w:asciiTheme="minorHAnsi" w:hAnsiTheme="minorHAnsi" w:cstheme="minorHAnsi"/>
                <w:b/>
                <w:i/>
                <w:szCs w:val="24"/>
              </w:rPr>
            </w:pPr>
            <w:r w:rsidRPr="002D7427">
              <w:rPr>
                <w:rFonts w:asciiTheme="minorHAnsi" w:hAnsiTheme="minorHAnsi" w:cstheme="minorHAnsi"/>
                <w:b/>
                <w:i/>
                <w:szCs w:val="24"/>
              </w:rPr>
              <w:t>Alteração pretendida no PL 68/2024</w:t>
            </w:r>
          </w:p>
          <w:p w:rsidR="00642D9E" w:rsidRPr="002D7427" w:rsidP="004B55A6">
            <w:pPr>
              <w:jc w:val="center"/>
              <w:rPr>
                <w:rFonts w:asciiTheme="minorHAnsi" w:hAnsiTheme="minorHAnsi" w:cstheme="minorHAnsi"/>
                <w:b/>
                <w:i/>
                <w:szCs w:val="24"/>
              </w:rPr>
            </w:pPr>
          </w:p>
        </w:tc>
      </w:tr>
      <w:tr w:rsidTr="0039642F">
        <w:tblPrEx>
          <w:tblW w:w="9889" w:type="dxa"/>
          <w:tblInd w:w="-601" w:type="dxa"/>
          <w:tblLayout w:type="fixed"/>
          <w:tblLook w:val="04A0"/>
        </w:tblPrEx>
        <w:tc>
          <w:tcPr>
            <w:tcW w:w="4678" w:type="dxa"/>
          </w:tcPr>
          <w:p w:rsidR="004B55A6" w:rsidRPr="002D7427" w:rsidP="004B55A6">
            <w:pPr>
              <w:jc w:val="both"/>
              <w:rPr>
                <w:rFonts w:asciiTheme="minorHAnsi" w:hAnsiTheme="minorHAnsi" w:cstheme="minorHAnsi"/>
                <w:i/>
                <w:sz w:val="22"/>
                <w:szCs w:val="22"/>
              </w:rPr>
            </w:pPr>
          </w:p>
          <w:p w:rsidR="004B55A6" w:rsidRPr="002D7427" w:rsidP="004B55A6">
            <w:pPr>
              <w:jc w:val="both"/>
              <w:rPr>
                <w:rFonts w:asciiTheme="minorHAnsi" w:hAnsiTheme="minorHAnsi" w:cstheme="minorHAnsi"/>
                <w:i/>
                <w:sz w:val="22"/>
                <w:szCs w:val="22"/>
              </w:rPr>
            </w:pPr>
          </w:p>
          <w:p w:rsidR="004B55A6" w:rsidRPr="002D7427" w:rsidP="004B55A6">
            <w:pPr>
              <w:jc w:val="both"/>
              <w:rPr>
                <w:rFonts w:asciiTheme="minorHAnsi" w:hAnsiTheme="minorHAnsi" w:cstheme="minorHAnsi"/>
                <w:i/>
                <w:sz w:val="22"/>
                <w:szCs w:val="22"/>
              </w:rPr>
            </w:pPr>
          </w:p>
          <w:p w:rsidR="004B55A6" w:rsidRPr="002D7427" w:rsidP="004B55A6">
            <w:pPr>
              <w:jc w:val="both"/>
              <w:rPr>
                <w:rFonts w:asciiTheme="minorHAnsi" w:hAnsiTheme="minorHAnsi" w:cstheme="minorHAnsi"/>
                <w:i/>
                <w:sz w:val="22"/>
                <w:szCs w:val="22"/>
              </w:rPr>
            </w:pPr>
          </w:p>
          <w:p w:rsidR="00CB1AA7" w:rsidP="004B55A6">
            <w:pPr>
              <w:jc w:val="both"/>
              <w:rPr>
                <w:rFonts w:asciiTheme="minorHAnsi" w:hAnsiTheme="minorHAnsi" w:cstheme="minorHAnsi"/>
                <w:i/>
                <w:sz w:val="22"/>
                <w:szCs w:val="22"/>
              </w:rPr>
            </w:pPr>
            <w:r w:rsidRPr="002D7427">
              <w:rPr>
                <w:rFonts w:asciiTheme="minorHAnsi" w:hAnsiTheme="minorHAnsi" w:cstheme="minorHAnsi"/>
                <w:b/>
                <w:i/>
                <w:sz w:val="22"/>
                <w:szCs w:val="22"/>
              </w:rPr>
              <w:t>Art. 18.</w:t>
            </w:r>
            <w:r w:rsidRPr="002D7427">
              <w:rPr>
                <w:rFonts w:asciiTheme="minorHAnsi" w:hAnsiTheme="minorHAnsi" w:cstheme="minorHAnsi"/>
                <w:i/>
                <w:sz w:val="22"/>
                <w:szCs w:val="22"/>
              </w:rPr>
              <w:t xml:space="preserve"> Para o cálculo da Taxa de Ocupação (TO) e do Coeficiente de Aproveitamento (CA), serão consideradas como áreas não computáveis:</w:t>
            </w:r>
          </w:p>
          <w:p w:rsidR="00615632" w:rsidP="004B55A6">
            <w:pPr>
              <w:jc w:val="both"/>
              <w:rPr>
                <w:rFonts w:asciiTheme="minorHAnsi" w:hAnsiTheme="minorHAnsi" w:cstheme="minorHAnsi"/>
                <w:i/>
                <w:sz w:val="22"/>
                <w:szCs w:val="22"/>
              </w:rPr>
            </w:pPr>
          </w:p>
          <w:p w:rsidR="00615632" w:rsidP="00615632">
            <w:pPr>
              <w:spacing w:after="120"/>
              <w:jc w:val="both"/>
              <w:rPr>
                <w:rFonts w:asciiTheme="minorHAnsi" w:hAnsiTheme="minorHAnsi" w:cstheme="minorHAnsi"/>
                <w:i/>
                <w:sz w:val="22"/>
                <w:szCs w:val="22"/>
              </w:rPr>
            </w:pPr>
            <w:r w:rsidRPr="00615632">
              <w:rPr>
                <w:rFonts w:asciiTheme="minorHAnsi" w:hAnsiTheme="minorHAnsi" w:cstheme="minorHAnsi"/>
                <w:i/>
                <w:sz w:val="22"/>
                <w:szCs w:val="22"/>
              </w:rPr>
              <w:t xml:space="preserve">I - área construída destinada exclusivamente a garagem particular; </w:t>
            </w:r>
          </w:p>
          <w:p w:rsidR="00615632" w:rsidP="00615632">
            <w:pPr>
              <w:spacing w:after="120"/>
              <w:jc w:val="both"/>
              <w:rPr>
                <w:rFonts w:asciiTheme="minorHAnsi" w:hAnsiTheme="minorHAnsi" w:cstheme="minorHAnsi"/>
                <w:i/>
                <w:sz w:val="22"/>
                <w:szCs w:val="22"/>
              </w:rPr>
            </w:pPr>
            <w:r w:rsidRPr="00615632">
              <w:rPr>
                <w:rFonts w:asciiTheme="minorHAnsi" w:hAnsiTheme="minorHAnsi" w:cstheme="minorHAnsi"/>
                <w:i/>
                <w:sz w:val="22"/>
                <w:szCs w:val="22"/>
              </w:rPr>
              <w:t xml:space="preserve">II - área construída destinada a instalação de equipamentos da edificação, tais como, </w:t>
            </w:r>
            <w:r w:rsidRPr="00615632">
              <w:rPr>
                <w:rFonts w:asciiTheme="minorHAnsi" w:hAnsiTheme="minorHAnsi" w:cstheme="minorHAnsi"/>
                <w:i/>
                <w:sz w:val="22"/>
                <w:szCs w:val="22"/>
              </w:rPr>
              <w:t>shafts</w:t>
            </w:r>
            <w:r w:rsidRPr="00615632">
              <w:rPr>
                <w:rFonts w:asciiTheme="minorHAnsi" w:hAnsiTheme="minorHAnsi" w:cstheme="minorHAnsi"/>
                <w:i/>
                <w:sz w:val="22"/>
                <w:szCs w:val="22"/>
              </w:rPr>
              <w:t xml:space="preserve">, caixa d’água, bombas hidráulicas, depósito de lixo, instalação de ventilação, ar-condicionado, caixa de maquinário e elevador; </w:t>
            </w:r>
          </w:p>
          <w:p w:rsidR="00615632" w:rsidP="00615632">
            <w:pPr>
              <w:spacing w:after="120"/>
              <w:jc w:val="both"/>
              <w:rPr>
                <w:rFonts w:asciiTheme="minorHAnsi" w:hAnsiTheme="minorHAnsi" w:cstheme="minorHAnsi"/>
                <w:i/>
                <w:sz w:val="22"/>
                <w:szCs w:val="22"/>
              </w:rPr>
            </w:pPr>
            <w:r w:rsidRPr="00615632">
              <w:rPr>
                <w:rFonts w:asciiTheme="minorHAnsi" w:hAnsiTheme="minorHAnsi" w:cstheme="minorHAnsi"/>
                <w:i/>
                <w:sz w:val="22"/>
                <w:szCs w:val="22"/>
              </w:rPr>
              <w:t xml:space="preserve">III - área construída na cobertura da edificação destinada exclusivamente a usos de recreação e lazer, em um único pavimento, com área máxima de 1/3 (um terço) do pavimento que lhe é imediatamente inferior; </w:t>
            </w:r>
          </w:p>
          <w:p w:rsidR="00615632" w:rsidP="00615632">
            <w:pPr>
              <w:spacing w:after="120"/>
              <w:jc w:val="both"/>
              <w:rPr>
                <w:rFonts w:asciiTheme="minorHAnsi" w:hAnsiTheme="minorHAnsi" w:cstheme="minorHAnsi"/>
                <w:i/>
                <w:sz w:val="22"/>
                <w:szCs w:val="22"/>
              </w:rPr>
            </w:pPr>
            <w:r w:rsidRPr="00615632">
              <w:rPr>
                <w:rFonts w:asciiTheme="minorHAnsi" w:hAnsiTheme="minorHAnsi" w:cstheme="minorHAnsi"/>
                <w:i/>
                <w:sz w:val="22"/>
                <w:szCs w:val="22"/>
              </w:rPr>
              <w:t xml:space="preserve">IV - área de piscinas ou assemelhados, que além </w:t>
            </w:r>
            <w:r w:rsidRPr="00615632">
              <w:rPr>
                <w:rFonts w:asciiTheme="minorHAnsi" w:hAnsiTheme="minorHAnsi" w:cstheme="minorHAnsi"/>
                <w:i/>
                <w:sz w:val="22"/>
                <w:szCs w:val="22"/>
              </w:rPr>
              <w:t>de não serem computadas para efeito de cálculo do coeficiente de aproveitamento e da taxa de ocupação, também não serão exigidos os recuos e afastamentos mínimos;</w:t>
            </w:r>
            <w:r w:rsidRPr="00615632">
              <w:rPr>
                <w:rFonts w:asciiTheme="minorHAnsi" w:hAnsiTheme="minorHAnsi" w:cstheme="minorHAnsi"/>
                <w:i/>
                <w:sz w:val="22"/>
                <w:szCs w:val="22"/>
              </w:rPr>
              <w:t xml:space="preserve">  </w:t>
            </w:r>
          </w:p>
          <w:p w:rsidR="00615632" w:rsidRPr="002D7427" w:rsidP="00615632">
            <w:pPr>
              <w:spacing w:after="120"/>
              <w:jc w:val="both"/>
              <w:rPr>
                <w:rFonts w:asciiTheme="minorHAnsi" w:hAnsiTheme="minorHAnsi" w:cstheme="minorHAnsi"/>
                <w:i/>
                <w:sz w:val="22"/>
                <w:szCs w:val="22"/>
              </w:rPr>
            </w:pPr>
            <w:r w:rsidRPr="00615632">
              <w:rPr>
                <w:rFonts w:asciiTheme="minorHAnsi" w:hAnsiTheme="minorHAnsi" w:cstheme="minorHAnsi"/>
                <w:i/>
                <w:sz w:val="22"/>
                <w:szCs w:val="22"/>
              </w:rPr>
              <w:t>V - sacadas.</w:t>
            </w:r>
          </w:p>
        </w:tc>
        <w:tc>
          <w:tcPr>
            <w:tcW w:w="5211" w:type="dxa"/>
          </w:tcPr>
          <w:p w:rsidR="004B55A6" w:rsidRPr="002D7427" w:rsidP="004B55A6">
            <w:pPr>
              <w:jc w:val="both"/>
              <w:rPr>
                <w:rFonts w:asciiTheme="minorHAnsi" w:hAnsiTheme="minorHAnsi" w:cstheme="minorHAnsi"/>
                <w:b/>
                <w:i/>
                <w:sz w:val="22"/>
                <w:szCs w:val="22"/>
              </w:rPr>
            </w:pPr>
          </w:p>
          <w:p w:rsidR="00CB1AA7" w:rsidRPr="002D7427" w:rsidP="004B55A6">
            <w:pPr>
              <w:jc w:val="both"/>
              <w:rPr>
                <w:rFonts w:asciiTheme="minorHAnsi" w:hAnsiTheme="minorHAnsi" w:cstheme="minorHAnsi"/>
                <w:i/>
                <w:sz w:val="22"/>
                <w:szCs w:val="22"/>
              </w:rPr>
            </w:pPr>
            <w:r w:rsidRPr="002D7427">
              <w:rPr>
                <w:rFonts w:asciiTheme="minorHAnsi" w:hAnsiTheme="minorHAnsi" w:cstheme="minorHAnsi"/>
                <w:i/>
                <w:sz w:val="22"/>
                <w:szCs w:val="22"/>
              </w:rPr>
              <w:t>Art. 1º. É alterado o caput do art. 18 da Lei nº 6.574 de 29 de dezembro de 2023, passando a ter a seguinte redação:</w:t>
            </w:r>
          </w:p>
          <w:p w:rsidR="00CB1AA7" w:rsidRPr="002D7427" w:rsidP="004B55A6">
            <w:pPr>
              <w:ind w:left="214"/>
              <w:jc w:val="both"/>
              <w:rPr>
                <w:rFonts w:asciiTheme="minorHAnsi" w:hAnsiTheme="minorHAnsi" w:cstheme="minorHAnsi"/>
                <w:i/>
                <w:sz w:val="22"/>
                <w:szCs w:val="22"/>
              </w:rPr>
            </w:pPr>
            <w:r w:rsidRPr="002D7427">
              <w:rPr>
                <w:rFonts w:asciiTheme="minorHAnsi" w:hAnsiTheme="minorHAnsi" w:cstheme="minorHAnsi"/>
                <w:b/>
                <w:i/>
                <w:sz w:val="22"/>
                <w:szCs w:val="22"/>
              </w:rPr>
              <w:t>Art. 18.</w:t>
            </w:r>
            <w:r w:rsidRPr="002D7427">
              <w:rPr>
                <w:rFonts w:asciiTheme="minorHAnsi" w:hAnsiTheme="minorHAnsi" w:cstheme="minorHAnsi"/>
                <w:i/>
                <w:sz w:val="22"/>
                <w:szCs w:val="22"/>
              </w:rPr>
              <w:t xml:space="preserve"> Para o cálculo da Taxa de Ocupação </w:t>
            </w:r>
            <w:r w:rsidRPr="002D7427">
              <w:rPr>
                <w:rFonts w:asciiTheme="minorHAnsi" w:hAnsiTheme="minorHAnsi" w:cstheme="minorHAnsi"/>
                <w:b/>
                <w:i/>
                <w:sz w:val="22"/>
                <w:szCs w:val="22"/>
              </w:rPr>
              <w:t>Máxima</w:t>
            </w:r>
            <w:r w:rsidRPr="002D7427">
              <w:rPr>
                <w:rFonts w:asciiTheme="minorHAnsi" w:hAnsiTheme="minorHAnsi" w:cstheme="minorHAnsi"/>
                <w:i/>
                <w:sz w:val="22"/>
                <w:szCs w:val="22"/>
              </w:rPr>
              <w:t xml:space="preserve"> (TO) e do Coeficiente de Aproveitamento (CA), </w:t>
            </w:r>
            <w:r w:rsidRPr="002D7427">
              <w:rPr>
                <w:rFonts w:asciiTheme="minorHAnsi" w:hAnsiTheme="minorHAnsi" w:cstheme="minorHAnsi"/>
                <w:b/>
                <w:i/>
                <w:sz w:val="22"/>
                <w:szCs w:val="22"/>
              </w:rPr>
              <w:t>para qualquer categoria de uso permitida</w:t>
            </w:r>
            <w:r w:rsidRPr="002D7427">
              <w:rPr>
                <w:rFonts w:asciiTheme="minorHAnsi" w:hAnsiTheme="minorHAnsi" w:cstheme="minorHAnsi"/>
                <w:i/>
                <w:sz w:val="22"/>
                <w:szCs w:val="22"/>
              </w:rPr>
              <w:t>, serão consideradas como áreas não computáveis:</w:t>
            </w:r>
          </w:p>
          <w:p w:rsidR="00FF2F7F" w:rsidRPr="002D7427" w:rsidP="004B55A6">
            <w:pPr>
              <w:ind w:left="214"/>
              <w:jc w:val="both"/>
              <w:rPr>
                <w:rFonts w:asciiTheme="minorHAnsi" w:hAnsiTheme="minorHAnsi" w:cstheme="minorHAnsi"/>
                <w:i/>
                <w:sz w:val="22"/>
                <w:szCs w:val="22"/>
              </w:rPr>
            </w:pPr>
          </w:p>
        </w:tc>
      </w:tr>
      <w:tr w:rsidTr="0039642F">
        <w:tblPrEx>
          <w:tblW w:w="9889" w:type="dxa"/>
          <w:tblInd w:w="-601" w:type="dxa"/>
          <w:tblLayout w:type="fixed"/>
          <w:tblLook w:val="04A0"/>
        </w:tblPrEx>
        <w:tc>
          <w:tcPr>
            <w:tcW w:w="4678" w:type="dxa"/>
          </w:tcPr>
          <w:p w:rsidR="00CB1AA7" w:rsidRPr="002D7427" w:rsidP="004B55A6">
            <w:pPr>
              <w:jc w:val="both"/>
              <w:rPr>
                <w:rFonts w:asciiTheme="minorHAnsi" w:hAnsiTheme="minorHAnsi" w:cstheme="minorHAnsi"/>
                <w:i/>
                <w:sz w:val="22"/>
                <w:szCs w:val="22"/>
              </w:rPr>
            </w:pPr>
          </w:p>
          <w:p w:rsidR="004B55A6" w:rsidRPr="002D7427" w:rsidP="004B55A6">
            <w:pPr>
              <w:jc w:val="both"/>
              <w:rPr>
                <w:rFonts w:asciiTheme="minorHAnsi" w:hAnsiTheme="minorHAnsi" w:cstheme="minorHAnsi"/>
                <w:i/>
                <w:sz w:val="22"/>
                <w:szCs w:val="22"/>
              </w:rPr>
            </w:pPr>
            <w:r w:rsidRPr="002D7427">
              <w:rPr>
                <w:rFonts w:asciiTheme="minorHAnsi" w:hAnsiTheme="minorHAnsi" w:cstheme="minorHAnsi"/>
                <w:b/>
                <w:i/>
                <w:sz w:val="22"/>
                <w:szCs w:val="22"/>
              </w:rPr>
              <w:t>Art. 19.</w:t>
            </w:r>
            <w:r w:rsidRPr="002D7427">
              <w:rPr>
                <w:rFonts w:asciiTheme="minorHAnsi" w:hAnsiTheme="minorHAnsi" w:cstheme="minorHAnsi"/>
                <w:i/>
                <w:sz w:val="22"/>
                <w:szCs w:val="22"/>
              </w:rPr>
              <w:t xml:space="preserve"> Na área livre resultante do recuo de frente fica definido que:</w:t>
            </w:r>
          </w:p>
          <w:p w:rsidR="009533C3" w:rsidRPr="002D7427" w:rsidP="009533C3">
            <w:pPr>
              <w:jc w:val="both"/>
              <w:rPr>
                <w:rFonts w:asciiTheme="minorHAnsi" w:hAnsiTheme="minorHAnsi" w:cstheme="minorHAnsi"/>
                <w:i/>
                <w:sz w:val="22"/>
                <w:szCs w:val="22"/>
              </w:rPr>
            </w:pPr>
            <w:r w:rsidRPr="002D7427">
              <w:rPr>
                <w:rFonts w:asciiTheme="minorHAnsi" w:hAnsiTheme="minorHAnsi" w:cstheme="minorHAnsi"/>
                <w:i/>
                <w:sz w:val="22"/>
                <w:szCs w:val="22"/>
              </w:rPr>
              <w:t xml:space="preserve">I - </w:t>
            </w:r>
            <w:r w:rsidRPr="002D7427">
              <w:rPr>
                <w:rFonts w:asciiTheme="minorHAnsi" w:hAnsiTheme="minorHAnsi" w:cstheme="minorHAnsi"/>
                <w:i/>
                <w:sz w:val="22"/>
                <w:szCs w:val="22"/>
              </w:rPr>
              <w:t>é</w:t>
            </w:r>
            <w:r w:rsidRPr="002D7427">
              <w:rPr>
                <w:rFonts w:asciiTheme="minorHAnsi" w:hAnsiTheme="minorHAnsi" w:cstheme="minorHAnsi"/>
                <w:i/>
                <w:sz w:val="22"/>
                <w:szCs w:val="22"/>
              </w:rPr>
              <w:t xml:space="preserve"> permitido beirais, marquises e outros elementos em balanço, desde que sua área não ultrapasse a 20% (vinte por cento) da área livre do recuo;</w:t>
            </w:r>
          </w:p>
          <w:p w:rsidR="009533C3" w:rsidRPr="002D7427" w:rsidP="009533C3">
            <w:pPr>
              <w:jc w:val="both"/>
              <w:rPr>
                <w:rFonts w:asciiTheme="minorHAnsi" w:hAnsiTheme="minorHAnsi" w:cstheme="minorHAnsi"/>
                <w:i/>
                <w:sz w:val="22"/>
                <w:szCs w:val="22"/>
              </w:rPr>
            </w:pPr>
            <w:r w:rsidRPr="002D7427">
              <w:rPr>
                <w:rFonts w:asciiTheme="minorHAnsi" w:hAnsiTheme="minorHAnsi" w:cstheme="minorHAnsi"/>
                <w:i/>
                <w:sz w:val="22"/>
                <w:szCs w:val="22"/>
              </w:rPr>
              <w:t>II - são permitidas sacadas em balanço, desde que sua área não ultrapasse a 20% (vinte por cento) da área livre do recuo;</w:t>
            </w:r>
          </w:p>
          <w:p w:rsidR="009533C3" w:rsidRPr="002D7427" w:rsidP="009533C3">
            <w:pPr>
              <w:jc w:val="both"/>
              <w:rPr>
                <w:rFonts w:asciiTheme="minorHAnsi" w:hAnsiTheme="minorHAnsi" w:cstheme="minorHAnsi"/>
                <w:i/>
                <w:sz w:val="22"/>
                <w:szCs w:val="22"/>
              </w:rPr>
            </w:pPr>
            <w:r w:rsidRPr="002D7427">
              <w:rPr>
                <w:rFonts w:asciiTheme="minorHAnsi" w:hAnsiTheme="minorHAnsi" w:cstheme="minorHAnsi"/>
                <w:i/>
                <w:sz w:val="22"/>
                <w:szCs w:val="22"/>
              </w:rPr>
              <w:t>III - as vagas descobertas para estacionamento de veículos poderão ser locadas no recuo frontal de edificações;</w:t>
            </w:r>
          </w:p>
          <w:p w:rsidR="003B5E71" w:rsidRPr="002D7427" w:rsidP="003B5E71">
            <w:pPr>
              <w:jc w:val="both"/>
              <w:rPr>
                <w:rFonts w:asciiTheme="minorHAnsi" w:hAnsiTheme="minorHAnsi" w:cstheme="minorHAnsi"/>
                <w:i/>
                <w:sz w:val="22"/>
                <w:szCs w:val="22"/>
              </w:rPr>
            </w:pPr>
            <w:r w:rsidRPr="002D7427">
              <w:rPr>
                <w:rFonts w:asciiTheme="minorHAnsi" w:hAnsiTheme="minorHAnsi" w:cstheme="minorHAnsi"/>
                <w:i/>
                <w:sz w:val="22"/>
                <w:szCs w:val="22"/>
              </w:rPr>
              <w:t>IV - construção de guaritas, portarias, abrigos de sistemas prediais e depósitos destinados ao armazenamento de lixo ou similares, limitadas a 50% da área de recuo;</w:t>
            </w:r>
            <w:r w:rsidRPr="002D7427">
              <w:rPr>
                <w:rFonts w:asciiTheme="minorHAnsi" w:hAnsiTheme="minorHAnsi" w:cstheme="minorHAnsi"/>
                <w:i/>
                <w:sz w:val="22"/>
                <w:szCs w:val="22"/>
              </w:rPr>
              <w:cr/>
            </w:r>
          </w:p>
          <w:p w:rsidR="004B55A6" w:rsidRPr="002D7427" w:rsidP="003B5E71">
            <w:pPr>
              <w:jc w:val="both"/>
              <w:rPr>
                <w:rFonts w:asciiTheme="minorHAnsi" w:hAnsiTheme="minorHAnsi" w:cstheme="minorHAnsi"/>
                <w:i/>
                <w:sz w:val="22"/>
                <w:szCs w:val="22"/>
              </w:rPr>
            </w:pPr>
            <w:r w:rsidRPr="002D7427">
              <w:rPr>
                <w:rFonts w:asciiTheme="minorHAnsi" w:hAnsiTheme="minorHAnsi" w:cstheme="minorHAnsi"/>
                <w:b/>
                <w:i/>
                <w:sz w:val="22"/>
                <w:szCs w:val="22"/>
              </w:rPr>
              <w:t xml:space="preserve">V - os telheiros e pergolados para garagem particular de até </w:t>
            </w:r>
            <w:r w:rsidRPr="002D7427">
              <w:rPr>
                <w:rFonts w:asciiTheme="minorHAnsi" w:hAnsiTheme="minorHAnsi" w:cstheme="minorHAnsi"/>
                <w:b/>
                <w:i/>
                <w:sz w:val="22"/>
                <w:szCs w:val="22"/>
              </w:rPr>
              <w:t>2</w:t>
            </w:r>
            <w:r w:rsidRPr="002D7427">
              <w:rPr>
                <w:rFonts w:asciiTheme="minorHAnsi" w:hAnsiTheme="minorHAnsi" w:cstheme="minorHAnsi"/>
                <w:b/>
                <w:i/>
                <w:sz w:val="22"/>
                <w:szCs w:val="22"/>
              </w:rPr>
              <w:t xml:space="preserve"> veículos não serão considerados áreas construídas para efeito de base de cálculo do Imposto Predial e Territorial Urbano (IPTU).</w:t>
            </w:r>
          </w:p>
        </w:tc>
        <w:tc>
          <w:tcPr>
            <w:tcW w:w="5211" w:type="dxa"/>
          </w:tcPr>
          <w:p w:rsidR="00C1146C" w:rsidP="004B55A6">
            <w:pPr>
              <w:jc w:val="both"/>
              <w:rPr>
                <w:rFonts w:asciiTheme="minorHAnsi" w:hAnsiTheme="minorHAnsi" w:cstheme="minorHAnsi"/>
                <w:i/>
                <w:sz w:val="22"/>
                <w:szCs w:val="22"/>
              </w:rPr>
            </w:pPr>
          </w:p>
          <w:p w:rsidR="00CB1AA7" w:rsidRPr="002D7427" w:rsidP="004B55A6">
            <w:pPr>
              <w:jc w:val="both"/>
              <w:rPr>
                <w:rFonts w:asciiTheme="minorHAnsi" w:hAnsiTheme="minorHAnsi" w:cstheme="minorHAnsi"/>
                <w:i/>
                <w:sz w:val="22"/>
                <w:szCs w:val="22"/>
              </w:rPr>
            </w:pPr>
            <w:r w:rsidRPr="002D7427">
              <w:rPr>
                <w:rFonts w:asciiTheme="minorHAnsi" w:hAnsiTheme="minorHAnsi" w:cstheme="minorHAnsi"/>
                <w:i/>
                <w:sz w:val="22"/>
                <w:szCs w:val="22"/>
              </w:rPr>
              <w:t xml:space="preserve">Art. 2º. É alterado o inciso “V” do art. 19 da Lei nº 6.574 de 29 de dezembro de 2023, passando a ter a seguinte redação: </w:t>
            </w:r>
          </w:p>
          <w:p w:rsidR="003B5E71" w:rsidRPr="002D7427" w:rsidP="004B55A6">
            <w:pPr>
              <w:ind w:left="214"/>
              <w:jc w:val="both"/>
              <w:rPr>
                <w:rFonts w:asciiTheme="minorHAnsi" w:hAnsiTheme="minorHAnsi" w:cstheme="minorHAnsi"/>
                <w:b/>
                <w:i/>
                <w:sz w:val="22"/>
                <w:szCs w:val="22"/>
              </w:rPr>
            </w:pPr>
          </w:p>
          <w:p w:rsidR="003B5E71" w:rsidRPr="002D7427" w:rsidP="004B55A6">
            <w:pPr>
              <w:ind w:left="214"/>
              <w:jc w:val="both"/>
              <w:rPr>
                <w:rFonts w:asciiTheme="minorHAnsi" w:hAnsiTheme="minorHAnsi" w:cstheme="minorHAnsi"/>
                <w:b/>
                <w:i/>
                <w:sz w:val="22"/>
                <w:szCs w:val="22"/>
              </w:rPr>
            </w:pPr>
          </w:p>
          <w:p w:rsidR="003B5E71" w:rsidRPr="002D7427" w:rsidP="004B55A6">
            <w:pPr>
              <w:ind w:left="214"/>
              <w:jc w:val="both"/>
              <w:rPr>
                <w:rFonts w:asciiTheme="minorHAnsi" w:hAnsiTheme="minorHAnsi" w:cstheme="minorHAnsi"/>
                <w:b/>
                <w:i/>
                <w:sz w:val="22"/>
                <w:szCs w:val="22"/>
              </w:rPr>
            </w:pPr>
          </w:p>
          <w:p w:rsidR="003B5E71" w:rsidRPr="002D7427" w:rsidP="004B55A6">
            <w:pPr>
              <w:ind w:left="214"/>
              <w:jc w:val="both"/>
              <w:rPr>
                <w:rFonts w:asciiTheme="minorHAnsi" w:hAnsiTheme="minorHAnsi" w:cstheme="minorHAnsi"/>
                <w:b/>
                <w:i/>
                <w:sz w:val="22"/>
                <w:szCs w:val="22"/>
              </w:rPr>
            </w:pPr>
          </w:p>
          <w:p w:rsidR="003B5E71" w:rsidRPr="002D7427" w:rsidP="004B55A6">
            <w:pPr>
              <w:ind w:left="214"/>
              <w:jc w:val="both"/>
              <w:rPr>
                <w:rFonts w:asciiTheme="minorHAnsi" w:hAnsiTheme="minorHAnsi" w:cstheme="minorHAnsi"/>
                <w:b/>
                <w:i/>
                <w:sz w:val="22"/>
                <w:szCs w:val="22"/>
              </w:rPr>
            </w:pPr>
          </w:p>
          <w:p w:rsidR="003B5E71" w:rsidRPr="002D7427" w:rsidP="004B55A6">
            <w:pPr>
              <w:ind w:left="214"/>
              <w:jc w:val="both"/>
              <w:rPr>
                <w:rFonts w:asciiTheme="minorHAnsi" w:hAnsiTheme="minorHAnsi" w:cstheme="minorHAnsi"/>
                <w:b/>
                <w:i/>
                <w:sz w:val="22"/>
                <w:szCs w:val="22"/>
              </w:rPr>
            </w:pPr>
          </w:p>
          <w:p w:rsidR="003B5E71" w:rsidRPr="002D7427" w:rsidP="004B55A6">
            <w:pPr>
              <w:ind w:left="214"/>
              <w:jc w:val="both"/>
              <w:rPr>
                <w:rFonts w:asciiTheme="minorHAnsi" w:hAnsiTheme="minorHAnsi" w:cstheme="minorHAnsi"/>
                <w:b/>
                <w:i/>
                <w:sz w:val="22"/>
                <w:szCs w:val="22"/>
              </w:rPr>
            </w:pPr>
          </w:p>
          <w:p w:rsidR="003B5E71" w:rsidRPr="002D7427" w:rsidP="004B55A6">
            <w:pPr>
              <w:ind w:left="214"/>
              <w:jc w:val="both"/>
              <w:rPr>
                <w:rFonts w:asciiTheme="minorHAnsi" w:hAnsiTheme="minorHAnsi" w:cstheme="minorHAnsi"/>
                <w:b/>
                <w:i/>
                <w:sz w:val="22"/>
                <w:szCs w:val="22"/>
              </w:rPr>
            </w:pPr>
          </w:p>
          <w:p w:rsidR="003B5E71" w:rsidRPr="002D7427" w:rsidP="004B55A6">
            <w:pPr>
              <w:ind w:left="214"/>
              <w:jc w:val="both"/>
              <w:rPr>
                <w:rFonts w:asciiTheme="minorHAnsi" w:hAnsiTheme="minorHAnsi" w:cstheme="minorHAnsi"/>
                <w:b/>
                <w:i/>
                <w:sz w:val="22"/>
                <w:szCs w:val="22"/>
              </w:rPr>
            </w:pPr>
          </w:p>
          <w:p w:rsidR="003B5E71" w:rsidRPr="002D7427" w:rsidP="004B55A6">
            <w:pPr>
              <w:ind w:left="214"/>
              <w:jc w:val="both"/>
              <w:rPr>
                <w:rFonts w:asciiTheme="minorHAnsi" w:hAnsiTheme="minorHAnsi" w:cstheme="minorHAnsi"/>
                <w:b/>
                <w:i/>
                <w:sz w:val="22"/>
                <w:szCs w:val="22"/>
              </w:rPr>
            </w:pPr>
          </w:p>
          <w:p w:rsidR="003B5E71" w:rsidRPr="002D7427" w:rsidP="003B5E71">
            <w:pPr>
              <w:ind w:left="215"/>
              <w:jc w:val="both"/>
              <w:rPr>
                <w:rFonts w:asciiTheme="minorHAnsi" w:hAnsiTheme="minorHAnsi" w:cstheme="minorHAnsi"/>
                <w:b/>
                <w:i/>
                <w:sz w:val="22"/>
                <w:szCs w:val="22"/>
              </w:rPr>
            </w:pPr>
          </w:p>
          <w:p w:rsidR="00CB1AA7" w:rsidRPr="002D7427" w:rsidP="003B5E71">
            <w:pPr>
              <w:ind w:left="215"/>
              <w:jc w:val="both"/>
              <w:rPr>
                <w:rFonts w:asciiTheme="minorHAnsi" w:hAnsiTheme="minorHAnsi" w:cstheme="minorHAnsi"/>
                <w:b/>
                <w:i/>
                <w:sz w:val="22"/>
                <w:szCs w:val="22"/>
              </w:rPr>
            </w:pPr>
            <w:r w:rsidRPr="002D7427">
              <w:rPr>
                <w:rFonts w:asciiTheme="minorHAnsi" w:hAnsiTheme="minorHAnsi" w:cstheme="minorHAnsi"/>
                <w:b/>
                <w:i/>
                <w:sz w:val="22"/>
                <w:szCs w:val="22"/>
              </w:rPr>
              <w:t xml:space="preserve">Art. 19. [...]: </w:t>
            </w:r>
          </w:p>
          <w:p w:rsidR="003B5E71" w:rsidRPr="002D7427" w:rsidP="003B5E71">
            <w:pPr>
              <w:ind w:left="215"/>
              <w:jc w:val="both"/>
              <w:rPr>
                <w:rFonts w:asciiTheme="minorHAnsi" w:hAnsiTheme="minorHAnsi" w:cstheme="minorHAnsi"/>
                <w:i/>
                <w:sz w:val="22"/>
                <w:szCs w:val="22"/>
              </w:rPr>
            </w:pPr>
          </w:p>
          <w:p w:rsidR="004B55A6" w:rsidRPr="00D032DA" w:rsidP="003B5E71">
            <w:pPr>
              <w:ind w:left="215"/>
              <w:jc w:val="both"/>
              <w:rPr>
                <w:rFonts w:asciiTheme="minorHAnsi" w:hAnsiTheme="minorHAnsi" w:cstheme="minorHAnsi"/>
                <w:b/>
                <w:i/>
                <w:sz w:val="22"/>
                <w:szCs w:val="22"/>
              </w:rPr>
            </w:pPr>
            <w:r w:rsidRPr="00D032DA">
              <w:rPr>
                <w:rFonts w:asciiTheme="minorHAnsi" w:hAnsiTheme="minorHAnsi" w:cstheme="minorHAnsi"/>
                <w:b/>
                <w:i/>
                <w:sz w:val="22"/>
                <w:szCs w:val="22"/>
              </w:rPr>
              <w:t>V - as vagas cobertas por telheiros e pergolados para estacionamento de veículos poderão ser locadas no recuo frontal de edificações enquadradas na categoria de uso “Residencial”, desde que este recuo seja maior ou igual a 4,00 metros;</w:t>
            </w:r>
          </w:p>
        </w:tc>
      </w:tr>
      <w:tr w:rsidTr="0039642F">
        <w:tblPrEx>
          <w:tblW w:w="9889" w:type="dxa"/>
          <w:tblInd w:w="-601" w:type="dxa"/>
          <w:tblLayout w:type="fixed"/>
          <w:tblLook w:val="04A0"/>
        </w:tblPrEx>
        <w:tc>
          <w:tcPr>
            <w:tcW w:w="4678" w:type="dxa"/>
          </w:tcPr>
          <w:p w:rsidR="00CB1AA7" w:rsidRPr="002D7427" w:rsidP="004B55A6">
            <w:pPr>
              <w:jc w:val="both"/>
              <w:rPr>
                <w:rFonts w:asciiTheme="minorHAnsi" w:hAnsiTheme="minorHAnsi" w:cstheme="minorHAnsi"/>
                <w:i/>
                <w:sz w:val="22"/>
                <w:szCs w:val="22"/>
              </w:rPr>
            </w:pPr>
          </w:p>
          <w:p w:rsidR="00AC0EDA" w:rsidRPr="002D7427" w:rsidP="004B55A6">
            <w:pPr>
              <w:jc w:val="both"/>
              <w:rPr>
                <w:rFonts w:asciiTheme="minorHAnsi" w:hAnsiTheme="minorHAnsi" w:cstheme="minorHAnsi"/>
                <w:b/>
                <w:i/>
                <w:sz w:val="22"/>
                <w:szCs w:val="22"/>
              </w:rPr>
            </w:pPr>
          </w:p>
          <w:p w:rsidR="00AC0EDA" w:rsidRPr="002D7427" w:rsidP="004B55A6">
            <w:pPr>
              <w:jc w:val="both"/>
              <w:rPr>
                <w:rFonts w:asciiTheme="minorHAnsi" w:hAnsiTheme="minorHAnsi" w:cstheme="minorHAnsi"/>
                <w:b/>
                <w:i/>
                <w:sz w:val="22"/>
                <w:szCs w:val="22"/>
              </w:rPr>
            </w:pPr>
          </w:p>
          <w:p w:rsidR="00AC0EDA" w:rsidRPr="002D7427" w:rsidP="004B55A6">
            <w:pPr>
              <w:jc w:val="both"/>
              <w:rPr>
                <w:rFonts w:asciiTheme="minorHAnsi" w:hAnsiTheme="minorHAnsi" w:cstheme="minorHAnsi"/>
                <w:b/>
                <w:i/>
                <w:sz w:val="22"/>
                <w:szCs w:val="22"/>
              </w:rPr>
            </w:pPr>
          </w:p>
          <w:p w:rsidR="00AC0EDA" w:rsidRPr="002D7427" w:rsidP="004B55A6">
            <w:pPr>
              <w:jc w:val="both"/>
              <w:rPr>
                <w:rFonts w:asciiTheme="minorHAnsi" w:hAnsiTheme="minorHAnsi" w:cstheme="minorHAnsi"/>
                <w:b/>
                <w:i/>
                <w:sz w:val="22"/>
                <w:szCs w:val="22"/>
              </w:rPr>
            </w:pPr>
          </w:p>
          <w:p w:rsidR="00AC0EDA" w:rsidRPr="002D7427" w:rsidP="004B55A6">
            <w:pPr>
              <w:jc w:val="both"/>
              <w:rPr>
                <w:rFonts w:asciiTheme="minorHAnsi" w:hAnsiTheme="minorHAnsi" w:cstheme="minorHAnsi"/>
                <w:i/>
                <w:sz w:val="22"/>
                <w:szCs w:val="22"/>
              </w:rPr>
            </w:pPr>
            <w:r w:rsidRPr="002D7427">
              <w:rPr>
                <w:rFonts w:asciiTheme="minorHAnsi" w:hAnsiTheme="minorHAnsi" w:cstheme="minorHAnsi"/>
                <w:b/>
                <w:i/>
                <w:sz w:val="22"/>
                <w:szCs w:val="22"/>
              </w:rPr>
              <w:t>Obs. Não encontramos “Alameda Itatiba”.</w:t>
            </w:r>
          </w:p>
        </w:tc>
        <w:tc>
          <w:tcPr>
            <w:tcW w:w="5211" w:type="dxa"/>
          </w:tcPr>
          <w:p w:rsidR="0039642F" w:rsidRPr="002D7427" w:rsidP="004B55A6">
            <w:pPr>
              <w:jc w:val="both"/>
              <w:rPr>
                <w:rFonts w:asciiTheme="minorHAnsi" w:hAnsiTheme="minorHAnsi" w:cstheme="minorHAnsi"/>
                <w:i/>
                <w:sz w:val="22"/>
                <w:szCs w:val="22"/>
              </w:rPr>
            </w:pPr>
          </w:p>
          <w:p w:rsidR="00CB1AA7" w:rsidRPr="002D7427" w:rsidP="004B55A6">
            <w:pPr>
              <w:jc w:val="both"/>
              <w:rPr>
                <w:rFonts w:asciiTheme="minorHAnsi" w:hAnsiTheme="minorHAnsi" w:cstheme="minorHAnsi"/>
                <w:i/>
                <w:sz w:val="22"/>
                <w:szCs w:val="22"/>
              </w:rPr>
            </w:pPr>
            <w:r w:rsidRPr="002D7427">
              <w:rPr>
                <w:rFonts w:asciiTheme="minorHAnsi" w:hAnsiTheme="minorHAnsi" w:cstheme="minorHAnsi"/>
                <w:i/>
                <w:sz w:val="22"/>
                <w:szCs w:val="22"/>
              </w:rPr>
              <w:t xml:space="preserve">Art. 4º. É alterado o Quadro </w:t>
            </w:r>
            <w:r w:rsidRPr="002D7427">
              <w:rPr>
                <w:rFonts w:asciiTheme="minorHAnsi" w:hAnsiTheme="minorHAnsi" w:cstheme="minorHAnsi"/>
                <w:i/>
                <w:sz w:val="22"/>
                <w:szCs w:val="22"/>
              </w:rPr>
              <w:t>1</w:t>
            </w:r>
            <w:r w:rsidRPr="002D7427">
              <w:rPr>
                <w:rFonts w:asciiTheme="minorHAnsi" w:hAnsiTheme="minorHAnsi" w:cstheme="minorHAnsi"/>
                <w:i/>
                <w:sz w:val="22"/>
                <w:szCs w:val="22"/>
              </w:rPr>
              <w:t xml:space="preserve"> do Anexo II.A da Lei nº 6.574 de 29 de dezembro de 2023 quanto às zonas de centralidade, passando a linha que relaciona a via “Alameda Itatiba” a ter a seguinte redação: </w:t>
            </w:r>
          </w:p>
          <w:p w:rsidR="00FF2F7F" w:rsidRPr="002D7427" w:rsidP="004B55A6">
            <w:pPr>
              <w:ind w:left="214"/>
              <w:jc w:val="both"/>
              <w:rPr>
                <w:rFonts w:asciiTheme="minorHAnsi" w:hAnsiTheme="minorHAnsi" w:cstheme="minorHAnsi"/>
                <w:b/>
                <w:i/>
                <w:sz w:val="22"/>
                <w:szCs w:val="22"/>
              </w:rPr>
            </w:pPr>
            <w:r w:rsidRPr="002D7427">
              <w:rPr>
                <w:rFonts w:asciiTheme="minorHAnsi" w:hAnsiTheme="minorHAnsi" w:cstheme="minorHAnsi"/>
                <w:b/>
                <w:i/>
                <w:sz w:val="22"/>
                <w:szCs w:val="22"/>
              </w:rPr>
              <w:t xml:space="preserve">Alameda Itatuba (da Alameda </w:t>
            </w:r>
            <w:r w:rsidRPr="002D7427">
              <w:rPr>
                <w:rFonts w:asciiTheme="minorHAnsi" w:hAnsiTheme="minorHAnsi" w:cstheme="minorHAnsi"/>
                <w:b/>
                <w:i/>
                <w:sz w:val="22"/>
                <w:szCs w:val="22"/>
              </w:rPr>
              <w:t>Itajuba</w:t>
            </w:r>
            <w:r w:rsidRPr="002D7427">
              <w:rPr>
                <w:rFonts w:asciiTheme="minorHAnsi" w:hAnsiTheme="minorHAnsi" w:cstheme="minorHAnsi"/>
                <w:b/>
                <w:i/>
                <w:sz w:val="22"/>
                <w:szCs w:val="22"/>
              </w:rPr>
              <w:t xml:space="preserve"> até a Alameda Itatinga).</w:t>
            </w:r>
          </w:p>
          <w:p w:rsidR="004B55A6" w:rsidRPr="002D7427" w:rsidP="004B55A6">
            <w:pPr>
              <w:ind w:left="214"/>
              <w:jc w:val="both"/>
              <w:rPr>
                <w:rFonts w:asciiTheme="minorHAnsi" w:hAnsiTheme="minorHAnsi" w:cstheme="minorHAnsi"/>
                <w:b/>
                <w:i/>
                <w:sz w:val="22"/>
                <w:szCs w:val="22"/>
              </w:rPr>
            </w:pPr>
          </w:p>
        </w:tc>
      </w:tr>
      <w:tr w:rsidTr="0039642F">
        <w:tblPrEx>
          <w:tblW w:w="9889" w:type="dxa"/>
          <w:tblInd w:w="-601" w:type="dxa"/>
          <w:tblLayout w:type="fixed"/>
          <w:tblLook w:val="04A0"/>
        </w:tblPrEx>
        <w:tc>
          <w:tcPr>
            <w:tcW w:w="4678" w:type="dxa"/>
            <w:vMerge w:val="restart"/>
          </w:tcPr>
          <w:tbl>
            <w:tblPr>
              <w:tblStyle w:val="TableGrid"/>
              <w:tblpPr w:leftFromText="141" w:rightFromText="141" w:vertAnchor="page" w:horzAnchor="margin" w:tblpY="1"/>
              <w:tblOverlap w:val="never"/>
              <w:tblW w:w="4337" w:type="dxa"/>
              <w:tblLayout w:type="fixed"/>
              <w:tblLook w:val="04A0"/>
            </w:tblPr>
            <w:tblGrid>
              <w:gridCol w:w="972"/>
              <w:gridCol w:w="3365"/>
            </w:tblGrid>
            <w:tr w:rsidTr="00CF3865">
              <w:tblPrEx>
                <w:tblW w:w="4337" w:type="dxa"/>
                <w:tblLayout w:type="fixed"/>
                <w:tblLook w:val="04A0"/>
              </w:tblPrEx>
              <w:trPr>
                <w:trHeight w:val="618"/>
              </w:trPr>
              <w:tc>
                <w:tcPr>
                  <w:tcW w:w="4337" w:type="dxa"/>
                  <w:gridSpan w:val="2"/>
                </w:tcPr>
                <w:p w:rsidR="00AC0EDA" w:rsidRPr="002D7427" w:rsidP="00AC0EDA">
                  <w:pPr>
                    <w:autoSpaceDE w:val="0"/>
                    <w:autoSpaceDN w:val="0"/>
                    <w:adjustRightInd w:val="0"/>
                    <w:rPr>
                      <w:rFonts w:eastAsia="Calibri" w:asciiTheme="minorHAnsi" w:hAnsiTheme="minorHAnsi" w:cs="Arial"/>
                      <w:b/>
                      <w:sz w:val="22"/>
                      <w:szCs w:val="22"/>
                    </w:rPr>
                  </w:pPr>
                  <w:r w:rsidRPr="002D7427">
                    <w:rPr>
                      <w:rFonts w:eastAsia="Calibri" w:asciiTheme="minorHAnsi" w:hAnsiTheme="minorHAnsi" w:cs="Arial"/>
                      <w:b/>
                      <w:sz w:val="22"/>
                      <w:szCs w:val="22"/>
                    </w:rPr>
                    <w:t xml:space="preserve">QUADRO 1 - COMPOSIÇÃO DAS ZONAS DE CENTRALIDADES </w:t>
                  </w:r>
                  <w:r w:rsidRPr="002D7427">
                    <w:rPr>
                      <w:rFonts w:eastAsia="Calibri" w:asciiTheme="minorHAnsi" w:hAnsiTheme="minorHAnsi" w:cs="Arial"/>
                      <w:b/>
                      <w:sz w:val="22"/>
                      <w:szCs w:val="22"/>
                    </w:rPr>
                    <w:t>1</w:t>
                  </w:r>
                  <w:r w:rsidRPr="002D7427">
                    <w:rPr>
                      <w:rFonts w:eastAsia="Calibri" w:asciiTheme="minorHAnsi" w:hAnsiTheme="minorHAnsi" w:cs="Arial"/>
                      <w:b/>
                      <w:sz w:val="22"/>
                      <w:szCs w:val="22"/>
                    </w:rPr>
                    <w:t>, 1.5, 2 E 3</w:t>
                  </w:r>
                </w:p>
                <w:p w:rsidR="00AC0EDA" w:rsidRPr="002D7427" w:rsidP="00AC0EDA">
                  <w:pPr>
                    <w:autoSpaceDE w:val="0"/>
                    <w:autoSpaceDN w:val="0"/>
                    <w:adjustRightInd w:val="0"/>
                    <w:rPr>
                      <w:rFonts w:asciiTheme="minorHAnsi" w:hAnsiTheme="minorHAnsi" w:cs="Arial"/>
                      <w:b/>
                      <w:sz w:val="22"/>
                      <w:szCs w:val="22"/>
                    </w:rPr>
                  </w:pPr>
                </w:p>
              </w:tc>
            </w:tr>
            <w:tr w:rsidTr="00CF3865">
              <w:tblPrEx>
                <w:tblW w:w="4337" w:type="dxa"/>
                <w:tblLayout w:type="fixed"/>
                <w:tblLook w:val="04A0"/>
              </w:tblPrEx>
              <w:trPr>
                <w:trHeight w:val="199"/>
              </w:trPr>
              <w:tc>
                <w:tcPr>
                  <w:tcW w:w="972" w:type="dxa"/>
                </w:tcPr>
                <w:p w:rsidR="00AC0EDA" w:rsidRPr="002D7427" w:rsidP="00AC0EDA">
                  <w:pPr>
                    <w:autoSpaceDE w:val="0"/>
                    <w:autoSpaceDN w:val="0"/>
                    <w:adjustRightInd w:val="0"/>
                    <w:rPr>
                      <w:rFonts w:asciiTheme="minorHAnsi" w:hAnsiTheme="minorHAnsi" w:cs="Arial"/>
                      <w:b/>
                      <w:sz w:val="22"/>
                      <w:szCs w:val="22"/>
                    </w:rPr>
                  </w:pPr>
                  <w:r w:rsidRPr="002D7427">
                    <w:rPr>
                      <w:rFonts w:asciiTheme="minorHAnsi" w:hAnsiTheme="minorHAnsi" w:cs="Arial"/>
                      <w:b/>
                      <w:sz w:val="22"/>
                      <w:szCs w:val="22"/>
                    </w:rPr>
                    <w:t>Zona</w:t>
                  </w:r>
                </w:p>
              </w:tc>
              <w:tc>
                <w:tcPr>
                  <w:tcW w:w="3365" w:type="dxa"/>
                </w:tcPr>
                <w:p w:rsidR="00AC0EDA" w:rsidRPr="002D7427" w:rsidP="00AC0EDA">
                  <w:pPr>
                    <w:autoSpaceDE w:val="0"/>
                    <w:autoSpaceDN w:val="0"/>
                    <w:adjustRightInd w:val="0"/>
                    <w:rPr>
                      <w:rFonts w:asciiTheme="minorHAnsi" w:hAnsiTheme="minorHAnsi" w:cs="Arial"/>
                      <w:b/>
                      <w:sz w:val="22"/>
                      <w:szCs w:val="22"/>
                    </w:rPr>
                  </w:pPr>
                  <w:r w:rsidRPr="002D7427">
                    <w:rPr>
                      <w:rFonts w:asciiTheme="minorHAnsi" w:hAnsiTheme="minorHAnsi" w:cs="Arial"/>
                      <w:b/>
                      <w:sz w:val="22"/>
                      <w:szCs w:val="22"/>
                    </w:rPr>
                    <w:t>Via</w:t>
                  </w:r>
                </w:p>
              </w:tc>
            </w:tr>
            <w:tr w:rsidTr="00CF3865">
              <w:tblPrEx>
                <w:tblW w:w="4337" w:type="dxa"/>
                <w:tblLayout w:type="fixed"/>
                <w:tblLook w:val="04A0"/>
              </w:tblPrEx>
              <w:trPr>
                <w:trHeight w:val="199"/>
              </w:trPr>
              <w:tc>
                <w:tcPr>
                  <w:tcW w:w="972" w:type="dxa"/>
                  <w:vMerge w:val="restart"/>
                  <w:vAlign w:val="center"/>
                </w:tcPr>
                <w:p w:rsidR="00AC0EDA" w:rsidRPr="002D7427" w:rsidP="00AC0EDA">
                  <w:pPr>
                    <w:autoSpaceDE w:val="0"/>
                    <w:autoSpaceDN w:val="0"/>
                    <w:adjustRightInd w:val="0"/>
                    <w:jc w:val="center"/>
                    <w:rPr>
                      <w:rFonts w:asciiTheme="minorHAnsi" w:hAnsiTheme="minorHAnsi" w:cs="Arial"/>
                      <w:b/>
                      <w:sz w:val="22"/>
                      <w:szCs w:val="22"/>
                    </w:rPr>
                  </w:pPr>
                </w:p>
                <w:p w:rsidR="00AC0EDA" w:rsidRPr="002D7427" w:rsidP="00AC0EDA">
                  <w:pPr>
                    <w:autoSpaceDE w:val="0"/>
                    <w:autoSpaceDN w:val="0"/>
                    <w:adjustRightInd w:val="0"/>
                    <w:jc w:val="center"/>
                    <w:rPr>
                      <w:rFonts w:asciiTheme="minorHAnsi" w:hAnsiTheme="minorHAnsi" w:cs="Arial"/>
                      <w:b/>
                      <w:sz w:val="22"/>
                      <w:szCs w:val="22"/>
                    </w:rPr>
                  </w:pPr>
                  <w:r w:rsidRPr="002D7427">
                    <w:rPr>
                      <w:rFonts w:asciiTheme="minorHAnsi" w:hAnsiTheme="minorHAnsi" w:cs="Arial"/>
                      <w:b/>
                      <w:sz w:val="22"/>
                      <w:szCs w:val="22"/>
                    </w:rPr>
                    <w:t>ZC1</w:t>
                  </w:r>
                </w:p>
              </w:tc>
              <w:tc>
                <w:tcPr>
                  <w:tcW w:w="3365" w:type="dxa"/>
                </w:tcPr>
                <w:p w:rsidR="00AC0EDA" w:rsidRPr="002D7427" w:rsidP="00CF3865">
                  <w:pPr>
                    <w:autoSpaceDE w:val="0"/>
                    <w:autoSpaceDN w:val="0"/>
                    <w:adjustRightInd w:val="0"/>
                    <w:jc w:val="both"/>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Antônio </w:t>
                  </w:r>
                  <w:r w:rsidRPr="002D7427">
                    <w:rPr>
                      <w:rFonts w:asciiTheme="minorHAnsi" w:eastAsiaTheme="minorHAnsi" w:hAnsiTheme="minorHAnsi" w:cs="Arial"/>
                      <w:sz w:val="22"/>
                      <w:szCs w:val="22"/>
                      <w:lang w:eastAsia="en-US"/>
                    </w:rPr>
                    <w:t>Cremasco</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CF3865">
                  <w:pPr>
                    <w:autoSpaceDE w:val="0"/>
                    <w:autoSpaceDN w:val="0"/>
                    <w:adjustRightInd w:val="0"/>
                    <w:jc w:val="both"/>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Antônio Bento Ferraz</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CF3865">
                  <w:pPr>
                    <w:autoSpaceDE w:val="0"/>
                    <w:autoSpaceDN w:val="0"/>
                    <w:adjustRightInd w:val="0"/>
                    <w:jc w:val="both"/>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Ariovaldo Antônio </w:t>
                  </w:r>
                  <w:r w:rsidRPr="002D7427">
                    <w:rPr>
                      <w:rFonts w:asciiTheme="minorHAnsi" w:eastAsiaTheme="minorHAnsi" w:hAnsiTheme="minorHAnsi" w:cs="Arial"/>
                      <w:sz w:val="22"/>
                      <w:szCs w:val="22"/>
                      <w:lang w:eastAsia="en-US"/>
                    </w:rPr>
                    <w:t>Bucatte</w:t>
                  </w:r>
                  <w:r w:rsidRPr="002D7427">
                    <w:rPr>
                      <w:rFonts w:asciiTheme="minorHAnsi" w:eastAsiaTheme="minorHAnsi" w:hAnsiTheme="minorHAnsi" w:cs="Arial"/>
                      <w:sz w:val="22"/>
                      <w:szCs w:val="22"/>
                      <w:lang w:eastAsia="en-US"/>
                    </w:rPr>
                    <w:t xml:space="preserve"> (até Rua Luís Campo Serra)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CF3865">
                  <w:pPr>
                    <w:autoSpaceDE w:val="0"/>
                    <w:autoSpaceDN w:val="0"/>
                    <w:adjustRightInd w:val="0"/>
                    <w:jc w:val="both"/>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Dr. Armando Costa Magalhães </w:t>
                  </w:r>
                  <w:r w:rsidRPr="002D7427">
                    <w:rPr>
                      <w:rFonts w:asciiTheme="minorHAnsi" w:eastAsiaTheme="minorHAnsi" w:hAnsiTheme="minorHAnsi" w:cs="Arial"/>
                      <w:sz w:val="22"/>
                      <w:szCs w:val="22"/>
                      <w:lang w:eastAsia="en-US"/>
                    </w:rPr>
                    <w:t>(da Francisco Glicério até Ângelo</w:t>
                  </w:r>
                  <w:r w:rsidRPr="002D7427" w:rsidR="00CF3865">
                    <w:rPr>
                      <w:rFonts w:asciiTheme="minorHAnsi" w:eastAsiaTheme="minorHAnsi" w:hAnsiTheme="minorHAnsi" w:cs="Arial"/>
                      <w:sz w:val="22"/>
                      <w:szCs w:val="22"/>
                      <w:lang w:eastAsia="en-US"/>
                    </w:rPr>
                    <w:t xml:space="preserve"> Antônio Schiavinato)</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CF3865">
                  <w:pPr>
                    <w:autoSpaceDE w:val="0"/>
                    <w:autoSpaceDN w:val="0"/>
                    <w:adjustRightInd w:val="0"/>
                    <w:jc w:val="both"/>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w:t>
                  </w:r>
                  <w:r w:rsidRPr="002D7427">
                    <w:rPr>
                      <w:rFonts w:asciiTheme="minorHAnsi" w:eastAsiaTheme="minorHAnsi" w:hAnsiTheme="minorHAnsi" w:cs="Arial"/>
                      <w:sz w:val="22"/>
                      <w:szCs w:val="22"/>
                      <w:lang w:eastAsia="en-US"/>
                    </w:rPr>
                    <w:t>Azaléias</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CF3865">
                  <w:pPr>
                    <w:autoSpaceDE w:val="0"/>
                    <w:autoSpaceDN w:val="0"/>
                    <w:adjustRightInd w:val="0"/>
                    <w:jc w:val="both"/>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Belmiro </w:t>
                  </w:r>
                  <w:r w:rsidRPr="002D7427">
                    <w:rPr>
                      <w:rFonts w:asciiTheme="minorHAnsi" w:eastAsiaTheme="minorHAnsi" w:hAnsiTheme="minorHAnsi" w:cs="Arial"/>
                      <w:sz w:val="22"/>
                      <w:szCs w:val="22"/>
                      <w:lang w:eastAsia="en-US"/>
                    </w:rPr>
                    <w:t>Brunelli</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CF3865">
                  <w:pPr>
                    <w:jc w:val="both"/>
                    <w:rPr>
                      <w:rFonts w:asciiTheme="minorHAnsi" w:hAnsiTheme="minorHAnsi" w:cs="Arial"/>
                      <w:sz w:val="22"/>
                      <w:szCs w:val="22"/>
                    </w:rPr>
                  </w:pPr>
                  <w:r w:rsidRPr="002D7427">
                    <w:rPr>
                      <w:rFonts w:asciiTheme="minorHAnsi" w:eastAsiaTheme="minorHAnsi" w:hAnsiTheme="minorHAnsi" w:cs="Arial"/>
                      <w:sz w:val="22"/>
                      <w:szCs w:val="22"/>
                      <w:lang w:eastAsia="en-US"/>
                    </w:rPr>
                    <w:t>Rua Brasiliano</w:t>
                  </w:r>
                  <w:r w:rsidRPr="002D7427">
                    <w:rPr>
                      <w:rFonts w:asciiTheme="minorHAnsi" w:eastAsiaTheme="minorHAnsi" w:hAnsiTheme="minorHAnsi" w:cs="Arial"/>
                      <w:sz w:val="22"/>
                      <w:szCs w:val="22"/>
                      <w:lang w:eastAsia="en-US"/>
                    </w:rPr>
                    <w:t xml:space="preserve"> Previtale</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CF3865">
                  <w:pPr>
                    <w:autoSpaceDE w:val="0"/>
                    <w:autoSpaceDN w:val="0"/>
                    <w:adjustRightInd w:val="0"/>
                    <w:jc w:val="both"/>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Caetano Ferrari</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CF3865">
                  <w:pPr>
                    <w:autoSpaceDE w:val="0"/>
                    <w:autoSpaceDN w:val="0"/>
                    <w:adjustRightInd w:val="0"/>
                    <w:jc w:val="both"/>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Coca Viscardi</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CF3865">
                  <w:pPr>
                    <w:autoSpaceDE w:val="0"/>
                    <w:autoSpaceDN w:val="0"/>
                    <w:adjustRightInd w:val="0"/>
                    <w:jc w:val="both"/>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Dezessete (Nova Palmares)</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CF3865">
                  <w:pPr>
                    <w:autoSpaceDE w:val="0"/>
                    <w:autoSpaceDN w:val="0"/>
                    <w:adjustRightInd w:val="0"/>
                    <w:jc w:val="both"/>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Diógenes Pedroso de Oliveira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CF3865">
                  <w:pPr>
                    <w:autoSpaceDE w:val="0"/>
                    <w:autoSpaceDN w:val="0"/>
                    <w:adjustRightInd w:val="0"/>
                    <w:jc w:val="both"/>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Eduardo Martini</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CF3865">
                  <w:pPr>
                    <w:autoSpaceDE w:val="0"/>
                    <w:autoSpaceDN w:val="0"/>
                    <w:adjustRightInd w:val="0"/>
                    <w:jc w:val="both"/>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w:t>
                  </w:r>
                  <w:r w:rsidRPr="002D7427">
                    <w:rPr>
                      <w:rFonts w:asciiTheme="minorHAnsi" w:eastAsiaTheme="minorHAnsi" w:hAnsiTheme="minorHAnsi" w:cs="Arial"/>
                      <w:sz w:val="22"/>
                      <w:szCs w:val="22"/>
                      <w:lang w:eastAsia="en-US"/>
                    </w:rPr>
                    <w:t>Elso</w:t>
                  </w:r>
                  <w:r w:rsidRPr="002D7427">
                    <w:rPr>
                      <w:rFonts w:asciiTheme="minorHAnsi" w:eastAsiaTheme="minorHAnsi" w:hAnsiTheme="minorHAnsi" w:cs="Arial"/>
                      <w:sz w:val="22"/>
                      <w:szCs w:val="22"/>
                      <w:lang w:eastAsia="en-US"/>
                    </w:rPr>
                    <w:t xml:space="preserve"> Previtale</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CF3865">
                  <w:pPr>
                    <w:autoSpaceDE w:val="0"/>
                    <w:autoSpaceDN w:val="0"/>
                    <w:adjustRightInd w:val="0"/>
                    <w:jc w:val="both"/>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Eunice Aparecida </w:t>
                  </w:r>
                  <w:r w:rsidRPr="002D7427">
                    <w:rPr>
                      <w:rFonts w:asciiTheme="minorHAnsi" w:eastAsiaTheme="minorHAnsi" w:hAnsiTheme="minorHAnsi" w:cs="Arial"/>
                      <w:sz w:val="22"/>
                      <w:szCs w:val="22"/>
                      <w:lang w:eastAsia="en-US"/>
                    </w:rPr>
                    <w:t>Baroni</w:t>
                  </w:r>
                  <w:r w:rsidRPr="002D7427">
                    <w:rPr>
                      <w:rFonts w:asciiTheme="minorHAnsi" w:eastAsiaTheme="minorHAnsi" w:hAnsiTheme="minorHAnsi" w:cs="Arial"/>
                      <w:sz w:val="22"/>
                      <w:szCs w:val="22"/>
                      <w:lang w:eastAsia="en-US"/>
                    </w:rPr>
                    <w:t xml:space="preserve"> (entre Bento Ferraz e Estrada da Boiada)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CF3865">
                  <w:pPr>
                    <w:autoSpaceDE w:val="0"/>
                    <w:autoSpaceDN w:val="0"/>
                    <w:adjustRightInd w:val="0"/>
                    <w:jc w:val="both"/>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Dr. Fernando Leite Ferraz (entre Esportes e Ataliba Nogueira)</w:t>
                  </w:r>
                </w:p>
              </w:tc>
            </w:tr>
            <w:tr w:rsidTr="00CF3865">
              <w:tblPrEx>
                <w:tblW w:w="4337" w:type="dxa"/>
                <w:tblLayout w:type="fixed"/>
                <w:tblLook w:val="04A0"/>
              </w:tblPrEx>
              <w:trPr>
                <w:trHeight w:val="117"/>
              </w:trPr>
              <w:tc>
                <w:tcPr>
                  <w:tcW w:w="972" w:type="dxa"/>
                  <w:vMerge/>
                </w:tcPr>
                <w:p w:rsidR="00CF3865" w:rsidRPr="002D7427" w:rsidP="00AC0EDA">
                  <w:pPr>
                    <w:autoSpaceDE w:val="0"/>
                    <w:autoSpaceDN w:val="0"/>
                    <w:adjustRightInd w:val="0"/>
                    <w:rPr>
                      <w:rFonts w:asciiTheme="minorHAnsi" w:hAnsiTheme="minorHAnsi" w:cs="Arial"/>
                      <w:b/>
                      <w:sz w:val="22"/>
                      <w:szCs w:val="22"/>
                    </w:rPr>
                  </w:pPr>
                </w:p>
              </w:tc>
              <w:tc>
                <w:tcPr>
                  <w:tcW w:w="3365" w:type="dxa"/>
                </w:tcPr>
                <w:p w:rsidR="00CF3865" w:rsidRPr="002D7427" w:rsidP="00CF3865">
                  <w:pPr>
                    <w:autoSpaceDE w:val="0"/>
                    <w:autoSpaceDN w:val="0"/>
                    <w:adjustRightInd w:val="0"/>
                    <w:jc w:val="both"/>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Fioravante </w:t>
                  </w:r>
                  <w:r w:rsidRPr="002D7427">
                    <w:rPr>
                      <w:rFonts w:asciiTheme="minorHAnsi" w:eastAsiaTheme="minorHAnsi" w:hAnsiTheme="minorHAnsi" w:cs="Arial"/>
                      <w:sz w:val="22"/>
                      <w:szCs w:val="22"/>
                      <w:lang w:eastAsia="en-US"/>
                    </w:rPr>
                    <w:t>Agnello</w:t>
                  </w:r>
                  <w:r w:rsidRPr="002D7427">
                    <w:rPr>
                      <w:rFonts w:asciiTheme="minorHAnsi" w:eastAsiaTheme="minorHAnsi" w:hAnsiTheme="minorHAnsi" w:cs="Arial"/>
                      <w:sz w:val="22"/>
                      <w:szCs w:val="22"/>
                      <w:lang w:eastAsia="en-US"/>
                    </w:rPr>
                    <w:t xml:space="preserve"> (da Gessy Lever até Gildo Tordin)</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CF3865">
                  <w:pPr>
                    <w:autoSpaceDE w:val="0"/>
                    <w:autoSpaceDN w:val="0"/>
                    <w:adjustRightInd w:val="0"/>
                    <w:jc w:val="both"/>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Frederico </w:t>
                  </w:r>
                  <w:r w:rsidRPr="002D7427">
                    <w:rPr>
                      <w:rFonts w:asciiTheme="minorHAnsi" w:eastAsiaTheme="minorHAnsi" w:hAnsiTheme="minorHAnsi" w:cs="Arial"/>
                      <w:sz w:val="22"/>
                      <w:szCs w:val="22"/>
                      <w:lang w:eastAsia="en-US"/>
                    </w:rPr>
                    <w:t>Bugim</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CF3865">
                  <w:pPr>
                    <w:autoSpaceDE w:val="0"/>
                    <w:autoSpaceDN w:val="0"/>
                    <w:adjustRightInd w:val="0"/>
                    <w:jc w:val="both"/>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Gardênias</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CF3865">
                  <w:pPr>
                    <w:autoSpaceDE w:val="0"/>
                    <w:autoSpaceDN w:val="0"/>
                    <w:adjustRightInd w:val="0"/>
                    <w:jc w:val="both"/>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w:t>
                  </w:r>
                  <w:r w:rsidRPr="002D7427">
                    <w:rPr>
                      <w:rFonts w:asciiTheme="minorHAnsi" w:eastAsiaTheme="minorHAnsi" w:hAnsiTheme="minorHAnsi" w:cs="Arial"/>
                      <w:sz w:val="22"/>
                      <w:szCs w:val="22"/>
                      <w:lang w:eastAsia="en-US"/>
                    </w:rPr>
                    <w:t>Hygino</w:t>
                  </w:r>
                  <w:r w:rsidRPr="002D7427">
                    <w:rPr>
                      <w:rFonts w:asciiTheme="minorHAnsi" w:eastAsiaTheme="minorHAnsi" w:hAnsiTheme="minorHAnsi" w:cs="Arial"/>
                      <w:sz w:val="22"/>
                      <w:szCs w:val="22"/>
                      <w:lang w:eastAsia="en-US"/>
                    </w:rPr>
                    <w:t xml:space="preserve"> Guilherme </w:t>
                  </w:r>
                  <w:r w:rsidRPr="002D7427">
                    <w:rPr>
                      <w:rFonts w:asciiTheme="minorHAnsi" w:eastAsiaTheme="minorHAnsi" w:hAnsiTheme="minorHAnsi" w:cs="Arial"/>
                      <w:sz w:val="22"/>
                      <w:szCs w:val="22"/>
                      <w:lang w:eastAsia="en-US"/>
                    </w:rPr>
                    <w:t>Costato</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CF3865">
                  <w:pPr>
                    <w:autoSpaceDE w:val="0"/>
                    <w:autoSpaceDN w:val="0"/>
                    <w:adjustRightInd w:val="0"/>
                    <w:jc w:val="both"/>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João de Oliveira Campos</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CF3865">
                  <w:pPr>
                    <w:autoSpaceDE w:val="0"/>
                    <w:autoSpaceDN w:val="0"/>
                    <w:adjustRightInd w:val="0"/>
                    <w:jc w:val="both"/>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José Carlos Ferrari</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CF3865">
                  <w:pPr>
                    <w:autoSpaceDE w:val="0"/>
                    <w:autoSpaceDN w:val="0"/>
                    <w:adjustRightInd w:val="0"/>
                    <w:jc w:val="both"/>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José de Oliveira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CF3865">
                  <w:pPr>
                    <w:autoSpaceDE w:val="0"/>
                    <w:autoSpaceDN w:val="0"/>
                    <w:adjustRightInd w:val="0"/>
                    <w:jc w:val="both"/>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José </w:t>
                  </w:r>
                  <w:r w:rsidRPr="002D7427">
                    <w:rPr>
                      <w:rFonts w:asciiTheme="minorHAnsi" w:eastAsiaTheme="minorHAnsi" w:hAnsiTheme="minorHAnsi" w:cs="Arial"/>
                      <w:sz w:val="22"/>
                      <w:szCs w:val="22"/>
                      <w:lang w:eastAsia="en-US"/>
                    </w:rPr>
                    <w:t>Guirardello</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CF3865">
                  <w:pPr>
                    <w:autoSpaceDE w:val="0"/>
                    <w:autoSpaceDN w:val="0"/>
                    <w:adjustRightInd w:val="0"/>
                    <w:jc w:val="both"/>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José Mamprin</w:t>
                  </w:r>
                </w:p>
              </w:tc>
            </w:tr>
            <w:tr w:rsidTr="00CF3865">
              <w:tblPrEx>
                <w:tblW w:w="4337" w:type="dxa"/>
                <w:tblLayout w:type="fixed"/>
                <w:tblLook w:val="04A0"/>
              </w:tblPrEx>
              <w:trPr>
                <w:trHeight w:val="117"/>
              </w:trPr>
              <w:tc>
                <w:tcPr>
                  <w:tcW w:w="972" w:type="dxa"/>
                  <w:vMerge/>
                </w:tcPr>
                <w:p w:rsidR="00773FB2" w:rsidRPr="002D7427" w:rsidP="00AC0EDA">
                  <w:pPr>
                    <w:autoSpaceDE w:val="0"/>
                    <w:autoSpaceDN w:val="0"/>
                    <w:adjustRightInd w:val="0"/>
                    <w:rPr>
                      <w:rFonts w:asciiTheme="minorHAnsi" w:hAnsiTheme="minorHAnsi" w:cs="Arial"/>
                      <w:b/>
                      <w:sz w:val="22"/>
                      <w:szCs w:val="22"/>
                    </w:rPr>
                  </w:pPr>
                </w:p>
              </w:tc>
              <w:tc>
                <w:tcPr>
                  <w:tcW w:w="3365" w:type="dxa"/>
                </w:tcPr>
                <w:p w:rsidR="00773FB2" w:rsidRPr="002D7427" w:rsidP="00CF3865">
                  <w:pPr>
                    <w:autoSpaceDE w:val="0"/>
                    <w:autoSpaceDN w:val="0"/>
                    <w:adjustRightInd w:val="0"/>
                    <w:jc w:val="both"/>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w:t>
                  </w:r>
                  <w:r w:rsidRPr="002D7427">
                    <w:rPr>
                      <w:rFonts w:asciiTheme="minorHAnsi" w:eastAsiaTheme="minorHAnsi" w:hAnsiTheme="minorHAnsi" w:cs="Arial"/>
                      <w:sz w:val="22"/>
                      <w:szCs w:val="22"/>
                      <w:lang w:eastAsia="en-US"/>
                    </w:rPr>
                    <w:t>Leonora</w:t>
                  </w:r>
                  <w:r w:rsidRPr="002D7427">
                    <w:rPr>
                      <w:rFonts w:asciiTheme="minorHAnsi" w:eastAsiaTheme="minorHAnsi" w:hAnsiTheme="minorHAnsi" w:cs="Arial"/>
                      <w:sz w:val="22"/>
                      <w:szCs w:val="22"/>
                      <w:lang w:eastAsia="en-US"/>
                    </w:rPr>
                    <w:t xml:space="preserve"> Armstrong (trecho da Rua Eunice Aparecida </w:t>
                  </w:r>
                  <w:r w:rsidRPr="002D7427">
                    <w:rPr>
                      <w:rFonts w:asciiTheme="minorHAnsi" w:eastAsiaTheme="minorHAnsi" w:hAnsiTheme="minorHAnsi" w:cs="Arial"/>
                      <w:sz w:val="22"/>
                      <w:szCs w:val="22"/>
                      <w:lang w:eastAsia="en-US"/>
                    </w:rPr>
                    <w:t>Baroni</w:t>
                  </w:r>
                  <w:r w:rsidRPr="002D7427">
                    <w:rPr>
                      <w:rFonts w:asciiTheme="minorHAnsi" w:eastAsiaTheme="minorHAnsi" w:hAnsiTheme="minorHAnsi" w:cs="Arial"/>
                      <w:sz w:val="22"/>
                      <w:szCs w:val="22"/>
                      <w:lang w:eastAsia="en-US"/>
                    </w:rPr>
                    <w:t xml:space="preserve"> até Rua Cleusa </w:t>
                  </w:r>
                  <w:r w:rsidRPr="002D7427">
                    <w:rPr>
                      <w:rFonts w:asciiTheme="minorHAnsi" w:eastAsiaTheme="minorHAnsi" w:hAnsiTheme="minorHAnsi" w:cs="Arial"/>
                      <w:sz w:val="22"/>
                      <w:szCs w:val="22"/>
                      <w:lang w:eastAsia="en-US"/>
                    </w:rPr>
                    <w:t>Menegon</w:t>
                  </w:r>
                  <w:r w:rsidRPr="002D7427">
                    <w:rPr>
                      <w:rFonts w:asciiTheme="minorHAnsi" w:eastAsiaTheme="minorHAnsi" w:hAnsiTheme="minorHAnsi" w:cs="Arial"/>
                      <w:sz w:val="22"/>
                      <w:szCs w:val="22"/>
                      <w:lang w:eastAsia="en-US"/>
                    </w:rPr>
                    <w:t xml:space="preserve"> </w:t>
                  </w:r>
                  <w:r w:rsidRPr="002D7427">
                    <w:rPr>
                      <w:rFonts w:asciiTheme="minorHAnsi" w:eastAsiaTheme="minorHAnsi" w:hAnsiTheme="minorHAnsi" w:cs="Arial"/>
                      <w:sz w:val="22"/>
                      <w:szCs w:val="22"/>
                      <w:lang w:eastAsia="en-US"/>
                    </w:rPr>
                    <w:t>Cancian</w:t>
                  </w:r>
                  <w:r w:rsidRPr="002D7427">
                    <w:rPr>
                      <w:rFonts w:asciiTheme="minorHAnsi" w:eastAsiaTheme="minorHAnsi" w:hAnsiTheme="minorHAnsi" w:cs="Arial"/>
                      <w:sz w:val="22"/>
                      <w:szCs w:val="22"/>
                      <w:lang w:eastAsia="en-US"/>
                    </w:rPr>
                    <w:t>)</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Lino </w:t>
                  </w:r>
                  <w:r w:rsidRPr="002D7427">
                    <w:rPr>
                      <w:rFonts w:asciiTheme="minorHAnsi" w:eastAsiaTheme="minorHAnsi" w:hAnsiTheme="minorHAnsi" w:cs="Arial"/>
                      <w:sz w:val="22"/>
                      <w:szCs w:val="22"/>
                      <w:lang w:eastAsia="en-US"/>
                    </w:rPr>
                    <w:t>Buzatto</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rPr>
                      <w:rFonts w:asciiTheme="minorHAnsi" w:hAnsiTheme="minorHAnsi" w:cs="Arial"/>
                      <w:sz w:val="22"/>
                      <w:szCs w:val="22"/>
                    </w:rPr>
                  </w:pPr>
                  <w:r w:rsidRPr="002D7427">
                    <w:rPr>
                      <w:rFonts w:asciiTheme="minorHAnsi" w:eastAsiaTheme="minorHAnsi" w:hAnsiTheme="minorHAnsi" w:cs="Arial"/>
                      <w:sz w:val="22"/>
                      <w:szCs w:val="22"/>
                      <w:lang w:eastAsia="en-US"/>
                    </w:rPr>
                    <w:t>Rua Madre Maria de Calvário</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Manacás</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Martinho </w:t>
                  </w:r>
                  <w:r w:rsidRPr="002D7427">
                    <w:rPr>
                      <w:rFonts w:asciiTheme="minorHAnsi" w:eastAsiaTheme="minorHAnsi" w:hAnsiTheme="minorHAnsi" w:cs="Arial"/>
                      <w:sz w:val="22"/>
                      <w:szCs w:val="22"/>
                      <w:lang w:eastAsia="en-US"/>
                    </w:rPr>
                    <w:t>Leardine</w:t>
                  </w:r>
                </w:p>
              </w:tc>
            </w:tr>
            <w:tr w:rsidTr="00CF3865">
              <w:tblPrEx>
                <w:tblW w:w="4337" w:type="dxa"/>
                <w:tblLayout w:type="fixed"/>
                <w:tblLook w:val="04A0"/>
              </w:tblPrEx>
              <w:trPr>
                <w:trHeight w:val="117"/>
              </w:trPr>
              <w:tc>
                <w:tcPr>
                  <w:tcW w:w="972" w:type="dxa"/>
                  <w:vMerge/>
                </w:tcPr>
                <w:p w:rsidR="00666692" w:rsidRPr="002D7427" w:rsidP="00AC0EDA">
                  <w:pPr>
                    <w:autoSpaceDE w:val="0"/>
                    <w:autoSpaceDN w:val="0"/>
                    <w:adjustRightInd w:val="0"/>
                    <w:rPr>
                      <w:rFonts w:asciiTheme="minorHAnsi" w:hAnsiTheme="minorHAnsi" w:cs="Arial"/>
                      <w:b/>
                      <w:sz w:val="22"/>
                      <w:szCs w:val="22"/>
                    </w:rPr>
                  </w:pPr>
                </w:p>
              </w:tc>
              <w:tc>
                <w:tcPr>
                  <w:tcW w:w="3365" w:type="dxa"/>
                </w:tcPr>
                <w:p w:rsidR="00666692"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Av. Marginal C</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Av. Marginal D</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w:t>
                  </w:r>
                  <w:r w:rsidRPr="002D7427">
                    <w:rPr>
                      <w:rFonts w:asciiTheme="minorHAnsi" w:eastAsiaTheme="minorHAnsi" w:hAnsiTheme="minorHAnsi" w:cs="Arial"/>
                      <w:sz w:val="22"/>
                      <w:szCs w:val="22"/>
                      <w:lang w:eastAsia="en-US"/>
                    </w:rPr>
                    <w:t>Mercídio</w:t>
                  </w:r>
                  <w:r w:rsidRPr="002D7427">
                    <w:rPr>
                      <w:rFonts w:asciiTheme="minorHAnsi" w:eastAsiaTheme="minorHAnsi" w:hAnsiTheme="minorHAnsi" w:cs="Arial"/>
                      <w:sz w:val="22"/>
                      <w:szCs w:val="22"/>
                      <w:lang w:eastAsia="en-US"/>
                    </w:rPr>
                    <w:t xml:space="preserve"> </w:t>
                  </w:r>
                  <w:r w:rsidRPr="002D7427">
                    <w:rPr>
                      <w:rFonts w:asciiTheme="minorHAnsi" w:eastAsiaTheme="minorHAnsi" w:hAnsiTheme="minorHAnsi" w:cs="Arial"/>
                      <w:sz w:val="22"/>
                      <w:szCs w:val="22"/>
                      <w:lang w:eastAsia="en-US"/>
                    </w:rPr>
                    <w:t>Pazelli</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Estrada Municipal (São Marcos)</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Av. Olga </w:t>
                  </w:r>
                  <w:r w:rsidRPr="002D7427">
                    <w:rPr>
                      <w:rFonts w:asciiTheme="minorHAnsi" w:eastAsiaTheme="minorHAnsi" w:hAnsiTheme="minorHAnsi" w:cs="Arial"/>
                      <w:sz w:val="22"/>
                      <w:szCs w:val="22"/>
                      <w:lang w:eastAsia="en-US"/>
                    </w:rPr>
                    <w:t>Pogette</w:t>
                  </w:r>
                  <w:r w:rsidRPr="002D7427">
                    <w:rPr>
                      <w:rFonts w:asciiTheme="minorHAnsi" w:eastAsiaTheme="minorHAnsi" w:hAnsiTheme="minorHAnsi" w:cs="Arial"/>
                      <w:sz w:val="22"/>
                      <w:szCs w:val="22"/>
                      <w:lang w:eastAsia="en-US"/>
                    </w:rPr>
                    <w:t xml:space="preserve"> Vieira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Pedro </w:t>
                  </w:r>
                  <w:r w:rsidRPr="002D7427">
                    <w:rPr>
                      <w:rFonts w:asciiTheme="minorHAnsi" w:eastAsiaTheme="minorHAnsi" w:hAnsiTheme="minorHAnsi" w:cs="Arial"/>
                      <w:sz w:val="22"/>
                      <w:szCs w:val="22"/>
                      <w:lang w:eastAsia="en-US"/>
                    </w:rPr>
                    <w:t>Leardini</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Pedro Pelegrini</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Ricardo Maria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Estrada Municipal Roncaglia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Alameda Carlos Carvalho V. Braga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Alameda Flávia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Av. Arq. Clayton Alves Corrêa </w:t>
                  </w:r>
                  <w:r w:rsidRPr="002D7427">
                    <w:rPr>
                      <w:rFonts w:asciiTheme="minorHAnsi" w:eastAsiaTheme="minorHAnsi" w:hAnsiTheme="minorHAnsi" w:cs="Arial"/>
                      <w:sz w:val="22"/>
                      <w:szCs w:val="22"/>
                      <w:lang w:eastAsia="en-US"/>
                    </w:rPr>
                    <w:t xml:space="preserve">( </w:t>
                  </w:r>
                  <w:r w:rsidRPr="002D7427">
                    <w:rPr>
                      <w:rFonts w:asciiTheme="minorHAnsi" w:eastAsiaTheme="minorHAnsi" w:hAnsiTheme="minorHAnsi" w:cs="Arial"/>
                      <w:sz w:val="22"/>
                      <w:szCs w:val="22"/>
                      <w:lang w:eastAsia="en-US"/>
                    </w:rPr>
                    <w:t xml:space="preserve">até </w:t>
                  </w:r>
                  <w:r w:rsidRPr="002D7427">
                    <w:rPr>
                      <w:rFonts w:asciiTheme="minorHAnsi" w:eastAsiaTheme="minorHAnsi" w:hAnsiTheme="minorHAnsi" w:cs="Arial"/>
                      <w:sz w:val="22"/>
                      <w:szCs w:val="22"/>
                      <w:lang w:eastAsia="en-US"/>
                    </w:rPr>
                    <w:t xml:space="preserve">a Rua Sebastião Gonçalves Filho e Av. Alcindo </w:t>
                  </w:r>
                  <w:r w:rsidRPr="002D7427">
                    <w:rPr>
                      <w:rFonts w:asciiTheme="minorHAnsi" w:eastAsiaTheme="minorHAnsi" w:hAnsiTheme="minorHAnsi" w:cs="Arial"/>
                      <w:sz w:val="22"/>
                      <w:szCs w:val="22"/>
                      <w:lang w:eastAsia="en-US"/>
                    </w:rPr>
                    <w:t>Marcon</w:t>
                  </w:r>
                  <w:r w:rsidRPr="002D7427">
                    <w:rPr>
                      <w:rFonts w:asciiTheme="minorHAnsi" w:eastAsiaTheme="minorHAnsi" w:hAnsiTheme="minorHAnsi" w:cs="Arial"/>
                      <w:sz w:val="22"/>
                      <w:szCs w:val="22"/>
                      <w:lang w:eastAsia="en-US"/>
                    </w:rPr>
                    <w:t>)</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Estrada do Clube de Campo Valinhos</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Estoril</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w:t>
                  </w:r>
                  <w:r w:rsidRPr="002D7427">
                    <w:rPr>
                      <w:rFonts w:asciiTheme="minorHAnsi" w:eastAsiaTheme="minorHAnsi" w:hAnsiTheme="minorHAnsi" w:cs="Arial"/>
                      <w:sz w:val="22"/>
                      <w:szCs w:val="22"/>
                      <w:lang w:eastAsia="en-US"/>
                    </w:rPr>
                    <w:t>Itaicira</w:t>
                  </w:r>
                  <w:r w:rsidRPr="002D7427">
                    <w:rPr>
                      <w:rFonts w:asciiTheme="minorHAnsi" w:eastAsiaTheme="minorHAnsi" w:hAnsiTheme="minorHAnsi" w:cs="Arial"/>
                      <w:sz w:val="22"/>
                      <w:szCs w:val="22"/>
                      <w:lang w:eastAsia="en-US"/>
                    </w:rPr>
                    <w:t xml:space="preserve"> (da Itatiaia até a Itagi)</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w:t>
                  </w:r>
                  <w:r w:rsidRPr="002D7427">
                    <w:rPr>
                      <w:rFonts w:asciiTheme="minorHAnsi" w:eastAsiaTheme="minorHAnsi" w:hAnsiTheme="minorHAnsi" w:cs="Arial"/>
                      <w:sz w:val="22"/>
                      <w:szCs w:val="22"/>
                      <w:lang w:eastAsia="en-US"/>
                    </w:rPr>
                    <w:t>Itaiu</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rPr>
                      <w:rFonts w:asciiTheme="minorHAnsi" w:hAnsiTheme="minorHAnsi" w:cs="Arial"/>
                      <w:sz w:val="22"/>
                      <w:szCs w:val="22"/>
                    </w:rPr>
                  </w:pPr>
                  <w:r w:rsidRPr="002D7427">
                    <w:rPr>
                      <w:rFonts w:asciiTheme="minorHAnsi" w:eastAsiaTheme="minorHAnsi" w:hAnsiTheme="minorHAnsi" w:cs="Arial"/>
                      <w:sz w:val="22"/>
                      <w:szCs w:val="22"/>
                      <w:lang w:eastAsia="en-US"/>
                    </w:rPr>
                    <w:t>Rua Itajaí</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Itatiba (São Bento do Recreio)</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Júlia </w:t>
                  </w:r>
                  <w:r w:rsidRPr="002D7427">
                    <w:rPr>
                      <w:rFonts w:asciiTheme="minorHAnsi" w:eastAsiaTheme="minorHAnsi" w:hAnsiTheme="minorHAnsi" w:cs="Arial"/>
                      <w:sz w:val="22"/>
                      <w:szCs w:val="22"/>
                      <w:lang w:eastAsia="en-US"/>
                    </w:rPr>
                    <w:t>Ostraneli</w:t>
                  </w:r>
                  <w:r w:rsidRPr="002D7427">
                    <w:rPr>
                      <w:rFonts w:asciiTheme="minorHAnsi" w:eastAsiaTheme="minorHAnsi" w:hAnsiTheme="minorHAnsi" w:cs="Arial"/>
                      <w:sz w:val="22"/>
                      <w:szCs w:val="22"/>
                      <w:lang w:eastAsia="en-US"/>
                    </w:rPr>
                    <w:t xml:space="preserve"> Favrin (entre Geraldo </w:t>
                  </w:r>
                  <w:r w:rsidRPr="002D7427">
                    <w:rPr>
                      <w:rFonts w:asciiTheme="minorHAnsi" w:eastAsiaTheme="minorHAnsi" w:hAnsiTheme="minorHAnsi" w:cs="Arial"/>
                      <w:sz w:val="22"/>
                      <w:szCs w:val="22"/>
                      <w:lang w:eastAsia="en-US"/>
                    </w:rPr>
                    <w:t>Gasperi</w:t>
                  </w:r>
                  <w:r w:rsidRPr="002D7427">
                    <w:rPr>
                      <w:rFonts w:asciiTheme="minorHAnsi" w:eastAsiaTheme="minorHAnsi" w:hAnsiTheme="minorHAnsi" w:cs="Arial"/>
                      <w:sz w:val="22"/>
                      <w:szCs w:val="22"/>
                      <w:lang w:eastAsia="en-US"/>
                    </w:rPr>
                    <w:t xml:space="preserve"> e Eunice </w:t>
                  </w:r>
                  <w:r w:rsidRPr="002D7427">
                    <w:rPr>
                      <w:rFonts w:asciiTheme="minorHAnsi" w:eastAsiaTheme="minorHAnsi" w:hAnsiTheme="minorHAnsi" w:cs="Arial"/>
                      <w:sz w:val="22"/>
                      <w:szCs w:val="22"/>
                      <w:lang w:eastAsia="en-US"/>
                    </w:rPr>
                    <w:t>Baroni</w:t>
                  </w:r>
                  <w:r w:rsidRPr="002D7427">
                    <w:rPr>
                      <w:rFonts w:asciiTheme="minorHAnsi" w:eastAsiaTheme="minorHAnsi" w:hAnsiTheme="minorHAnsi" w:cs="Arial"/>
                      <w:sz w:val="22"/>
                      <w:szCs w:val="22"/>
                      <w:lang w:eastAsia="en-US"/>
                    </w:rPr>
                    <w:t>)</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Pastor Osvaldo </w:t>
                  </w:r>
                  <w:r w:rsidRPr="002D7427">
                    <w:rPr>
                      <w:rFonts w:asciiTheme="minorHAnsi" w:eastAsiaTheme="minorHAnsi" w:hAnsiTheme="minorHAnsi" w:cs="Arial"/>
                      <w:sz w:val="22"/>
                      <w:szCs w:val="22"/>
                      <w:lang w:eastAsia="en-US"/>
                    </w:rPr>
                    <w:t>Ceccon</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Porto</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Santarém</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Vila Real</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Vinhais</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w:t>
                  </w:r>
                  <w:r w:rsidRPr="002D7427">
                    <w:rPr>
                      <w:rFonts w:asciiTheme="minorHAnsi" w:eastAsiaTheme="minorHAnsi" w:hAnsiTheme="minorHAnsi" w:cs="Arial"/>
                      <w:sz w:val="22"/>
                      <w:szCs w:val="22"/>
                      <w:lang w:eastAsia="en-US"/>
                    </w:rPr>
                    <w:t>Claudemires</w:t>
                  </w:r>
                  <w:r w:rsidRPr="002D7427">
                    <w:rPr>
                      <w:rFonts w:asciiTheme="minorHAnsi" w:eastAsiaTheme="minorHAnsi" w:hAnsiTheme="minorHAnsi" w:cs="Arial"/>
                      <w:sz w:val="22"/>
                      <w:szCs w:val="22"/>
                      <w:lang w:eastAsia="en-US"/>
                    </w:rPr>
                    <w:t xml:space="preserve"> dos Santos</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Av. Thereza </w:t>
                  </w:r>
                  <w:r w:rsidRPr="002D7427">
                    <w:rPr>
                      <w:rFonts w:asciiTheme="minorHAnsi" w:eastAsiaTheme="minorHAnsi" w:hAnsiTheme="minorHAnsi" w:cs="Arial"/>
                      <w:sz w:val="22"/>
                      <w:szCs w:val="22"/>
                      <w:lang w:eastAsia="en-US"/>
                    </w:rPr>
                    <w:t>Pogetti</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Vicente </w:t>
                  </w:r>
                  <w:r w:rsidRPr="002D7427">
                    <w:rPr>
                      <w:rFonts w:asciiTheme="minorHAnsi" w:eastAsiaTheme="minorHAnsi" w:hAnsiTheme="minorHAnsi" w:cs="Arial"/>
                      <w:sz w:val="22"/>
                      <w:szCs w:val="22"/>
                      <w:lang w:eastAsia="en-US"/>
                    </w:rPr>
                    <w:t>Angelo</w:t>
                  </w:r>
                  <w:r w:rsidRPr="002D7427">
                    <w:rPr>
                      <w:rFonts w:asciiTheme="minorHAnsi" w:eastAsiaTheme="minorHAnsi" w:hAnsiTheme="minorHAnsi" w:cs="Arial"/>
                      <w:sz w:val="22"/>
                      <w:szCs w:val="22"/>
                      <w:lang w:eastAsia="en-US"/>
                    </w:rPr>
                    <w:t xml:space="preserve"> Bissoto</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496A34">
                  <w:pPr>
                    <w:rPr>
                      <w:rFonts w:asciiTheme="minorHAnsi" w:hAnsiTheme="minorHAnsi" w:cs="Arial"/>
                      <w:sz w:val="22"/>
                      <w:szCs w:val="22"/>
                    </w:rPr>
                  </w:pPr>
                  <w:r w:rsidRPr="002D7427">
                    <w:rPr>
                      <w:rFonts w:asciiTheme="minorHAnsi" w:eastAsiaTheme="minorHAnsi" w:hAnsiTheme="minorHAnsi" w:cs="Arial"/>
                      <w:sz w:val="22"/>
                      <w:szCs w:val="22"/>
                      <w:lang w:eastAsia="en-US"/>
                    </w:rPr>
                    <w:t xml:space="preserve">Av. Victor Antonio </w:t>
                  </w:r>
                  <w:r w:rsidRPr="002D7427">
                    <w:rPr>
                      <w:rFonts w:asciiTheme="minorHAnsi" w:eastAsiaTheme="minorHAnsi" w:hAnsiTheme="minorHAnsi" w:cs="Arial"/>
                      <w:sz w:val="22"/>
                      <w:szCs w:val="22"/>
                      <w:lang w:eastAsia="en-US"/>
                    </w:rPr>
                    <w:t>Capovilla</w:t>
                  </w:r>
                </w:p>
              </w:tc>
            </w:tr>
            <w:tr w:rsidTr="00CF3865">
              <w:tblPrEx>
                <w:tblW w:w="4337" w:type="dxa"/>
                <w:tblLayout w:type="fixed"/>
                <w:tblLook w:val="04A0"/>
              </w:tblPrEx>
              <w:trPr>
                <w:trHeight w:val="117"/>
              </w:trPr>
              <w:tc>
                <w:tcPr>
                  <w:tcW w:w="972" w:type="dxa"/>
                  <w:vMerge w:val="restart"/>
                  <w:vAlign w:val="center"/>
                </w:tcPr>
                <w:p w:rsidR="00AC0EDA" w:rsidRPr="002D7427" w:rsidP="00AC0EDA">
                  <w:pPr>
                    <w:autoSpaceDE w:val="0"/>
                    <w:autoSpaceDN w:val="0"/>
                    <w:adjustRightInd w:val="0"/>
                    <w:jc w:val="center"/>
                    <w:rPr>
                      <w:rFonts w:asciiTheme="minorHAnsi" w:hAnsiTheme="minorHAnsi" w:cs="Arial"/>
                      <w:b/>
                      <w:sz w:val="22"/>
                      <w:szCs w:val="22"/>
                    </w:rPr>
                  </w:pPr>
                  <w:r w:rsidRPr="002D7427">
                    <w:rPr>
                      <w:rFonts w:asciiTheme="minorHAnsi" w:eastAsiaTheme="minorHAnsi" w:hAnsiTheme="minorHAnsi" w:cs="Arial"/>
                      <w:b/>
                      <w:bCs/>
                      <w:sz w:val="22"/>
                      <w:szCs w:val="22"/>
                      <w:highlight w:val="yellow"/>
                      <w:lang w:eastAsia="en-US"/>
                    </w:rPr>
                    <w:t>ZC1.</w:t>
                  </w:r>
                  <w:r w:rsidRPr="002D7427">
                    <w:rPr>
                      <w:rFonts w:asciiTheme="minorHAnsi" w:eastAsiaTheme="minorHAnsi" w:hAnsiTheme="minorHAnsi" w:cs="Arial"/>
                      <w:b/>
                      <w:bCs/>
                      <w:sz w:val="22"/>
                      <w:szCs w:val="22"/>
                      <w:highlight w:val="yellow"/>
                      <w:lang w:eastAsia="en-US"/>
                    </w:rPr>
                    <w:t>5</w:t>
                  </w: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Vitória Régia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Av.</w:t>
                  </w:r>
                  <w:r w:rsidRPr="002D7427">
                    <w:rPr>
                      <w:rFonts w:asciiTheme="minorHAnsi" w:eastAsiaTheme="minorHAnsi" w:hAnsiTheme="minorHAnsi" w:cs="Arial"/>
                      <w:sz w:val="22"/>
                      <w:szCs w:val="22"/>
                      <w:lang w:eastAsia="en-US"/>
                    </w:rPr>
                    <w:t xml:space="preserve"> 03 (prolongamento)</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Dr. Adhemar de Barros</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Av. Albertina de Castro Prado</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Alexandre Humberto </w:t>
                  </w:r>
                  <w:r w:rsidRPr="002D7427">
                    <w:rPr>
                      <w:rFonts w:asciiTheme="minorHAnsi" w:eastAsiaTheme="minorHAnsi" w:hAnsiTheme="minorHAnsi" w:cs="Arial"/>
                      <w:sz w:val="22"/>
                      <w:szCs w:val="22"/>
                      <w:lang w:eastAsia="en-US"/>
                    </w:rPr>
                    <w:t>Moletta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Americana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rPr>
                      <w:rFonts w:asciiTheme="minorHAnsi" w:hAnsiTheme="minorHAnsi" w:cs="Arial"/>
                      <w:sz w:val="22"/>
                      <w:szCs w:val="22"/>
                    </w:rPr>
                  </w:pPr>
                  <w:r w:rsidRPr="002D7427">
                    <w:rPr>
                      <w:rFonts w:asciiTheme="minorHAnsi" w:eastAsiaTheme="minorHAnsi" w:hAnsiTheme="minorHAnsi" w:cs="Arial"/>
                      <w:sz w:val="22"/>
                      <w:szCs w:val="22"/>
                      <w:lang w:eastAsia="en-US"/>
                    </w:rPr>
                    <w:t>Rua Antônio Carlos Russo</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Antônio de Sales </w:t>
                  </w:r>
                  <w:r w:rsidRPr="002D7427">
                    <w:rPr>
                      <w:rFonts w:asciiTheme="minorHAnsi" w:eastAsiaTheme="minorHAnsi" w:hAnsiTheme="minorHAnsi" w:cs="Arial"/>
                      <w:sz w:val="22"/>
                      <w:szCs w:val="22"/>
                      <w:lang w:eastAsia="en-US"/>
                    </w:rPr>
                    <w:t>Pupo</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w:t>
                  </w:r>
                  <w:r w:rsidRPr="002D7427">
                    <w:rPr>
                      <w:rFonts w:asciiTheme="minorHAnsi" w:eastAsiaTheme="minorHAnsi" w:hAnsiTheme="minorHAnsi" w:cs="Arial"/>
                      <w:sz w:val="22"/>
                      <w:szCs w:val="22"/>
                      <w:lang w:eastAsia="en-US"/>
                    </w:rPr>
                    <w:t>Benedicto</w:t>
                  </w:r>
                  <w:r w:rsidRPr="002D7427">
                    <w:rPr>
                      <w:rFonts w:asciiTheme="minorHAnsi" w:eastAsiaTheme="minorHAnsi" w:hAnsiTheme="minorHAnsi" w:cs="Arial"/>
                      <w:sz w:val="22"/>
                      <w:szCs w:val="22"/>
                      <w:lang w:eastAsia="en-US"/>
                    </w:rPr>
                    <w:t xml:space="preserve"> de Campos</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Campinas</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Carlos Penteado Stevenson</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Claudino Pereira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Cristina </w:t>
                  </w:r>
                  <w:r w:rsidRPr="002D7427">
                    <w:rPr>
                      <w:rFonts w:asciiTheme="minorHAnsi" w:eastAsiaTheme="minorHAnsi" w:hAnsiTheme="minorHAnsi" w:cs="Arial"/>
                      <w:sz w:val="22"/>
                      <w:szCs w:val="22"/>
                      <w:lang w:eastAsia="en-US"/>
                    </w:rPr>
                    <w:t>Montanari</w:t>
                  </w:r>
                  <w:r w:rsidRPr="002D7427">
                    <w:rPr>
                      <w:rFonts w:asciiTheme="minorHAnsi" w:eastAsiaTheme="minorHAnsi" w:hAnsiTheme="minorHAnsi" w:cs="Arial"/>
                      <w:sz w:val="22"/>
                      <w:szCs w:val="22"/>
                      <w:lang w:eastAsia="en-US"/>
                    </w:rPr>
                    <w:t xml:space="preserve"> </w:t>
                  </w:r>
                  <w:r w:rsidRPr="002D7427">
                    <w:rPr>
                      <w:rFonts w:asciiTheme="minorHAnsi" w:eastAsiaTheme="minorHAnsi" w:hAnsiTheme="minorHAnsi" w:cs="Arial"/>
                      <w:sz w:val="22"/>
                      <w:szCs w:val="22"/>
                      <w:lang w:eastAsia="en-US"/>
                    </w:rPr>
                    <w:t>Rovere</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Av. Dois (</w:t>
                  </w:r>
                  <w:r w:rsidRPr="002D7427">
                    <w:rPr>
                      <w:rFonts w:asciiTheme="minorHAnsi" w:eastAsiaTheme="minorHAnsi" w:hAnsiTheme="minorHAnsi" w:cs="Arial"/>
                      <w:sz w:val="22"/>
                      <w:szCs w:val="22"/>
                      <w:lang w:eastAsia="en-US"/>
                    </w:rPr>
                    <w:t>Jd.</w:t>
                  </w:r>
                  <w:r w:rsidRPr="002D7427">
                    <w:rPr>
                      <w:rFonts w:asciiTheme="minorHAnsi" w:eastAsiaTheme="minorHAnsi" w:hAnsiTheme="minorHAnsi" w:cs="Arial"/>
                      <w:sz w:val="22"/>
                      <w:szCs w:val="22"/>
                      <w:lang w:eastAsia="en-US"/>
                    </w:rPr>
                    <w:t>São</w:t>
                  </w:r>
                  <w:r w:rsidRPr="002D7427">
                    <w:rPr>
                      <w:rFonts w:asciiTheme="minorHAnsi" w:eastAsiaTheme="minorHAnsi" w:hAnsiTheme="minorHAnsi" w:cs="Arial"/>
                      <w:sz w:val="22"/>
                      <w:szCs w:val="22"/>
                      <w:lang w:eastAsia="en-US"/>
                    </w:rPr>
                    <w:t xml:space="preserve"> Marcos)</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Dom Carlos Carmelo Vasconcellos Motta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Ernesto </w:t>
                  </w:r>
                  <w:r w:rsidRPr="002D7427">
                    <w:rPr>
                      <w:rFonts w:asciiTheme="minorHAnsi" w:eastAsiaTheme="minorHAnsi" w:hAnsiTheme="minorHAnsi" w:cs="Arial"/>
                      <w:sz w:val="22"/>
                      <w:szCs w:val="22"/>
                      <w:lang w:eastAsia="en-US"/>
                    </w:rPr>
                    <w:t>Ponchio</w:t>
                  </w:r>
                  <w:r w:rsidRPr="002D7427">
                    <w:rPr>
                      <w:rFonts w:asciiTheme="minorHAnsi" w:eastAsiaTheme="minorHAnsi" w:hAnsiTheme="minorHAnsi" w:cs="Arial"/>
                      <w:sz w:val="22"/>
                      <w:szCs w:val="22"/>
                      <w:lang w:eastAsia="en-US"/>
                    </w:rPr>
                    <w:t xml:space="preserve"> (da Silvio Alcântara até </w:t>
                  </w:r>
                  <w:r w:rsidRPr="002D7427">
                    <w:rPr>
                      <w:rFonts w:asciiTheme="minorHAnsi" w:eastAsiaTheme="minorHAnsi" w:hAnsiTheme="minorHAnsi" w:cs="Arial"/>
                      <w:sz w:val="22"/>
                      <w:szCs w:val="22"/>
                      <w:lang w:eastAsia="en-US"/>
                    </w:rPr>
                    <w:t>rua</w:t>
                  </w:r>
                  <w:r w:rsidRPr="002D7427">
                    <w:rPr>
                      <w:rFonts w:asciiTheme="minorHAnsi" w:eastAsiaTheme="minorHAnsi" w:hAnsiTheme="minorHAnsi" w:cs="Arial"/>
                      <w:sz w:val="22"/>
                      <w:szCs w:val="22"/>
                      <w:lang w:eastAsia="en-US"/>
                    </w:rPr>
                    <w:t xml:space="preserve"> Um Vila Vitória)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Ezequiel Benedito Silva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w:t>
                  </w:r>
                  <w:r w:rsidRPr="002D7427">
                    <w:rPr>
                      <w:rFonts w:asciiTheme="minorHAnsi" w:eastAsiaTheme="minorHAnsi" w:hAnsiTheme="minorHAnsi" w:cs="Arial"/>
                      <w:sz w:val="22"/>
                      <w:szCs w:val="22"/>
                      <w:lang w:eastAsia="en-US"/>
                    </w:rPr>
                    <w:t>Frede</w:t>
                  </w:r>
                  <w:r w:rsidRPr="002D7427">
                    <w:rPr>
                      <w:rFonts w:asciiTheme="minorHAnsi" w:eastAsiaTheme="minorHAnsi" w:hAnsiTheme="minorHAnsi" w:cs="Arial"/>
                      <w:sz w:val="22"/>
                      <w:szCs w:val="22"/>
                      <w:lang w:eastAsia="en-US"/>
                    </w:rPr>
                    <w:t xml:space="preserve"> </w:t>
                  </w:r>
                  <w:r w:rsidRPr="002D7427">
                    <w:rPr>
                      <w:rFonts w:asciiTheme="minorHAnsi" w:eastAsiaTheme="minorHAnsi" w:hAnsiTheme="minorHAnsi" w:cs="Arial"/>
                      <w:sz w:val="22"/>
                      <w:szCs w:val="22"/>
                      <w:lang w:eastAsia="en-US"/>
                    </w:rPr>
                    <w:t>Madsen</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Gildo Tordin</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Hermínia Olívio Pavan</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Humberto </w:t>
                  </w:r>
                  <w:r w:rsidRPr="002D7427">
                    <w:rPr>
                      <w:rFonts w:asciiTheme="minorHAnsi" w:eastAsiaTheme="minorHAnsi" w:hAnsiTheme="minorHAnsi" w:cs="Arial"/>
                      <w:sz w:val="22"/>
                      <w:szCs w:val="22"/>
                      <w:lang w:eastAsia="en-US"/>
                    </w:rPr>
                    <w:t>Frediani</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Irio </w:t>
                  </w:r>
                  <w:r w:rsidRPr="002D7427">
                    <w:rPr>
                      <w:rFonts w:asciiTheme="minorHAnsi" w:eastAsiaTheme="minorHAnsi" w:hAnsiTheme="minorHAnsi" w:cs="Arial"/>
                      <w:sz w:val="22"/>
                      <w:szCs w:val="22"/>
                      <w:lang w:eastAsia="en-US"/>
                    </w:rPr>
                    <w:t>Giardelli</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Itália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Alameda Itatuba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Alameda Itaúna (</w:t>
                  </w:r>
                  <w:r w:rsidRPr="002D7427">
                    <w:rPr>
                      <w:rFonts w:asciiTheme="minorHAnsi" w:eastAsiaTheme="minorHAnsi" w:hAnsiTheme="minorHAnsi" w:cs="Arial"/>
                      <w:sz w:val="22"/>
                      <w:szCs w:val="22"/>
                      <w:lang w:eastAsia="en-US"/>
                    </w:rPr>
                    <w:t>Joapiranga</w:t>
                  </w:r>
                  <w:r w:rsidRPr="002D7427">
                    <w:rPr>
                      <w:rFonts w:asciiTheme="minorHAnsi" w:eastAsiaTheme="minorHAnsi" w:hAnsiTheme="minorHAnsi" w:cs="Arial"/>
                      <w:sz w:val="22"/>
                      <w:szCs w:val="22"/>
                      <w:lang w:eastAsia="en-US"/>
                    </w:rPr>
                    <w:t xml:space="preserve"> II)</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Estrada Joao (</w:t>
                  </w:r>
                  <w:r w:rsidRPr="002D7427">
                    <w:rPr>
                      <w:rFonts w:asciiTheme="minorHAnsi" w:eastAsiaTheme="minorHAnsi" w:hAnsiTheme="minorHAnsi" w:cs="Arial"/>
                      <w:sz w:val="22"/>
                      <w:szCs w:val="22"/>
                      <w:lang w:eastAsia="en-US"/>
                    </w:rPr>
                    <w:t>Joanin</w:t>
                  </w:r>
                  <w:r w:rsidRPr="002D7427">
                    <w:rPr>
                      <w:rFonts w:asciiTheme="minorHAnsi" w:eastAsiaTheme="minorHAnsi" w:hAnsiTheme="minorHAnsi" w:cs="Arial"/>
                      <w:sz w:val="22"/>
                      <w:szCs w:val="22"/>
                      <w:lang w:eastAsia="en-US"/>
                    </w:rPr>
                    <w:t>) Tordin</w:t>
                  </w:r>
                </w:p>
              </w:tc>
            </w:tr>
            <w:tr w:rsidTr="00CF3865">
              <w:tblPrEx>
                <w:tblW w:w="4337" w:type="dxa"/>
                <w:tblLayout w:type="fixed"/>
                <w:tblLook w:val="04A0"/>
              </w:tblPrEx>
              <w:trPr>
                <w:trHeight w:val="117"/>
              </w:trPr>
              <w:tc>
                <w:tcPr>
                  <w:tcW w:w="972" w:type="dxa"/>
                  <w:vMerge/>
                </w:tcPr>
                <w:p w:rsidR="00C030F0" w:rsidRPr="002D7427" w:rsidP="00AC0EDA">
                  <w:pPr>
                    <w:autoSpaceDE w:val="0"/>
                    <w:autoSpaceDN w:val="0"/>
                    <w:adjustRightInd w:val="0"/>
                    <w:rPr>
                      <w:rFonts w:asciiTheme="minorHAnsi" w:hAnsiTheme="minorHAnsi" w:cs="Arial"/>
                      <w:b/>
                      <w:sz w:val="22"/>
                      <w:szCs w:val="22"/>
                    </w:rPr>
                  </w:pPr>
                </w:p>
              </w:tc>
              <w:tc>
                <w:tcPr>
                  <w:tcW w:w="3365" w:type="dxa"/>
                </w:tcPr>
                <w:p w:rsidR="00C030F0"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Estrada Municipal do Roncáglia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Av. João Antunes dos Santos</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José </w:t>
                  </w:r>
                  <w:r w:rsidRPr="002D7427">
                    <w:rPr>
                      <w:rFonts w:asciiTheme="minorHAnsi" w:eastAsiaTheme="minorHAnsi" w:hAnsiTheme="minorHAnsi" w:cs="Arial"/>
                      <w:sz w:val="22"/>
                      <w:szCs w:val="22"/>
                      <w:lang w:eastAsia="en-US"/>
                    </w:rPr>
                    <w:t>Angeli</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José Milani (da </w:t>
                  </w:r>
                  <w:r w:rsidRPr="002D7427">
                    <w:rPr>
                      <w:rFonts w:asciiTheme="minorHAnsi" w:eastAsiaTheme="minorHAnsi" w:hAnsiTheme="minorHAnsi" w:cs="Arial"/>
                      <w:sz w:val="22"/>
                      <w:szCs w:val="22"/>
                      <w:lang w:eastAsia="en-US"/>
                    </w:rPr>
                    <w:t>rua</w:t>
                  </w:r>
                  <w:r w:rsidRPr="002D7427">
                    <w:rPr>
                      <w:rFonts w:asciiTheme="minorHAnsi" w:eastAsiaTheme="minorHAnsi" w:hAnsiTheme="minorHAnsi" w:cs="Arial"/>
                      <w:sz w:val="22"/>
                      <w:szCs w:val="22"/>
                      <w:lang w:eastAsia="en-US"/>
                    </w:rPr>
                    <w:t xml:space="preserve"> Dona </w:t>
                  </w:r>
                  <w:r w:rsidRPr="002D7427">
                    <w:rPr>
                      <w:rFonts w:asciiTheme="minorHAnsi" w:eastAsiaTheme="minorHAnsi" w:hAnsiTheme="minorHAnsi" w:cs="Arial"/>
                      <w:sz w:val="22"/>
                      <w:szCs w:val="22"/>
                      <w:lang w:eastAsia="en-US"/>
                    </w:rPr>
                    <w:t>Rosina</w:t>
                  </w:r>
                  <w:r w:rsidRPr="002D7427">
                    <w:rPr>
                      <w:rFonts w:asciiTheme="minorHAnsi" w:eastAsiaTheme="minorHAnsi" w:hAnsiTheme="minorHAnsi" w:cs="Arial"/>
                      <w:sz w:val="22"/>
                      <w:szCs w:val="22"/>
                      <w:lang w:eastAsia="en-US"/>
                    </w:rPr>
                    <w:t xml:space="preserve"> </w:t>
                  </w:r>
                  <w:r w:rsidRPr="002D7427">
                    <w:rPr>
                      <w:rFonts w:asciiTheme="minorHAnsi" w:eastAsiaTheme="minorHAnsi" w:hAnsiTheme="minorHAnsi" w:cs="Arial"/>
                      <w:sz w:val="22"/>
                      <w:szCs w:val="22"/>
                      <w:lang w:eastAsia="en-US"/>
                    </w:rPr>
                    <w:t>Zagatti</w:t>
                  </w:r>
                  <w:r w:rsidRPr="002D7427">
                    <w:rPr>
                      <w:rFonts w:asciiTheme="minorHAnsi" w:eastAsiaTheme="minorHAnsi" w:hAnsiTheme="minorHAnsi" w:cs="Arial"/>
                      <w:sz w:val="22"/>
                      <w:szCs w:val="22"/>
                      <w:lang w:eastAsia="en-US"/>
                    </w:rPr>
                    <w:t xml:space="preserve"> </w:t>
                  </w:r>
                  <w:r w:rsidRPr="002D7427">
                    <w:rPr>
                      <w:rFonts w:asciiTheme="minorHAnsi" w:eastAsiaTheme="minorHAnsi" w:hAnsiTheme="minorHAnsi" w:cs="Arial"/>
                      <w:sz w:val="22"/>
                      <w:szCs w:val="22"/>
                      <w:lang w:eastAsia="en-US"/>
                    </w:rPr>
                    <w:t>Celani</w:t>
                  </w:r>
                  <w:r w:rsidRPr="002D7427">
                    <w:rPr>
                      <w:rFonts w:asciiTheme="minorHAnsi" w:eastAsiaTheme="minorHAnsi" w:hAnsiTheme="minorHAnsi" w:cs="Arial"/>
                      <w:sz w:val="22"/>
                      <w:szCs w:val="22"/>
                      <w:lang w:eastAsia="en-US"/>
                    </w:rPr>
                    <w:t xml:space="preserve"> até fim)</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Luiz </w:t>
                  </w:r>
                  <w:r w:rsidRPr="002D7427">
                    <w:rPr>
                      <w:rFonts w:asciiTheme="minorHAnsi" w:eastAsiaTheme="minorHAnsi" w:hAnsiTheme="minorHAnsi" w:cs="Arial"/>
                      <w:sz w:val="22"/>
                      <w:szCs w:val="22"/>
                      <w:lang w:eastAsia="en-US"/>
                    </w:rPr>
                    <w:t>Spiandorelli</w:t>
                  </w:r>
                  <w:r w:rsidRPr="002D7427">
                    <w:rPr>
                      <w:rFonts w:asciiTheme="minorHAnsi" w:eastAsiaTheme="minorHAnsi" w:hAnsiTheme="minorHAnsi" w:cs="Arial"/>
                      <w:sz w:val="22"/>
                      <w:szCs w:val="22"/>
                      <w:lang w:eastAsia="en-US"/>
                    </w:rPr>
                    <w:t xml:space="preserve"> Neto (Lula)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Manoel de Almeida Ramos</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Manoel dos </w:t>
                  </w:r>
                  <w:r w:rsidRPr="002D7427">
                    <w:rPr>
                      <w:rFonts w:asciiTheme="minorHAnsi" w:eastAsiaTheme="minorHAnsi" w:hAnsiTheme="minorHAnsi" w:cs="Arial"/>
                      <w:sz w:val="22"/>
                      <w:szCs w:val="22"/>
                      <w:lang w:eastAsia="en-US"/>
                    </w:rPr>
                    <w:t>Santos Marta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Marcílio Lona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Marginal Rodoanel Magalhaes Teixeira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Marginal Sul da Rod. Francisco Von </w:t>
                  </w:r>
                  <w:r w:rsidRPr="002D7427">
                    <w:rPr>
                      <w:rFonts w:asciiTheme="minorHAnsi" w:eastAsiaTheme="minorHAnsi" w:hAnsiTheme="minorHAnsi" w:cs="Arial"/>
                      <w:sz w:val="22"/>
                      <w:szCs w:val="22"/>
                      <w:lang w:eastAsia="en-US"/>
                    </w:rPr>
                    <w:t>Zuben</w:t>
                  </w:r>
                  <w:r w:rsidRPr="002D7427">
                    <w:rPr>
                      <w:rFonts w:asciiTheme="minorHAnsi" w:eastAsiaTheme="minorHAnsi" w:hAnsiTheme="minorHAnsi" w:cs="Arial"/>
                      <w:sz w:val="22"/>
                      <w:szCs w:val="22"/>
                      <w:lang w:eastAsia="en-US"/>
                    </w:rPr>
                    <w:t xml:space="preserve"> (do Madero até o </w:t>
                  </w:r>
                  <w:r w:rsidRPr="002D7427">
                    <w:rPr>
                      <w:rFonts w:asciiTheme="minorHAnsi" w:eastAsiaTheme="minorHAnsi" w:hAnsiTheme="minorHAnsi" w:cs="Arial"/>
                      <w:sz w:val="22"/>
                      <w:szCs w:val="22"/>
                      <w:lang w:eastAsia="en-US"/>
                    </w:rPr>
                    <w:t>McDonalds</w:t>
                  </w:r>
                  <w:r w:rsidRPr="002D7427">
                    <w:rPr>
                      <w:rFonts w:asciiTheme="minorHAnsi" w:eastAsiaTheme="minorHAnsi" w:hAnsiTheme="minorHAnsi" w:cs="Arial"/>
                      <w:sz w:val="22"/>
                      <w:szCs w:val="22"/>
                      <w:lang w:eastAsia="en-US"/>
                    </w:rPr>
                    <w:t>)</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Paraná</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Pedro </w:t>
                  </w:r>
                  <w:r w:rsidRPr="002D7427">
                    <w:rPr>
                      <w:rFonts w:asciiTheme="minorHAnsi" w:eastAsiaTheme="minorHAnsi" w:hAnsiTheme="minorHAnsi" w:cs="Arial"/>
                      <w:sz w:val="22"/>
                      <w:szCs w:val="22"/>
                      <w:lang w:eastAsia="en-US"/>
                    </w:rPr>
                    <w:t>Gabetta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Raymundo Bissoto</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Rui Barbosa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Sara Alvarado </w:t>
                  </w:r>
                  <w:r w:rsidRPr="002D7427">
                    <w:rPr>
                      <w:rFonts w:asciiTheme="minorHAnsi" w:eastAsiaTheme="minorHAnsi" w:hAnsiTheme="minorHAnsi" w:cs="Arial"/>
                      <w:sz w:val="22"/>
                      <w:szCs w:val="22"/>
                      <w:lang w:eastAsia="en-US"/>
                    </w:rPr>
                    <w:t>Bertanholi</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Av. Pres. Tancredo Neves</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Valmir Antônio </w:t>
                  </w:r>
                  <w:r w:rsidRPr="002D7427">
                    <w:rPr>
                      <w:rFonts w:asciiTheme="minorHAnsi" w:eastAsiaTheme="minorHAnsi" w:hAnsiTheme="minorHAnsi" w:cs="Arial"/>
                      <w:sz w:val="22"/>
                      <w:szCs w:val="22"/>
                      <w:lang w:eastAsia="en-US"/>
                    </w:rPr>
                    <w:t>Capelari</w:t>
                  </w:r>
                  <w:r w:rsidRPr="002D7427">
                    <w:rPr>
                      <w:rFonts w:asciiTheme="minorHAnsi" w:eastAsiaTheme="minorHAnsi" w:hAnsiTheme="minorHAnsi" w:cs="Arial"/>
                      <w:sz w:val="22"/>
                      <w:szCs w:val="22"/>
                      <w:lang w:eastAsia="en-US"/>
                    </w:rPr>
                    <w:t xml:space="preserve"> (de Jorge </w:t>
                  </w:r>
                  <w:r w:rsidRPr="002D7427">
                    <w:rPr>
                      <w:rFonts w:asciiTheme="minorHAnsi" w:eastAsiaTheme="minorHAnsi" w:hAnsiTheme="minorHAnsi" w:cs="Arial"/>
                      <w:sz w:val="22"/>
                      <w:szCs w:val="22"/>
                      <w:lang w:eastAsia="en-US"/>
                    </w:rPr>
                    <w:t>Niedo</w:t>
                  </w:r>
                  <w:r w:rsidRPr="002D7427">
                    <w:rPr>
                      <w:rFonts w:asciiTheme="minorHAnsi" w:eastAsiaTheme="minorHAnsi" w:hAnsiTheme="minorHAnsi" w:cs="Arial"/>
                      <w:sz w:val="22"/>
                      <w:szCs w:val="22"/>
                      <w:lang w:eastAsia="en-US"/>
                    </w:rPr>
                    <w:t xml:space="preserve"> até Angelina </w:t>
                  </w:r>
                  <w:r w:rsidRPr="002D7427">
                    <w:rPr>
                      <w:rFonts w:asciiTheme="minorHAnsi" w:eastAsiaTheme="minorHAnsi" w:hAnsiTheme="minorHAnsi" w:cs="Arial"/>
                      <w:sz w:val="22"/>
                      <w:szCs w:val="22"/>
                      <w:lang w:eastAsia="en-US"/>
                    </w:rPr>
                    <w:t>Lacave</w:t>
                  </w:r>
                  <w:r w:rsidRPr="002D7427">
                    <w:rPr>
                      <w:rFonts w:asciiTheme="minorHAnsi" w:eastAsiaTheme="minorHAnsi" w:hAnsiTheme="minorHAnsi" w:cs="Arial"/>
                      <w:sz w:val="22"/>
                      <w:szCs w:val="22"/>
                      <w:lang w:eastAsia="en-US"/>
                    </w:rPr>
                    <w:t xml:space="preserve"> </w:t>
                  </w:r>
                  <w:r w:rsidRPr="002D7427">
                    <w:rPr>
                      <w:rFonts w:asciiTheme="minorHAnsi" w:eastAsiaTheme="minorHAnsi" w:hAnsiTheme="minorHAnsi" w:cs="Arial"/>
                      <w:sz w:val="22"/>
                      <w:szCs w:val="22"/>
                      <w:lang w:eastAsia="en-US"/>
                    </w:rPr>
                    <w:t>Bonani</w:t>
                  </w:r>
                  <w:r w:rsidRPr="002D7427">
                    <w:rPr>
                      <w:rFonts w:asciiTheme="minorHAnsi" w:eastAsiaTheme="minorHAnsi" w:hAnsiTheme="minorHAnsi" w:cs="Arial"/>
                      <w:sz w:val="22"/>
                      <w:szCs w:val="22"/>
                      <w:lang w:eastAsia="en-US"/>
                    </w:rPr>
                    <w:t>)</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Vital Brasil</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Alameda </w:t>
                  </w:r>
                  <w:r w:rsidRPr="002D7427">
                    <w:rPr>
                      <w:rFonts w:asciiTheme="minorHAnsi" w:eastAsiaTheme="minorHAnsi" w:hAnsiTheme="minorHAnsi" w:cs="Arial"/>
                      <w:sz w:val="22"/>
                      <w:szCs w:val="22"/>
                      <w:lang w:eastAsia="en-US"/>
                    </w:rPr>
                    <w:t>Zurich</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rPr>
                      <w:rFonts w:asciiTheme="minorHAnsi" w:hAnsiTheme="minorHAnsi" w:cs="Arial"/>
                      <w:sz w:val="22"/>
                      <w:szCs w:val="22"/>
                    </w:rPr>
                  </w:pPr>
                  <w:r w:rsidRPr="002D7427">
                    <w:rPr>
                      <w:rFonts w:asciiTheme="minorHAnsi" w:eastAsiaTheme="minorHAnsi" w:hAnsiTheme="minorHAnsi" w:cs="Arial"/>
                      <w:sz w:val="22"/>
                      <w:szCs w:val="22"/>
                      <w:lang w:eastAsia="en-US"/>
                    </w:rPr>
                    <w:t xml:space="preserve">Rua Ver. Walter </w:t>
                  </w:r>
                  <w:r w:rsidRPr="002D7427">
                    <w:rPr>
                      <w:rFonts w:asciiTheme="minorHAnsi" w:eastAsiaTheme="minorHAnsi" w:hAnsiTheme="minorHAnsi" w:cs="Arial"/>
                      <w:sz w:val="22"/>
                      <w:szCs w:val="22"/>
                      <w:lang w:eastAsia="en-US"/>
                    </w:rPr>
                    <w:t>Obmer</w:t>
                  </w:r>
                  <w:r w:rsidRPr="002D7427">
                    <w:rPr>
                      <w:rFonts w:asciiTheme="minorHAnsi" w:eastAsiaTheme="minorHAnsi" w:hAnsiTheme="minorHAnsi" w:cs="Arial"/>
                      <w:sz w:val="22"/>
                      <w:szCs w:val="22"/>
                      <w:lang w:eastAsia="en-US"/>
                    </w:rPr>
                    <w:t xml:space="preserve"> </w:t>
                  </w:r>
                  <w:r w:rsidRPr="002D7427">
                    <w:rPr>
                      <w:rFonts w:asciiTheme="minorHAnsi" w:eastAsiaTheme="minorHAnsi" w:hAnsiTheme="minorHAnsi" w:cs="Arial"/>
                      <w:sz w:val="22"/>
                      <w:szCs w:val="22"/>
                      <w:lang w:eastAsia="en-US"/>
                    </w:rPr>
                    <w:t>Woelzke</w:t>
                  </w:r>
                </w:p>
              </w:tc>
            </w:tr>
            <w:tr w:rsidTr="00CF3865">
              <w:tblPrEx>
                <w:tblW w:w="4337" w:type="dxa"/>
                <w:tblLayout w:type="fixed"/>
                <w:tblLook w:val="04A0"/>
              </w:tblPrEx>
              <w:trPr>
                <w:trHeight w:val="117"/>
              </w:trPr>
              <w:tc>
                <w:tcPr>
                  <w:tcW w:w="972" w:type="dxa"/>
                  <w:vMerge w:val="restart"/>
                  <w:vAlign w:val="center"/>
                </w:tcPr>
                <w:p w:rsidR="00AC0EDA" w:rsidRPr="002D7427" w:rsidP="00AC0EDA">
                  <w:pPr>
                    <w:autoSpaceDE w:val="0"/>
                    <w:autoSpaceDN w:val="0"/>
                    <w:adjustRightInd w:val="0"/>
                    <w:jc w:val="center"/>
                    <w:rPr>
                      <w:rFonts w:asciiTheme="minorHAnsi" w:hAnsiTheme="minorHAnsi" w:cs="Arial"/>
                      <w:b/>
                      <w:sz w:val="22"/>
                      <w:szCs w:val="22"/>
                    </w:rPr>
                  </w:pPr>
                  <w:r w:rsidRPr="002D7427">
                    <w:rPr>
                      <w:rFonts w:asciiTheme="minorHAnsi" w:eastAsiaTheme="minorHAnsi" w:hAnsiTheme="minorHAnsi" w:cs="Arial"/>
                      <w:b/>
                      <w:bCs/>
                      <w:sz w:val="22"/>
                      <w:szCs w:val="22"/>
                      <w:lang w:eastAsia="en-US"/>
                    </w:rPr>
                    <w:t>ZC2</w:t>
                  </w: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w:t>
                  </w:r>
                  <w:r w:rsidRPr="002D7427">
                    <w:rPr>
                      <w:rFonts w:asciiTheme="minorHAnsi" w:eastAsiaTheme="minorHAnsi" w:hAnsiTheme="minorHAnsi" w:cs="Arial"/>
                      <w:sz w:val="22"/>
                      <w:szCs w:val="22"/>
                      <w:lang w:eastAsia="en-US"/>
                    </w:rPr>
                    <w:t>Dr</w:t>
                  </w:r>
                  <w:r w:rsidRPr="002D7427">
                    <w:rPr>
                      <w:rFonts w:asciiTheme="minorHAnsi" w:eastAsiaTheme="minorHAnsi" w:hAnsiTheme="minorHAnsi" w:cs="Arial"/>
                      <w:sz w:val="22"/>
                      <w:szCs w:val="22"/>
                      <w:lang w:eastAsia="en-US"/>
                    </w:rPr>
                    <w:t xml:space="preserve"> Alfredo Zacharias</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Antônio Carlos</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Avenida Brasil</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CF3865">
                  <w:pPr>
                    <w:autoSpaceDE w:val="0"/>
                    <w:autoSpaceDN w:val="0"/>
                    <w:adjustRightInd w:val="0"/>
                    <w:jc w:val="both"/>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Campo Sales</w:t>
                  </w:r>
                  <w:r w:rsidRPr="002D7427" w:rsidR="00CF3865">
                    <w:rPr>
                      <w:rFonts w:asciiTheme="minorHAnsi" w:eastAsiaTheme="minorHAnsi" w:hAnsiTheme="minorHAnsi" w:cs="Arial"/>
                      <w:sz w:val="22"/>
                      <w:szCs w:val="22"/>
                      <w:lang w:eastAsia="en-US"/>
                    </w:rPr>
                    <w:t xml:space="preserve"> (até a divisa com Campinas na Avenida engenheiro Augusto Figueiredo)</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Avenida Dom Nery</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Domingos Tordin</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Doze de Outubro</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Avenida Esportes</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Avenida Estados</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rPr>
                      <w:rFonts w:asciiTheme="minorHAnsi" w:hAnsiTheme="minorHAnsi" w:cs="Arial"/>
                      <w:sz w:val="22"/>
                      <w:szCs w:val="22"/>
                    </w:rPr>
                  </w:pPr>
                  <w:r w:rsidRPr="002D7427">
                    <w:rPr>
                      <w:rFonts w:asciiTheme="minorHAnsi" w:eastAsiaTheme="minorHAnsi" w:hAnsiTheme="minorHAnsi" w:cs="Arial"/>
                      <w:sz w:val="22"/>
                      <w:szCs w:val="22"/>
                      <w:lang w:eastAsia="en-US"/>
                    </w:rPr>
                    <w:t xml:space="preserve">Estrada </w:t>
                  </w:r>
                  <w:r w:rsidRPr="002D7427">
                    <w:rPr>
                      <w:rFonts w:asciiTheme="minorHAnsi" w:eastAsiaTheme="minorHAnsi" w:hAnsiTheme="minorHAnsi" w:cs="Arial"/>
                      <w:sz w:val="22"/>
                      <w:szCs w:val="22"/>
                      <w:lang w:eastAsia="en-US"/>
                    </w:rPr>
                    <w:t>Estrada</w:t>
                  </w:r>
                  <w:r w:rsidRPr="002D7427">
                    <w:rPr>
                      <w:rFonts w:asciiTheme="minorHAnsi" w:eastAsiaTheme="minorHAnsi" w:hAnsiTheme="minorHAnsi" w:cs="Arial"/>
                      <w:sz w:val="22"/>
                      <w:szCs w:val="22"/>
                      <w:lang w:eastAsia="en-US"/>
                    </w:rPr>
                    <w:t xml:space="preserve"> Velha de Campinas</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Dr. Eraldo Aurélio </w:t>
                  </w:r>
                  <w:r w:rsidRPr="002D7427">
                    <w:rPr>
                      <w:rFonts w:asciiTheme="minorHAnsi" w:eastAsiaTheme="minorHAnsi" w:hAnsiTheme="minorHAnsi" w:cs="Arial"/>
                      <w:sz w:val="22"/>
                      <w:szCs w:val="22"/>
                      <w:lang w:eastAsia="en-US"/>
                    </w:rPr>
                    <w:t>Franzese</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Francisco Glicério</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Avenida Gessy Lever</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Rodovia Guilherme </w:t>
                  </w:r>
                  <w:r w:rsidRPr="002D7427">
                    <w:rPr>
                      <w:rFonts w:asciiTheme="minorHAnsi" w:eastAsiaTheme="minorHAnsi" w:hAnsiTheme="minorHAnsi" w:cs="Arial"/>
                      <w:sz w:val="22"/>
                      <w:szCs w:val="22"/>
                      <w:lang w:eastAsia="en-US"/>
                    </w:rPr>
                    <w:t>Mamprim</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rPr>
                      <w:rFonts w:asciiTheme="minorHAnsi" w:hAnsiTheme="minorHAnsi" w:cs="Arial"/>
                      <w:sz w:val="22"/>
                      <w:szCs w:val="22"/>
                    </w:rPr>
                  </w:pPr>
                  <w:r w:rsidRPr="002D7427">
                    <w:rPr>
                      <w:rFonts w:asciiTheme="minorHAnsi" w:eastAsiaTheme="minorHAnsi" w:hAnsiTheme="minorHAnsi" w:cs="Arial"/>
                      <w:sz w:val="22"/>
                      <w:szCs w:val="22"/>
                      <w:lang w:eastAsia="en-US"/>
                    </w:rPr>
                    <w:t xml:space="preserve">Rua Guilherme </w:t>
                  </w:r>
                  <w:r w:rsidRPr="002D7427">
                    <w:rPr>
                      <w:rFonts w:asciiTheme="minorHAnsi" w:eastAsiaTheme="minorHAnsi" w:hAnsiTheme="minorHAnsi" w:cs="Arial"/>
                      <w:sz w:val="22"/>
                      <w:szCs w:val="22"/>
                      <w:lang w:eastAsia="en-US"/>
                    </w:rPr>
                    <w:t>Mamprim</w:t>
                  </w:r>
                  <w:r w:rsidRPr="002D7427">
                    <w:rPr>
                      <w:rFonts w:asciiTheme="minorHAnsi" w:eastAsiaTheme="minorHAnsi" w:hAnsiTheme="minorHAnsi" w:cs="Arial"/>
                      <w:sz w:val="22"/>
                      <w:szCs w:val="22"/>
                      <w:lang w:eastAsia="en-US"/>
                    </w:rPr>
                    <w:t xml:space="preserve"> (continuação </w:t>
                  </w:r>
                  <w:r w:rsidRPr="002D7427">
                    <w:rPr>
                      <w:rFonts w:asciiTheme="minorHAnsi" w:eastAsiaTheme="minorHAnsi" w:hAnsiTheme="minorHAnsi" w:cs="Arial"/>
                      <w:sz w:val="22"/>
                      <w:szCs w:val="22"/>
                      <w:lang w:eastAsia="en-US"/>
                    </w:rPr>
                    <w:t>Orozimbo</w:t>
                  </w:r>
                  <w:r w:rsidRPr="002D7427">
                    <w:rPr>
                      <w:rFonts w:asciiTheme="minorHAnsi" w:eastAsiaTheme="minorHAnsi" w:hAnsiTheme="minorHAnsi" w:cs="Arial"/>
                      <w:sz w:val="22"/>
                      <w:szCs w:val="22"/>
                      <w:lang w:eastAsia="en-US"/>
                    </w:rPr>
                    <w:t xml:space="preserve"> Maia)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Avenida Imigrantes</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Avenida Independência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João Previtale</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Avenida Joaquim Alves Corrêa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Luís Bissoto</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Avenida Onze de Agosto</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w:t>
                  </w:r>
                  <w:r w:rsidRPr="002D7427">
                    <w:rPr>
                      <w:rFonts w:asciiTheme="minorHAnsi" w:eastAsiaTheme="minorHAnsi" w:hAnsiTheme="minorHAnsi" w:cs="Arial"/>
                      <w:sz w:val="22"/>
                      <w:szCs w:val="22"/>
                      <w:lang w:eastAsia="en-US"/>
                    </w:rPr>
                    <w:t>Orozimbo</w:t>
                  </w:r>
                  <w:r w:rsidRPr="002D7427">
                    <w:rPr>
                      <w:rFonts w:asciiTheme="minorHAnsi" w:eastAsiaTheme="minorHAnsi" w:hAnsiTheme="minorHAnsi" w:cs="Arial"/>
                      <w:sz w:val="22"/>
                      <w:szCs w:val="22"/>
                      <w:lang w:eastAsia="en-US"/>
                    </w:rPr>
                    <w:t xml:space="preserve"> Maia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Avenida Paulista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w:t>
                  </w:r>
                  <w:r w:rsidRPr="002D7427">
                    <w:rPr>
                      <w:rFonts w:asciiTheme="minorHAnsi" w:eastAsiaTheme="minorHAnsi" w:hAnsiTheme="minorHAnsi" w:cs="Arial"/>
                      <w:sz w:val="22"/>
                      <w:szCs w:val="22"/>
                      <w:lang w:eastAsia="en-US"/>
                    </w:rPr>
                    <w:t>Paiquere</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Avenida Quinze de Novembro</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São Paulo</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Sete de Setembro</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Treze de Maio</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Rodovia Visconde de Porto Seguro</w:t>
                  </w:r>
                </w:p>
              </w:tc>
            </w:tr>
            <w:tr w:rsidTr="00CF3865">
              <w:tblPrEx>
                <w:tblW w:w="4337" w:type="dxa"/>
                <w:tblLayout w:type="fixed"/>
                <w:tblLook w:val="04A0"/>
              </w:tblPrEx>
              <w:trPr>
                <w:trHeight w:val="117"/>
              </w:trPr>
              <w:tc>
                <w:tcPr>
                  <w:tcW w:w="972" w:type="dxa"/>
                  <w:vMerge w:val="restart"/>
                  <w:vAlign w:val="center"/>
                </w:tcPr>
                <w:p w:rsidR="00AC0EDA" w:rsidRPr="002D7427" w:rsidP="00AC0EDA">
                  <w:pPr>
                    <w:autoSpaceDE w:val="0"/>
                    <w:autoSpaceDN w:val="0"/>
                    <w:adjustRightInd w:val="0"/>
                    <w:jc w:val="center"/>
                    <w:rPr>
                      <w:rFonts w:asciiTheme="minorHAnsi" w:hAnsiTheme="minorHAnsi" w:cs="Arial"/>
                      <w:b/>
                      <w:sz w:val="22"/>
                      <w:szCs w:val="22"/>
                    </w:rPr>
                  </w:pPr>
                  <w:r w:rsidRPr="002D7427">
                    <w:rPr>
                      <w:rFonts w:asciiTheme="minorHAnsi" w:eastAsiaTheme="minorHAnsi" w:hAnsiTheme="minorHAnsi" w:cs="Arial"/>
                      <w:b/>
                      <w:bCs/>
                      <w:sz w:val="22"/>
                      <w:szCs w:val="22"/>
                      <w:highlight w:val="yellow"/>
                      <w:lang w:eastAsia="en-US"/>
                    </w:rPr>
                    <w:t>ZC3</w:t>
                  </w: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Rodovia Agricultores</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Av. </w:t>
                  </w:r>
                  <w:r w:rsidRPr="002D7427">
                    <w:rPr>
                      <w:rFonts w:asciiTheme="minorHAnsi" w:eastAsiaTheme="minorHAnsi" w:hAnsiTheme="minorHAnsi" w:cs="Arial"/>
                      <w:sz w:val="22"/>
                      <w:szCs w:val="22"/>
                      <w:lang w:eastAsia="en-US"/>
                    </w:rPr>
                    <w:t>Dr</w:t>
                  </w:r>
                  <w:r w:rsidRPr="002D7427">
                    <w:rPr>
                      <w:rFonts w:asciiTheme="minorHAnsi" w:eastAsiaTheme="minorHAnsi" w:hAnsiTheme="minorHAnsi" w:cs="Arial"/>
                      <w:sz w:val="22"/>
                      <w:szCs w:val="22"/>
                      <w:lang w:eastAsia="en-US"/>
                    </w:rPr>
                    <w:t xml:space="preserve"> Altino Gouveia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Rodovia Andradas</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rPr>
                      <w:rFonts w:asciiTheme="minorHAnsi" w:hAnsiTheme="minorHAnsi" w:cs="Arial"/>
                      <w:sz w:val="22"/>
                      <w:szCs w:val="22"/>
                    </w:rPr>
                  </w:pPr>
                  <w:r w:rsidRPr="002D7427">
                    <w:rPr>
                      <w:rFonts w:asciiTheme="minorHAnsi" w:eastAsiaTheme="minorHAnsi" w:hAnsiTheme="minorHAnsi" w:cs="Arial"/>
                      <w:sz w:val="22"/>
                      <w:szCs w:val="22"/>
                      <w:lang w:eastAsia="en-US"/>
                    </w:rPr>
                    <w:t xml:space="preserve">Av. </w:t>
                  </w:r>
                  <w:r w:rsidRPr="002D7427">
                    <w:rPr>
                      <w:rFonts w:asciiTheme="minorHAnsi" w:eastAsiaTheme="minorHAnsi" w:hAnsiTheme="minorHAnsi" w:cs="Arial"/>
                      <w:sz w:val="22"/>
                      <w:szCs w:val="22"/>
                      <w:lang w:eastAsia="en-US"/>
                    </w:rPr>
                    <w:t>Pref</w:t>
                  </w:r>
                  <w:r w:rsidRPr="002D7427">
                    <w:rPr>
                      <w:rFonts w:asciiTheme="minorHAnsi" w:eastAsiaTheme="minorHAnsi" w:hAnsiTheme="minorHAnsi" w:cs="Arial"/>
                      <w:sz w:val="22"/>
                      <w:szCs w:val="22"/>
                      <w:lang w:eastAsia="en-US"/>
                    </w:rPr>
                    <w:t xml:space="preserve"> Anésio </w:t>
                  </w:r>
                  <w:r w:rsidRPr="002D7427">
                    <w:rPr>
                      <w:rFonts w:asciiTheme="minorHAnsi" w:eastAsiaTheme="minorHAnsi" w:hAnsiTheme="minorHAnsi" w:cs="Arial"/>
                      <w:sz w:val="22"/>
                      <w:szCs w:val="22"/>
                      <w:lang w:eastAsia="en-US"/>
                    </w:rPr>
                    <w:t>Capovilla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Antenor Bergamo</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Benjamim de Paula Franca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highlight w:val="yellow"/>
                      <w:lang w:eastAsia="en-US"/>
                    </w:rPr>
                    <w:t>Rua Clark</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Marginais da Rodovia Dom Pedro I</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Estrada Duílio Beltramini</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Rodovia Flávio de Carvalho</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Estrada Fonte </w:t>
                  </w:r>
                  <w:r w:rsidRPr="002D7427">
                    <w:rPr>
                      <w:rFonts w:asciiTheme="minorHAnsi" w:eastAsiaTheme="minorHAnsi" w:hAnsiTheme="minorHAnsi" w:cs="Arial"/>
                      <w:sz w:val="22"/>
                      <w:szCs w:val="22"/>
                      <w:lang w:eastAsia="en-US"/>
                    </w:rPr>
                    <w:t>Mécia</w:t>
                  </w:r>
                  <w:r w:rsidRPr="002D7427">
                    <w:rPr>
                      <w:rFonts w:asciiTheme="minorHAnsi" w:eastAsiaTheme="minorHAnsi" w:hAnsiTheme="minorHAnsi" w:cs="Arial"/>
                      <w:sz w:val="22"/>
                      <w:szCs w:val="22"/>
                      <w:lang w:eastAsia="en-US"/>
                    </w:rPr>
                    <w:t xml:space="preserve"> (e futura expansão até </w:t>
                  </w:r>
                  <w:r w:rsidRPr="002D7427">
                    <w:rPr>
                      <w:rFonts w:asciiTheme="minorHAnsi" w:eastAsiaTheme="minorHAnsi" w:hAnsiTheme="minorHAnsi" w:cs="Arial"/>
                      <w:sz w:val="22"/>
                      <w:szCs w:val="22"/>
                      <w:lang w:eastAsia="en-US"/>
                    </w:rPr>
                    <w:t>D.Pedro</w:t>
                  </w:r>
                  <w:r w:rsidRPr="002D7427">
                    <w:rPr>
                      <w:rFonts w:asciiTheme="minorHAnsi" w:eastAsiaTheme="minorHAnsi" w:hAnsiTheme="minorHAnsi" w:cs="Arial"/>
                      <w:sz w:val="22"/>
                      <w:szCs w:val="22"/>
                      <w:lang w:eastAsia="en-US"/>
                    </w:rPr>
                    <w:t xml:space="preserve"> I)</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Estrada Francisco </w:t>
                  </w:r>
                  <w:r w:rsidRPr="002D7427">
                    <w:rPr>
                      <w:rFonts w:asciiTheme="minorHAnsi" w:eastAsiaTheme="minorHAnsi" w:hAnsiTheme="minorHAnsi" w:cs="Arial"/>
                      <w:sz w:val="22"/>
                      <w:szCs w:val="22"/>
                      <w:lang w:eastAsia="en-US"/>
                    </w:rPr>
                    <w:t>Juliato</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Geraldo de </w:t>
                  </w:r>
                  <w:r w:rsidRPr="002D7427">
                    <w:rPr>
                      <w:rFonts w:asciiTheme="minorHAnsi" w:eastAsiaTheme="minorHAnsi" w:hAnsiTheme="minorHAnsi" w:cs="Arial"/>
                      <w:sz w:val="22"/>
                      <w:szCs w:val="22"/>
                      <w:lang w:eastAsia="en-US"/>
                    </w:rPr>
                    <w:t>Gasperi</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Rodovia Comendador Guilherme </w:t>
                  </w:r>
                  <w:r w:rsidRPr="002D7427">
                    <w:rPr>
                      <w:rFonts w:asciiTheme="minorHAnsi" w:eastAsiaTheme="minorHAnsi" w:hAnsiTheme="minorHAnsi" w:cs="Arial"/>
                      <w:sz w:val="22"/>
                      <w:szCs w:val="22"/>
                      <w:lang w:eastAsia="en-US"/>
                    </w:rPr>
                    <w:t>Mamprim</w:t>
                  </w:r>
                  <w:r w:rsidRPr="002D7427">
                    <w:rPr>
                      <w:rFonts w:asciiTheme="minorHAnsi" w:eastAsiaTheme="minorHAnsi" w:hAnsiTheme="minorHAnsi" w:cs="Arial"/>
                      <w:sz w:val="22"/>
                      <w:szCs w:val="22"/>
                      <w:lang w:eastAsia="en-US"/>
                    </w:rPr>
                    <w:t xml:space="preserve"> (marginais)</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Humberto </w:t>
                  </w:r>
                  <w:r w:rsidRPr="002D7427">
                    <w:rPr>
                      <w:rFonts w:asciiTheme="minorHAnsi" w:eastAsiaTheme="minorHAnsi" w:hAnsiTheme="minorHAnsi" w:cs="Arial"/>
                      <w:sz w:val="22"/>
                      <w:szCs w:val="22"/>
                      <w:lang w:eastAsia="en-US"/>
                    </w:rPr>
                    <w:t>Barbin</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Av. Invernada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Isaura Aparecida De Oliveira Barbosa </w:t>
                  </w:r>
                  <w:r w:rsidRPr="002D7427">
                    <w:rPr>
                      <w:rFonts w:asciiTheme="minorHAnsi" w:eastAsiaTheme="minorHAnsi" w:hAnsiTheme="minorHAnsi" w:cs="Arial"/>
                      <w:sz w:val="22"/>
                      <w:szCs w:val="22"/>
                      <w:lang w:eastAsia="en-US"/>
                    </w:rPr>
                    <w:t>Terini</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Alameda Itajubá</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Itatinga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João Bissoto Filho</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Av. Dr. José </w:t>
                  </w:r>
                  <w:r w:rsidRPr="002D7427">
                    <w:rPr>
                      <w:rFonts w:asciiTheme="minorHAnsi" w:eastAsiaTheme="minorHAnsi" w:hAnsiTheme="minorHAnsi" w:cs="Arial"/>
                      <w:sz w:val="22"/>
                      <w:szCs w:val="22"/>
                      <w:lang w:eastAsia="en-US"/>
                    </w:rPr>
                    <w:t>Pagano</w:t>
                  </w:r>
                  <w:r w:rsidRPr="002D7427">
                    <w:rPr>
                      <w:rFonts w:asciiTheme="minorHAnsi" w:eastAsiaTheme="minorHAnsi" w:hAnsiTheme="minorHAnsi" w:cs="Arial"/>
                      <w:sz w:val="22"/>
                      <w:szCs w:val="22"/>
                      <w:lang w:eastAsia="en-US"/>
                    </w:rPr>
                    <w:t xml:space="preserve"> </w:t>
                  </w:r>
                  <w:r w:rsidRPr="002D7427">
                    <w:rPr>
                      <w:rFonts w:asciiTheme="minorHAnsi" w:eastAsiaTheme="minorHAnsi" w:hAnsiTheme="minorHAnsi" w:cs="Arial"/>
                      <w:sz w:val="22"/>
                      <w:szCs w:val="22"/>
                      <w:lang w:eastAsia="en-US"/>
                    </w:rPr>
                    <w:t>Brundo</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rPr>
                      <w:rFonts w:asciiTheme="minorHAnsi" w:hAnsiTheme="minorHAnsi" w:cs="Arial"/>
                      <w:sz w:val="22"/>
                      <w:szCs w:val="22"/>
                    </w:rPr>
                  </w:pPr>
                  <w:r w:rsidRPr="002D7427">
                    <w:rPr>
                      <w:rFonts w:asciiTheme="minorHAnsi" w:eastAsiaTheme="minorHAnsi" w:hAnsiTheme="minorHAnsi" w:cs="Arial"/>
                      <w:sz w:val="22"/>
                      <w:szCs w:val="22"/>
                      <w:lang w:eastAsia="en-US"/>
                    </w:rPr>
                    <w:t xml:space="preserve">Rua </w:t>
                  </w:r>
                  <w:r w:rsidRPr="002D7427">
                    <w:rPr>
                      <w:rFonts w:asciiTheme="minorHAnsi" w:eastAsiaTheme="minorHAnsi" w:hAnsiTheme="minorHAnsi" w:cs="Arial"/>
                      <w:sz w:val="22"/>
                      <w:szCs w:val="22"/>
                      <w:lang w:eastAsia="en-US"/>
                    </w:rPr>
                    <w:t>Kamekichi</w:t>
                  </w:r>
                  <w:r w:rsidRPr="002D7427">
                    <w:rPr>
                      <w:rFonts w:asciiTheme="minorHAnsi" w:eastAsiaTheme="minorHAnsi" w:hAnsiTheme="minorHAnsi" w:cs="Arial"/>
                      <w:sz w:val="22"/>
                      <w:szCs w:val="22"/>
                      <w:lang w:eastAsia="en-US"/>
                    </w:rPr>
                    <w:t xml:space="preserve"> </w:t>
                  </w:r>
                  <w:r w:rsidRPr="002D7427">
                    <w:rPr>
                      <w:rFonts w:asciiTheme="minorHAnsi" w:eastAsiaTheme="minorHAnsi" w:hAnsiTheme="minorHAnsi" w:cs="Arial"/>
                      <w:sz w:val="22"/>
                      <w:szCs w:val="22"/>
                      <w:lang w:eastAsia="en-US"/>
                    </w:rPr>
                    <w:t>Ohnuma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Alameda Maria Tereza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Alameda Mariana Prudente Correa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Rua Dr. Marino Costa Terra</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Rua </w:t>
                  </w:r>
                  <w:r w:rsidRPr="002D7427">
                    <w:rPr>
                      <w:rFonts w:asciiTheme="minorHAnsi" w:eastAsiaTheme="minorHAnsi" w:hAnsiTheme="minorHAnsi" w:cs="Arial"/>
                      <w:sz w:val="22"/>
                      <w:szCs w:val="22"/>
                      <w:lang w:eastAsia="en-US"/>
                    </w:rPr>
                    <w:t>Natale</w:t>
                  </w:r>
                  <w:r w:rsidRPr="002D7427">
                    <w:rPr>
                      <w:rFonts w:asciiTheme="minorHAnsi" w:eastAsiaTheme="minorHAnsi" w:hAnsiTheme="minorHAnsi" w:cs="Arial"/>
                      <w:sz w:val="22"/>
                      <w:szCs w:val="22"/>
                      <w:lang w:eastAsia="en-US"/>
                    </w:rPr>
                    <w:t xml:space="preserve"> Capellato</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 xml:space="preserve">Marginal Rodoanel Magalhães Teixeira (de Itajubá até </w:t>
                  </w:r>
                  <w:r w:rsidRPr="002D7427">
                    <w:rPr>
                      <w:rFonts w:asciiTheme="minorHAnsi" w:eastAsiaTheme="minorHAnsi" w:hAnsiTheme="minorHAnsi" w:cs="Arial"/>
                      <w:sz w:val="22"/>
                      <w:szCs w:val="22"/>
                      <w:lang w:eastAsia="en-US"/>
                    </w:rPr>
                    <w:t>Visc</w:t>
                  </w:r>
                  <w:r w:rsidRPr="002D7427">
                    <w:rPr>
                      <w:rFonts w:asciiTheme="minorHAnsi" w:eastAsiaTheme="minorHAnsi" w:hAnsiTheme="minorHAnsi" w:cs="Arial"/>
                      <w:sz w:val="22"/>
                      <w:szCs w:val="22"/>
                      <w:lang w:eastAsia="en-US"/>
                    </w:rPr>
                    <w:t xml:space="preserve"> Porto Seguro)</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autoSpaceDE w:val="0"/>
                    <w:autoSpaceDN w:val="0"/>
                    <w:adjustRightInd w:val="0"/>
                    <w:rPr>
                      <w:rFonts w:asciiTheme="minorHAnsi" w:eastAsiaTheme="minorHAnsi" w:hAnsiTheme="minorHAnsi" w:cs="Arial"/>
                      <w:sz w:val="22"/>
                      <w:szCs w:val="22"/>
                      <w:lang w:eastAsia="en-US"/>
                    </w:rPr>
                  </w:pPr>
                  <w:r w:rsidRPr="002D7427">
                    <w:rPr>
                      <w:rFonts w:asciiTheme="minorHAnsi" w:eastAsiaTheme="minorHAnsi" w:hAnsiTheme="minorHAnsi" w:cs="Arial"/>
                      <w:sz w:val="22"/>
                      <w:szCs w:val="22"/>
                      <w:lang w:eastAsia="en-US"/>
                    </w:rPr>
                    <w:t>Av. Rosa Belmiro Ramos</w:t>
                  </w:r>
                </w:p>
              </w:tc>
            </w:tr>
            <w:tr w:rsidTr="00CF3865">
              <w:tblPrEx>
                <w:tblW w:w="4337" w:type="dxa"/>
                <w:tblLayout w:type="fixed"/>
                <w:tblLook w:val="04A0"/>
              </w:tblPrEx>
              <w:trPr>
                <w:trHeight w:val="117"/>
              </w:trPr>
              <w:tc>
                <w:tcPr>
                  <w:tcW w:w="972" w:type="dxa"/>
                  <w:vMerge/>
                </w:tcPr>
                <w:p w:rsidR="00AC0EDA" w:rsidRPr="002D7427" w:rsidP="00AC0EDA">
                  <w:pPr>
                    <w:autoSpaceDE w:val="0"/>
                    <w:autoSpaceDN w:val="0"/>
                    <w:adjustRightInd w:val="0"/>
                    <w:rPr>
                      <w:rFonts w:asciiTheme="minorHAnsi" w:hAnsiTheme="minorHAnsi" w:cs="Arial"/>
                      <w:b/>
                      <w:sz w:val="22"/>
                      <w:szCs w:val="22"/>
                    </w:rPr>
                  </w:pPr>
                </w:p>
              </w:tc>
              <w:tc>
                <w:tcPr>
                  <w:tcW w:w="3365" w:type="dxa"/>
                </w:tcPr>
                <w:p w:rsidR="00AC0EDA" w:rsidRPr="002D7427" w:rsidP="00AC0EDA">
                  <w:pPr>
                    <w:rPr>
                      <w:rFonts w:asciiTheme="minorHAnsi" w:hAnsiTheme="minorHAnsi" w:cs="Arial"/>
                      <w:sz w:val="22"/>
                      <w:szCs w:val="22"/>
                    </w:rPr>
                  </w:pPr>
                  <w:r w:rsidRPr="002D7427">
                    <w:rPr>
                      <w:rFonts w:asciiTheme="minorHAnsi" w:eastAsiaTheme="minorHAnsi" w:hAnsiTheme="minorHAnsi" w:cs="Arial"/>
                      <w:sz w:val="22"/>
                      <w:szCs w:val="22"/>
                      <w:lang w:eastAsia="en-US"/>
                    </w:rPr>
                    <w:t>Rua Um (</w:t>
                  </w:r>
                  <w:r w:rsidRPr="002D7427">
                    <w:rPr>
                      <w:rFonts w:asciiTheme="minorHAnsi" w:eastAsiaTheme="minorHAnsi" w:hAnsiTheme="minorHAnsi" w:cs="Arial"/>
                      <w:sz w:val="22"/>
                      <w:szCs w:val="22"/>
                      <w:lang w:eastAsia="en-US"/>
                    </w:rPr>
                    <w:t>N.E.</w:t>
                  </w:r>
                  <w:r w:rsidRPr="002D7427">
                    <w:rPr>
                      <w:rFonts w:asciiTheme="minorHAnsi" w:eastAsiaTheme="minorHAnsi" w:hAnsiTheme="minorHAnsi" w:cs="Arial"/>
                      <w:sz w:val="22"/>
                      <w:szCs w:val="22"/>
                      <w:lang w:eastAsia="en-US"/>
                    </w:rPr>
                    <w:t>Santo</w:t>
                  </w:r>
                  <w:r w:rsidRPr="002D7427">
                    <w:rPr>
                      <w:rFonts w:asciiTheme="minorHAnsi" w:eastAsiaTheme="minorHAnsi" w:hAnsiTheme="minorHAnsi" w:cs="Arial"/>
                      <w:sz w:val="22"/>
                      <w:szCs w:val="22"/>
                      <w:lang w:eastAsia="en-US"/>
                    </w:rPr>
                    <w:t>)</w:t>
                  </w:r>
                </w:p>
              </w:tc>
            </w:tr>
          </w:tbl>
          <w:p w:rsidR="00AC0EDA" w:rsidRPr="002D7427" w:rsidP="004B55A6">
            <w:pPr>
              <w:jc w:val="both"/>
              <w:rPr>
                <w:rFonts w:asciiTheme="minorHAnsi" w:hAnsiTheme="minorHAnsi" w:cstheme="minorHAnsi"/>
                <w:i/>
                <w:sz w:val="22"/>
                <w:szCs w:val="22"/>
              </w:rPr>
            </w:pPr>
          </w:p>
        </w:tc>
        <w:tc>
          <w:tcPr>
            <w:tcW w:w="5211" w:type="dxa"/>
          </w:tcPr>
          <w:p w:rsidR="00AC0EDA" w:rsidRPr="002D7427" w:rsidP="004B55A6">
            <w:pPr>
              <w:tabs>
                <w:tab w:val="left" w:pos="1155"/>
              </w:tabs>
              <w:jc w:val="both"/>
              <w:rPr>
                <w:rFonts w:asciiTheme="minorHAnsi" w:hAnsiTheme="minorHAnsi" w:cstheme="minorHAnsi"/>
                <w:i/>
                <w:sz w:val="22"/>
                <w:szCs w:val="22"/>
              </w:rPr>
            </w:pPr>
          </w:p>
          <w:p w:rsidR="00AC0EDA" w:rsidRPr="002D7427" w:rsidP="004B55A6">
            <w:pPr>
              <w:tabs>
                <w:tab w:val="left" w:pos="1155"/>
              </w:tabs>
              <w:jc w:val="both"/>
              <w:rPr>
                <w:rFonts w:asciiTheme="minorHAnsi" w:hAnsiTheme="minorHAnsi" w:cstheme="minorHAnsi"/>
                <w:i/>
                <w:sz w:val="22"/>
                <w:szCs w:val="22"/>
              </w:rPr>
            </w:pPr>
            <w:r w:rsidRPr="002D7427">
              <w:rPr>
                <w:rFonts w:asciiTheme="minorHAnsi" w:hAnsiTheme="minorHAnsi" w:cstheme="minorHAnsi"/>
                <w:i/>
                <w:sz w:val="22"/>
                <w:szCs w:val="22"/>
              </w:rPr>
              <w:t xml:space="preserve">Art. 5º. </w:t>
            </w:r>
            <w:r w:rsidRPr="002D7427">
              <w:rPr>
                <w:rFonts w:asciiTheme="minorHAnsi" w:hAnsiTheme="minorHAnsi" w:cstheme="minorHAnsi"/>
                <w:b/>
                <w:i/>
                <w:sz w:val="22"/>
                <w:szCs w:val="22"/>
                <w:u w:val="single"/>
              </w:rPr>
              <w:t>É incluso</w:t>
            </w:r>
            <w:r w:rsidRPr="002D7427">
              <w:rPr>
                <w:rFonts w:asciiTheme="minorHAnsi" w:hAnsiTheme="minorHAnsi" w:cstheme="minorHAnsi"/>
                <w:i/>
                <w:sz w:val="22"/>
                <w:szCs w:val="22"/>
              </w:rPr>
              <w:t xml:space="preserve"> no Quadro </w:t>
            </w:r>
            <w:r w:rsidRPr="002D7427">
              <w:rPr>
                <w:rFonts w:asciiTheme="minorHAnsi" w:hAnsiTheme="minorHAnsi" w:cstheme="minorHAnsi"/>
                <w:i/>
                <w:sz w:val="22"/>
                <w:szCs w:val="22"/>
              </w:rPr>
              <w:t>1</w:t>
            </w:r>
            <w:r w:rsidRPr="002D7427">
              <w:rPr>
                <w:rFonts w:asciiTheme="minorHAnsi" w:hAnsiTheme="minorHAnsi" w:cstheme="minorHAnsi"/>
                <w:i/>
                <w:sz w:val="22"/>
                <w:szCs w:val="22"/>
              </w:rPr>
              <w:t xml:space="preserve"> do Anexo II.A da Lei nº 6.574 de 29 de dezembro de 2023 quanto às zonas de centralidade, as seguintes vias e respectivas zonas:</w:t>
            </w:r>
          </w:p>
          <w:p w:rsidR="00AC0EDA" w:rsidRPr="002D7427" w:rsidP="004B55A6">
            <w:pPr>
              <w:tabs>
                <w:tab w:val="left" w:pos="1155"/>
              </w:tabs>
              <w:jc w:val="both"/>
              <w:rPr>
                <w:rFonts w:asciiTheme="minorHAnsi" w:hAnsiTheme="minorHAnsi" w:cstheme="minorHAnsi"/>
                <w:i/>
                <w:sz w:val="22"/>
                <w:szCs w:val="22"/>
              </w:rPr>
            </w:pPr>
          </w:p>
          <w:p w:rsidR="00AC0EDA" w:rsidRPr="002D7427" w:rsidP="004B55A6">
            <w:pPr>
              <w:tabs>
                <w:tab w:val="left" w:pos="1155"/>
              </w:tabs>
              <w:ind w:left="214"/>
              <w:jc w:val="both"/>
              <w:rPr>
                <w:rFonts w:asciiTheme="minorHAnsi" w:hAnsiTheme="minorHAnsi" w:cstheme="minorHAnsi"/>
                <w:b/>
                <w:i/>
                <w:sz w:val="22"/>
                <w:szCs w:val="22"/>
              </w:rPr>
            </w:pPr>
            <w:r w:rsidRPr="002D7427">
              <w:rPr>
                <w:rFonts w:asciiTheme="minorHAnsi" w:hAnsiTheme="minorHAnsi" w:cstheme="minorHAnsi"/>
                <w:b/>
                <w:i/>
                <w:sz w:val="22"/>
                <w:szCs w:val="22"/>
              </w:rPr>
              <w:t xml:space="preserve"> I- </w:t>
            </w:r>
            <w:r w:rsidRPr="002D7427">
              <w:rPr>
                <w:rFonts w:asciiTheme="minorHAnsi" w:hAnsiTheme="minorHAnsi" w:cstheme="minorHAnsi"/>
                <w:b/>
                <w:i/>
                <w:sz w:val="22"/>
                <w:szCs w:val="22"/>
              </w:rPr>
              <w:t>ZC1.</w:t>
            </w:r>
            <w:r w:rsidRPr="002D7427">
              <w:rPr>
                <w:rFonts w:asciiTheme="minorHAnsi" w:hAnsiTheme="minorHAnsi" w:cstheme="minorHAnsi"/>
                <w:b/>
                <w:i/>
                <w:sz w:val="22"/>
                <w:szCs w:val="22"/>
              </w:rPr>
              <w:t>5 – Rua Domingos Perseguetti, em ambos os trechos;</w:t>
            </w:r>
          </w:p>
          <w:p w:rsidR="00AC0EDA" w:rsidP="004B55A6">
            <w:pPr>
              <w:tabs>
                <w:tab w:val="left" w:pos="1155"/>
              </w:tabs>
              <w:ind w:left="214"/>
              <w:jc w:val="both"/>
              <w:rPr>
                <w:rFonts w:asciiTheme="minorHAnsi" w:hAnsiTheme="minorHAnsi" w:cstheme="minorHAnsi"/>
                <w:b/>
                <w:i/>
                <w:sz w:val="22"/>
                <w:szCs w:val="22"/>
              </w:rPr>
            </w:pPr>
            <w:r w:rsidRPr="002D7427">
              <w:rPr>
                <w:rFonts w:asciiTheme="minorHAnsi" w:hAnsiTheme="minorHAnsi" w:cstheme="minorHAnsi"/>
                <w:b/>
                <w:i/>
                <w:sz w:val="22"/>
                <w:szCs w:val="22"/>
              </w:rPr>
              <w:t>II-ZC3 – Rua Ver. Antônio de Castro;</w:t>
            </w:r>
          </w:p>
          <w:p w:rsidR="007207D3" w:rsidP="004B55A6">
            <w:pPr>
              <w:tabs>
                <w:tab w:val="left" w:pos="1155"/>
              </w:tabs>
              <w:ind w:left="214"/>
              <w:jc w:val="both"/>
              <w:rPr>
                <w:rFonts w:asciiTheme="minorHAnsi" w:hAnsiTheme="minorHAnsi" w:cstheme="minorHAnsi"/>
                <w:b/>
                <w:i/>
                <w:sz w:val="22"/>
                <w:szCs w:val="22"/>
              </w:rPr>
            </w:pPr>
          </w:p>
          <w:p w:rsidR="007207D3" w:rsidRPr="002D7427" w:rsidP="004B55A6">
            <w:pPr>
              <w:tabs>
                <w:tab w:val="left" w:pos="1155"/>
              </w:tabs>
              <w:ind w:left="214"/>
              <w:jc w:val="both"/>
              <w:rPr>
                <w:rFonts w:asciiTheme="minorHAnsi" w:hAnsiTheme="minorHAnsi" w:cstheme="minorHAnsi"/>
                <w:i/>
                <w:sz w:val="22"/>
                <w:szCs w:val="22"/>
              </w:rPr>
            </w:pPr>
          </w:p>
        </w:tc>
      </w:tr>
      <w:tr w:rsidTr="0039642F">
        <w:tblPrEx>
          <w:tblW w:w="9889" w:type="dxa"/>
          <w:tblInd w:w="-601" w:type="dxa"/>
          <w:tblLayout w:type="fixed"/>
          <w:tblLook w:val="04A0"/>
        </w:tblPrEx>
        <w:tc>
          <w:tcPr>
            <w:tcW w:w="4678" w:type="dxa"/>
            <w:vMerge/>
            <w:vAlign w:val="center"/>
          </w:tcPr>
          <w:p w:rsidR="00AC0EDA" w:rsidRPr="002D7427" w:rsidP="004B55A6">
            <w:pPr>
              <w:jc w:val="center"/>
              <w:rPr>
                <w:rFonts w:asciiTheme="minorHAnsi" w:hAnsiTheme="minorHAnsi" w:cstheme="minorHAnsi"/>
                <w:b/>
                <w:i/>
                <w:sz w:val="22"/>
                <w:szCs w:val="22"/>
              </w:rPr>
            </w:pPr>
          </w:p>
        </w:tc>
        <w:tc>
          <w:tcPr>
            <w:tcW w:w="5211" w:type="dxa"/>
            <w:vAlign w:val="center"/>
          </w:tcPr>
          <w:p w:rsidR="00AC0EDA" w:rsidRPr="002D7427" w:rsidP="004B55A6">
            <w:pPr>
              <w:jc w:val="both"/>
              <w:rPr>
                <w:rFonts w:asciiTheme="minorHAnsi" w:hAnsiTheme="minorHAnsi" w:cstheme="minorHAnsi"/>
                <w:i/>
                <w:sz w:val="22"/>
                <w:szCs w:val="22"/>
              </w:rPr>
            </w:pPr>
            <w:r w:rsidRPr="002D7427">
              <w:rPr>
                <w:rFonts w:asciiTheme="minorHAnsi" w:hAnsiTheme="minorHAnsi" w:cstheme="minorHAnsi"/>
                <w:i/>
                <w:sz w:val="22"/>
                <w:szCs w:val="22"/>
              </w:rPr>
              <w:t>Art. 6º</w:t>
            </w:r>
            <w:r w:rsidRPr="002D7427">
              <w:rPr>
                <w:rFonts w:asciiTheme="minorHAnsi" w:hAnsiTheme="minorHAnsi" w:cstheme="minorHAnsi"/>
                <w:b/>
                <w:i/>
                <w:sz w:val="22"/>
                <w:szCs w:val="22"/>
              </w:rPr>
              <w:t xml:space="preserve">. </w:t>
            </w:r>
            <w:r w:rsidRPr="002D7427">
              <w:rPr>
                <w:rFonts w:asciiTheme="minorHAnsi" w:hAnsiTheme="minorHAnsi" w:cstheme="minorHAnsi"/>
                <w:b/>
                <w:i/>
                <w:sz w:val="22"/>
                <w:szCs w:val="22"/>
                <w:u w:val="single"/>
              </w:rPr>
              <w:t>É excluído</w:t>
            </w:r>
            <w:r w:rsidRPr="002D7427">
              <w:rPr>
                <w:rFonts w:asciiTheme="minorHAnsi" w:hAnsiTheme="minorHAnsi" w:cstheme="minorHAnsi"/>
                <w:i/>
                <w:sz w:val="22"/>
                <w:szCs w:val="22"/>
              </w:rPr>
              <w:t xml:space="preserve"> do Quadro </w:t>
            </w:r>
            <w:r w:rsidRPr="002D7427">
              <w:rPr>
                <w:rFonts w:asciiTheme="minorHAnsi" w:hAnsiTheme="minorHAnsi" w:cstheme="minorHAnsi"/>
                <w:i/>
                <w:sz w:val="22"/>
                <w:szCs w:val="22"/>
              </w:rPr>
              <w:t>1</w:t>
            </w:r>
            <w:r w:rsidRPr="002D7427">
              <w:rPr>
                <w:rFonts w:asciiTheme="minorHAnsi" w:hAnsiTheme="minorHAnsi" w:cstheme="minorHAnsi"/>
                <w:i/>
                <w:sz w:val="22"/>
                <w:szCs w:val="22"/>
              </w:rPr>
              <w:t xml:space="preserve"> do Anexo II.A da Lei nº 6.574 de 29 de dezembro de 2023 quanto às zonas de centralidade, as seguintes vias: </w:t>
            </w:r>
          </w:p>
          <w:p w:rsidR="002D7427" w:rsidP="004B55A6">
            <w:pPr>
              <w:ind w:left="214"/>
              <w:rPr>
                <w:rFonts w:asciiTheme="minorHAnsi" w:hAnsiTheme="minorHAnsi" w:cstheme="minorHAnsi"/>
                <w:b/>
                <w:i/>
                <w:sz w:val="22"/>
                <w:szCs w:val="22"/>
              </w:rPr>
            </w:pPr>
          </w:p>
          <w:p w:rsidR="00AC0EDA" w:rsidRPr="002D7427" w:rsidP="004B55A6">
            <w:pPr>
              <w:ind w:left="214"/>
              <w:rPr>
                <w:rFonts w:asciiTheme="minorHAnsi" w:hAnsiTheme="minorHAnsi" w:cstheme="minorHAnsi"/>
                <w:b/>
                <w:i/>
                <w:sz w:val="22"/>
                <w:szCs w:val="22"/>
              </w:rPr>
            </w:pPr>
            <w:r w:rsidRPr="002D7427">
              <w:rPr>
                <w:rFonts w:asciiTheme="minorHAnsi" w:hAnsiTheme="minorHAnsi" w:cstheme="minorHAnsi"/>
                <w:b/>
                <w:i/>
                <w:sz w:val="22"/>
                <w:szCs w:val="22"/>
              </w:rPr>
              <w:t>I- Rua Clark;</w:t>
            </w:r>
          </w:p>
          <w:p w:rsidR="00AC0EDA" w:rsidRPr="002D7427" w:rsidP="004B55A6">
            <w:pPr>
              <w:ind w:left="214"/>
              <w:rPr>
                <w:rFonts w:asciiTheme="minorHAnsi" w:hAnsiTheme="minorHAnsi" w:cstheme="minorHAnsi"/>
                <w:b/>
                <w:i/>
                <w:sz w:val="22"/>
                <w:szCs w:val="22"/>
              </w:rPr>
            </w:pPr>
          </w:p>
        </w:tc>
      </w:tr>
      <w:tr w:rsidTr="0039642F">
        <w:tblPrEx>
          <w:tblW w:w="9889" w:type="dxa"/>
          <w:tblInd w:w="-601" w:type="dxa"/>
          <w:tblLayout w:type="fixed"/>
          <w:tblLook w:val="04A0"/>
        </w:tblPrEx>
        <w:tc>
          <w:tcPr>
            <w:tcW w:w="4678" w:type="dxa"/>
            <w:vAlign w:val="center"/>
          </w:tcPr>
          <w:p w:rsidR="00F06555" w:rsidRPr="002D7427" w:rsidP="00F06555">
            <w:pPr>
              <w:jc w:val="both"/>
              <w:rPr>
                <w:rFonts w:asciiTheme="minorHAnsi" w:hAnsiTheme="minorHAnsi" w:cstheme="minorHAnsi"/>
                <w:b/>
                <w:i/>
                <w:sz w:val="22"/>
                <w:szCs w:val="22"/>
              </w:rPr>
            </w:pPr>
          </w:p>
          <w:p w:rsidR="00F06555" w:rsidRPr="002D7427" w:rsidP="00F06555">
            <w:pPr>
              <w:jc w:val="both"/>
              <w:rPr>
                <w:rFonts w:asciiTheme="minorHAnsi" w:hAnsiTheme="minorHAnsi" w:cstheme="minorHAnsi"/>
                <w:b/>
                <w:i/>
                <w:sz w:val="22"/>
                <w:szCs w:val="22"/>
              </w:rPr>
            </w:pPr>
          </w:p>
          <w:p w:rsidR="00F06555" w:rsidRPr="002D7427" w:rsidP="00F06555">
            <w:pPr>
              <w:jc w:val="both"/>
              <w:rPr>
                <w:rFonts w:asciiTheme="minorHAnsi" w:hAnsiTheme="minorHAnsi" w:cstheme="minorHAnsi"/>
                <w:b/>
                <w:i/>
                <w:sz w:val="22"/>
                <w:szCs w:val="22"/>
              </w:rPr>
            </w:pPr>
          </w:p>
          <w:p w:rsidR="0039642F" w:rsidRPr="002D7427" w:rsidP="00F06555">
            <w:pPr>
              <w:jc w:val="both"/>
              <w:rPr>
                <w:rFonts w:asciiTheme="minorHAnsi" w:hAnsiTheme="minorHAnsi" w:cstheme="minorHAnsi"/>
                <w:b/>
                <w:i/>
                <w:sz w:val="22"/>
                <w:szCs w:val="22"/>
              </w:rPr>
            </w:pPr>
          </w:p>
          <w:p w:rsidR="00642D9E" w:rsidRPr="002D7427" w:rsidP="00F06555">
            <w:pPr>
              <w:jc w:val="both"/>
              <w:rPr>
                <w:rFonts w:asciiTheme="minorHAnsi" w:hAnsiTheme="minorHAnsi" w:cstheme="minorHAnsi"/>
                <w:b/>
                <w:i/>
                <w:sz w:val="22"/>
                <w:szCs w:val="22"/>
              </w:rPr>
            </w:pPr>
            <w:r w:rsidRPr="002D7427">
              <w:rPr>
                <w:rFonts w:asciiTheme="minorHAnsi" w:hAnsiTheme="minorHAnsi" w:cstheme="minorHAnsi"/>
                <w:b/>
                <w:i/>
                <w:sz w:val="22"/>
                <w:szCs w:val="22"/>
              </w:rPr>
              <w:t>(15) Respeitado o parâmetro de baixíssima densidade, máxima, (</w:t>
            </w:r>
            <w:r w:rsidRPr="002D7427">
              <w:rPr>
                <w:rFonts w:asciiTheme="minorHAnsi" w:hAnsiTheme="minorHAnsi" w:cstheme="minorHAnsi"/>
                <w:b/>
                <w:i/>
                <w:sz w:val="22"/>
                <w:szCs w:val="22"/>
              </w:rPr>
              <w:t>10u.</w:t>
            </w:r>
            <w:r w:rsidRPr="002D7427">
              <w:rPr>
                <w:rFonts w:asciiTheme="minorHAnsi" w:hAnsiTheme="minorHAnsi" w:cstheme="minorHAnsi"/>
                <w:b/>
                <w:i/>
                <w:sz w:val="22"/>
                <w:szCs w:val="22"/>
              </w:rPr>
              <w:t>h./ha)</w:t>
            </w:r>
          </w:p>
        </w:tc>
        <w:tc>
          <w:tcPr>
            <w:tcW w:w="5211" w:type="dxa"/>
            <w:vAlign w:val="center"/>
          </w:tcPr>
          <w:p w:rsidR="0039642F" w:rsidRPr="002D7427" w:rsidP="004B55A6">
            <w:pPr>
              <w:jc w:val="both"/>
              <w:rPr>
                <w:rFonts w:asciiTheme="minorHAnsi" w:hAnsiTheme="minorHAnsi" w:cstheme="minorHAnsi"/>
                <w:i/>
                <w:sz w:val="22"/>
                <w:szCs w:val="22"/>
              </w:rPr>
            </w:pPr>
          </w:p>
          <w:p w:rsidR="00642D9E" w:rsidRPr="002D7427" w:rsidP="004B55A6">
            <w:pPr>
              <w:jc w:val="both"/>
              <w:rPr>
                <w:rFonts w:asciiTheme="minorHAnsi" w:hAnsiTheme="minorHAnsi" w:cstheme="minorHAnsi"/>
                <w:i/>
                <w:sz w:val="22"/>
                <w:szCs w:val="22"/>
              </w:rPr>
            </w:pPr>
            <w:r w:rsidRPr="002D7427">
              <w:rPr>
                <w:rFonts w:asciiTheme="minorHAnsi" w:hAnsiTheme="minorHAnsi" w:cstheme="minorHAnsi"/>
                <w:i/>
                <w:sz w:val="22"/>
                <w:szCs w:val="22"/>
              </w:rPr>
              <w:t>Art. 7º</w:t>
            </w:r>
            <w:r w:rsidRPr="002D7427">
              <w:rPr>
                <w:rFonts w:asciiTheme="minorHAnsi" w:hAnsiTheme="minorHAnsi" w:cstheme="minorHAnsi"/>
                <w:b/>
                <w:i/>
                <w:sz w:val="22"/>
                <w:szCs w:val="22"/>
              </w:rPr>
              <w:t>.</w:t>
            </w:r>
            <w:r w:rsidRPr="002D7427">
              <w:rPr>
                <w:rFonts w:asciiTheme="minorHAnsi" w:hAnsiTheme="minorHAnsi" w:cstheme="minorHAnsi"/>
                <w:i/>
                <w:sz w:val="22"/>
                <w:szCs w:val="22"/>
              </w:rPr>
              <w:t xml:space="preserve"> É alterado o Quadro </w:t>
            </w:r>
            <w:r w:rsidRPr="002D7427">
              <w:rPr>
                <w:rFonts w:asciiTheme="minorHAnsi" w:hAnsiTheme="minorHAnsi" w:cstheme="minorHAnsi"/>
                <w:i/>
                <w:sz w:val="22"/>
                <w:szCs w:val="22"/>
              </w:rPr>
              <w:t>2</w:t>
            </w:r>
            <w:r w:rsidRPr="002D7427">
              <w:rPr>
                <w:rFonts w:asciiTheme="minorHAnsi" w:hAnsiTheme="minorHAnsi" w:cstheme="minorHAnsi"/>
                <w:i/>
                <w:sz w:val="22"/>
                <w:szCs w:val="22"/>
              </w:rPr>
              <w:t xml:space="preserve"> do Anexo III – “Parâmetros de uso e ocupação do solo” da Lei nº 6.574 de 29 de dezembro de 2023, quanto à zona de uso ZRRM1, a observação “(15)”, vinculada à categoria de uso “R”, nos seguintes termos: </w:t>
            </w:r>
          </w:p>
          <w:p w:rsidR="00642D9E" w:rsidRPr="002D7427" w:rsidP="004B55A6">
            <w:pPr>
              <w:jc w:val="both"/>
              <w:rPr>
                <w:rFonts w:asciiTheme="minorHAnsi" w:hAnsiTheme="minorHAnsi" w:cstheme="minorHAnsi"/>
                <w:i/>
                <w:sz w:val="22"/>
                <w:szCs w:val="22"/>
              </w:rPr>
            </w:pPr>
          </w:p>
          <w:p w:rsidR="00642D9E" w:rsidRPr="002D7427" w:rsidP="004B55A6">
            <w:pPr>
              <w:ind w:left="214"/>
              <w:jc w:val="both"/>
              <w:rPr>
                <w:rFonts w:asciiTheme="minorHAnsi" w:hAnsiTheme="minorHAnsi" w:cstheme="minorHAnsi"/>
                <w:b/>
                <w:i/>
                <w:sz w:val="22"/>
                <w:szCs w:val="22"/>
              </w:rPr>
            </w:pPr>
            <w:r w:rsidRPr="002D7427">
              <w:rPr>
                <w:rFonts w:asciiTheme="minorHAnsi" w:hAnsiTheme="minorHAnsi" w:cstheme="minorHAnsi"/>
                <w:i/>
                <w:sz w:val="22"/>
                <w:szCs w:val="22"/>
              </w:rPr>
              <w:t>(</w:t>
            </w:r>
            <w:r w:rsidRPr="002D7427">
              <w:rPr>
                <w:rFonts w:asciiTheme="minorHAnsi" w:hAnsiTheme="minorHAnsi" w:cstheme="minorHAnsi"/>
                <w:b/>
                <w:i/>
                <w:sz w:val="22"/>
                <w:szCs w:val="22"/>
              </w:rPr>
              <w:t>15) Respeitado o parâmetro de baixíssima densidade máxima (</w:t>
            </w:r>
            <w:r w:rsidRPr="002D7427">
              <w:rPr>
                <w:rFonts w:asciiTheme="minorHAnsi" w:hAnsiTheme="minorHAnsi" w:cstheme="minorHAnsi"/>
                <w:b/>
                <w:i/>
                <w:sz w:val="22"/>
                <w:szCs w:val="22"/>
              </w:rPr>
              <w:t>10u.</w:t>
            </w:r>
            <w:r w:rsidRPr="002D7427">
              <w:rPr>
                <w:rFonts w:asciiTheme="minorHAnsi" w:hAnsiTheme="minorHAnsi" w:cstheme="minorHAnsi"/>
                <w:b/>
                <w:i/>
                <w:sz w:val="22"/>
                <w:szCs w:val="22"/>
              </w:rPr>
              <w:t>h./ha), exceto no caso de ocupação RMH-Vila na Alameda Itatuba.</w:t>
            </w:r>
          </w:p>
          <w:p w:rsidR="00336CB9" w:rsidRPr="002D7427" w:rsidP="004B55A6">
            <w:pPr>
              <w:ind w:left="214"/>
              <w:jc w:val="both"/>
              <w:rPr>
                <w:rFonts w:asciiTheme="minorHAnsi" w:hAnsiTheme="minorHAnsi" w:cstheme="minorHAnsi"/>
                <w:b/>
                <w:i/>
                <w:sz w:val="22"/>
                <w:szCs w:val="22"/>
              </w:rPr>
            </w:pPr>
          </w:p>
        </w:tc>
      </w:tr>
      <w:tr w:rsidTr="0039642F">
        <w:tblPrEx>
          <w:tblW w:w="9889" w:type="dxa"/>
          <w:tblInd w:w="-601" w:type="dxa"/>
          <w:tblLayout w:type="fixed"/>
          <w:tblLook w:val="04A0"/>
        </w:tblPrEx>
        <w:tc>
          <w:tcPr>
            <w:tcW w:w="4678" w:type="dxa"/>
            <w:vAlign w:val="center"/>
          </w:tcPr>
          <w:p w:rsidR="00336CB9" w:rsidRPr="002D7427" w:rsidP="004B55A6">
            <w:pPr>
              <w:jc w:val="center"/>
              <w:rPr>
                <w:rFonts w:asciiTheme="minorHAnsi" w:hAnsiTheme="minorHAnsi" w:cstheme="minorHAnsi"/>
                <w:b/>
                <w:i/>
                <w:sz w:val="22"/>
                <w:szCs w:val="22"/>
              </w:rPr>
            </w:pPr>
          </w:p>
          <w:p w:rsidR="0039642F" w:rsidRPr="002D7427" w:rsidP="004B55A6">
            <w:pPr>
              <w:jc w:val="center"/>
              <w:rPr>
                <w:rFonts w:asciiTheme="minorHAnsi" w:hAnsiTheme="minorHAnsi" w:cstheme="minorHAnsi"/>
                <w:b/>
                <w:i/>
                <w:sz w:val="22"/>
                <w:szCs w:val="22"/>
              </w:rPr>
            </w:pPr>
          </w:p>
          <w:p w:rsidR="007D70F0" w:rsidRPr="002D7427" w:rsidP="004B55A6">
            <w:pPr>
              <w:jc w:val="center"/>
              <w:rPr>
                <w:rFonts w:asciiTheme="minorHAnsi" w:hAnsiTheme="minorHAnsi" w:cstheme="minorHAnsi"/>
                <w:b/>
                <w:i/>
                <w:sz w:val="22"/>
                <w:szCs w:val="22"/>
              </w:rPr>
            </w:pPr>
          </w:p>
          <w:p w:rsidR="007D70F0" w:rsidRPr="002D7427" w:rsidP="004B55A6">
            <w:pPr>
              <w:jc w:val="center"/>
              <w:rPr>
                <w:rFonts w:asciiTheme="minorHAnsi" w:hAnsiTheme="minorHAnsi" w:cstheme="minorHAnsi"/>
                <w:b/>
                <w:i/>
                <w:sz w:val="22"/>
                <w:szCs w:val="22"/>
              </w:rPr>
            </w:pPr>
          </w:p>
          <w:p w:rsidR="0039642F" w:rsidRPr="002D7427" w:rsidP="004B55A6">
            <w:pPr>
              <w:jc w:val="center"/>
              <w:rPr>
                <w:rFonts w:asciiTheme="minorHAnsi" w:hAnsiTheme="minorHAnsi" w:cstheme="minorHAnsi"/>
                <w:b/>
                <w:i/>
                <w:sz w:val="22"/>
                <w:szCs w:val="22"/>
              </w:rPr>
            </w:pPr>
            <w:r>
              <w:rPr>
                <w:rFonts w:asciiTheme="minorHAnsi" w:hAnsiTheme="minorHAnsi"/>
                <w:sz w:val="22"/>
                <w:szCs w:val="22"/>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75pt;height:189.54pt" o:oleicon="f" o:ole="">
                  <v:imagedata r:id="rId6" o:title=""/>
                </v:shape>
                <o:OLEObject Type="Embed" ProgID="PBrush" ShapeID="_x0000_i1025" DrawAspect="Content" ObjectID="_1780311972" r:id="rId7"/>
              </w:object>
            </w:r>
          </w:p>
          <w:p w:rsidR="0039642F" w:rsidRPr="002D7427" w:rsidP="004B55A6">
            <w:pPr>
              <w:jc w:val="center"/>
              <w:rPr>
                <w:rFonts w:asciiTheme="minorHAnsi" w:hAnsiTheme="minorHAnsi" w:cstheme="minorHAnsi"/>
                <w:b/>
                <w:i/>
                <w:sz w:val="22"/>
                <w:szCs w:val="22"/>
              </w:rPr>
            </w:pPr>
            <w:r>
              <w:rPr>
                <w:rFonts w:asciiTheme="minorHAnsi" w:hAnsiTheme="minorHAnsi"/>
                <w:sz w:val="22"/>
                <w:szCs w:val="22"/>
              </w:rPr>
              <w:object>
                <v:shape id="_x0000_i1026" type="#_x0000_t75" style="width:222.94pt;height:109.5pt" o:oleicon="f" o:ole="">
                  <v:imagedata r:id="rId8" o:title=""/>
                </v:shape>
                <o:OLEObject Type="Embed" ProgID="PBrush" ShapeID="_x0000_i1026" DrawAspect="Content" ObjectID="_1780311973" r:id="rId9"/>
              </w:object>
            </w:r>
          </w:p>
          <w:p w:rsidR="0039642F" w:rsidRPr="002D7427" w:rsidP="004B55A6">
            <w:pPr>
              <w:jc w:val="center"/>
              <w:rPr>
                <w:rFonts w:asciiTheme="minorHAnsi" w:hAnsiTheme="minorHAnsi" w:cstheme="minorHAnsi"/>
                <w:b/>
                <w:i/>
                <w:sz w:val="22"/>
                <w:szCs w:val="22"/>
              </w:rPr>
            </w:pPr>
            <w:r>
              <w:rPr>
                <w:rFonts w:asciiTheme="minorHAnsi" w:hAnsiTheme="minorHAnsi"/>
                <w:sz w:val="22"/>
                <w:szCs w:val="22"/>
              </w:rPr>
              <w:object>
                <v:shape id="_x0000_i1027" type="#_x0000_t75" style="width:222.75pt;height:153.15pt" o:oleicon="f" o:ole="">
                  <v:imagedata r:id="rId10" o:title=""/>
                </v:shape>
                <o:OLEObject Type="Embed" ProgID="PBrush" ShapeID="_x0000_i1027" DrawAspect="Content" ObjectID="_1780311974" r:id="rId11"/>
              </w:object>
            </w:r>
          </w:p>
          <w:p w:rsidR="0039642F" w:rsidRPr="002D7427" w:rsidP="004B55A6">
            <w:pPr>
              <w:jc w:val="center"/>
              <w:rPr>
                <w:rFonts w:asciiTheme="minorHAnsi" w:hAnsiTheme="minorHAnsi" w:cstheme="minorHAnsi"/>
                <w:b/>
                <w:i/>
                <w:sz w:val="22"/>
                <w:szCs w:val="22"/>
              </w:rPr>
            </w:pPr>
            <w:r>
              <w:rPr>
                <w:rFonts w:asciiTheme="minorHAnsi" w:hAnsiTheme="minorHAnsi"/>
                <w:sz w:val="22"/>
                <w:szCs w:val="22"/>
              </w:rPr>
              <w:object>
                <v:shape id="_x0000_i1028" type="#_x0000_t75" style="width:222.75pt;height:97.5pt" o:oleicon="f" o:ole="">
                  <v:imagedata r:id="rId12" o:title=""/>
                </v:shape>
                <o:OLEObject Type="Embed" ProgID="PBrush" ShapeID="_x0000_i1028" DrawAspect="Content" ObjectID="_1780311975" r:id="rId13"/>
              </w:object>
            </w:r>
          </w:p>
          <w:p w:rsidR="0039642F" w:rsidRPr="002D7427" w:rsidP="0039642F">
            <w:pPr>
              <w:ind w:left="-108"/>
              <w:jc w:val="center"/>
              <w:rPr>
                <w:rFonts w:asciiTheme="minorHAnsi" w:hAnsiTheme="minorHAnsi" w:cstheme="minorHAnsi"/>
                <w:b/>
                <w:i/>
                <w:sz w:val="22"/>
                <w:szCs w:val="22"/>
              </w:rPr>
            </w:pPr>
          </w:p>
        </w:tc>
        <w:tc>
          <w:tcPr>
            <w:tcW w:w="5211" w:type="dxa"/>
            <w:vAlign w:val="center"/>
          </w:tcPr>
          <w:p w:rsidR="00336CB9" w:rsidRPr="002D7427" w:rsidP="004B55A6">
            <w:pPr>
              <w:jc w:val="both"/>
              <w:rPr>
                <w:rFonts w:asciiTheme="minorHAnsi" w:hAnsiTheme="minorHAnsi" w:cstheme="minorHAnsi"/>
                <w:i/>
                <w:sz w:val="22"/>
                <w:szCs w:val="22"/>
              </w:rPr>
            </w:pPr>
            <w:r w:rsidRPr="002D7427">
              <w:rPr>
                <w:rFonts w:asciiTheme="minorHAnsi" w:hAnsiTheme="minorHAnsi" w:cstheme="minorHAnsi"/>
                <w:i/>
                <w:sz w:val="22"/>
                <w:szCs w:val="22"/>
              </w:rPr>
              <w:t>Art.8º</w:t>
            </w:r>
            <w:r w:rsidRPr="002D7427">
              <w:rPr>
                <w:rFonts w:asciiTheme="minorHAnsi" w:hAnsiTheme="minorHAnsi" w:cstheme="minorHAnsi"/>
                <w:b/>
                <w:i/>
                <w:sz w:val="22"/>
                <w:szCs w:val="22"/>
              </w:rPr>
              <w:t>.</w:t>
            </w:r>
            <w:r w:rsidRPr="002D7427">
              <w:rPr>
                <w:rFonts w:asciiTheme="minorHAnsi" w:hAnsiTheme="minorHAnsi" w:cstheme="minorHAnsi"/>
                <w:i/>
                <w:sz w:val="22"/>
                <w:szCs w:val="22"/>
              </w:rPr>
              <w:t xml:space="preserve">  É alterado o Quadro </w:t>
            </w:r>
            <w:r w:rsidRPr="002D7427">
              <w:rPr>
                <w:rFonts w:asciiTheme="minorHAnsi" w:hAnsiTheme="minorHAnsi" w:cstheme="minorHAnsi"/>
                <w:i/>
                <w:sz w:val="22"/>
                <w:szCs w:val="22"/>
              </w:rPr>
              <w:t>7</w:t>
            </w:r>
            <w:r w:rsidRPr="002D7427">
              <w:rPr>
                <w:rFonts w:asciiTheme="minorHAnsi" w:hAnsiTheme="minorHAnsi" w:cstheme="minorHAnsi"/>
                <w:i/>
                <w:sz w:val="22"/>
                <w:szCs w:val="22"/>
              </w:rPr>
              <w:t xml:space="preserve"> do Anexo VI da Lei nº 6.574 de 29 de dezembro de 2023 quanto à coluna das observações e das incomodidades, passando a ter a seguinte redação os itens a seguir relacionados:</w:t>
            </w:r>
          </w:p>
          <w:p w:rsidR="00336CB9" w:rsidRPr="002D7427" w:rsidP="00AC0EDA">
            <w:pPr>
              <w:ind w:left="176"/>
              <w:jc w:val="both"/>
              <w:rPr>
                <w:rFonts w:asciiTheme="minorHAnsi" w:hAnsiTheme="minorHAnsi"/>
                <w:sz w:val="22"/>
                <w:szCs w:val="22"/>
              </w:rPr>
            </w:pPr>
            <w:r>
              <w:rPr>
                <w:rFonts w:asciiTheme="minorHAnsi" w:hAnsiTheme="minorHAnsi"/>
                <w:sz w:val="22"/>
                <w:szCs w:val="22"/>
              </w:rPr>
              <w:object>
                <v:shape id="_x0000_i1029" type="#_x0000_t75" style="width:248.41pt;height:256.5pt" o:oleicon="f" o:ole="">
                  <v:imagedata r:id="rId14" o:title=""/>
                </v:shape>
                <o:OLEObject Type="Embed" ProgID="PBrush" ShapeID="_x0000_i1029" DrawAspect="Content" ObjectID="_1780311976" r:id="rId15"/>
              </w:object>
            </w:r>
            <w:r>
              <w:rPr>
                <w:rFonts w:asciiTheme="minorHAnsi" w:hAnsiTheme="minorHAnsi"/>
                <w:sz w:val="22"/>
                <w:szCs w:val="22"/>
              </w:rPr>
              <w:object>
                <v:shape id="_x0000_i1030" type="#_x0000_t75" style="width:248.06pt;height:131.25pt" o:oleicon="f" o:ole="">
                  <v:imagedata r:id="rId16" o:title=""/>
                </v:shape>
                <o:OLEObject Type="Embed" ProgID="PBrush" ShapeID="_x0000_i1030" DrawAspect="Content" ObjectID="_1780311977" r:id="rId17"/>
              </w:object>
            </w:r>
          </w:p>
          <w:p w:rsidR="00EA5267" w:rsidRPr="002D7427" w:rsidP="004B55A6">
            <w:pPr>
              <w:jc w:val="both"/>
              <w:rPr>
                <w:rFonts w:asciiTheme="minorHAnsi" w:hAnsiTheme="minorHAnsi" w:cstheme="minorHAnsi"/>
                <w:i/>
                <w:sz w:val="22"/>
                <w:szCs w:val="22"/>
              </w:rPr>
            </w:pPr>
          </w:p>
        </w:tc>
      </w:tr>
      <w:tr w:rsidTr="00A50F78">
        <w:tblPrEx>
          <w:tblW w:w="9889" w:type="dxa"/>
          <w:tblInd w:w="-601" w:type="dxa"/>
          <w:tblLayout w:type="fixed"/>
          <w:tblLook w:val="04A0"/>
        </w:tblPrEx>
        <w:trPr>
          <w:trHeight w:val="6141"/>
        </w:trPr>
        <w:tc>
          <w:tcPr>
            <w:tcW w:w="4678" w:type="dxa"/>
            <w:vAlign w:val="center"/>
          </w:tcPr>
          <w:p w:rsidR="00A50F78" w:rsidP="004B55A6">
            <w:pPr>
              <w:jc w:val="center"/>
              <w:rPr>
                <w:rFonts w:asciiTheme="minorHAnsi" w:hAnsiTheme="minorHAnsi"/>
                <w:sz w:val="22"/>
                <w:szCs w:val="22"/>
              </w:rPr>
            </w:pPr>
          </w:p>
          <w:p w:rsidR="00A50F78" w:rsidP="004B55A6">
            <w:pPr>
              <w:jc w:val="center"/>
              <w:rPr>
                <w:rFonts w:asciiTheme="minorHAnsi" w:hAnsiTheme="minorHAnsi"/>
                <w:sz w:val="22"/>
                <w:szCs w:val="22"/>
              </w:rPr>
            </w:pPr>
          </w:p>
          <w:p w:rsidR="00A50F78" w:rsidP="004B55A6">
            <w:pPr>
              <w:jc w:val="center"/>
              <w:rPr>
                <w:rFonts w:asciiTheme="minorHAnsi" w:hAnsiTheme="minorHAnsi"/>
                <w:sz w:val="22"/>
                <w:szCs w:val="22"/>
              </w:rPr>
            </w:pPr>
          </w:p>
          <w:p w:rsidR="00A50F78" w:rsidP="004B55A6">
            <w:pPr>
              <w:jc w:val="center"/>
              <w:rPr>
                <w:rFonts w:asciiTheme="minorHAnsi" w:hAnsiTheme="minorHAnsi"/>
                <w:sz w:val="22"/>
                <w:szCs w:val="22"/>
              </w:rPr>
            </w:pPr>
          </w:p>
          <w:p w:rsidR="007207D3" w:rsidP="004B55A6">
            <w:pPr>
              <w:jc w:val="center"/>
              <w:rPr>
                <w:rFonts w:asciiTheme="minorHAnsi" w:hAnsiTheme="minorHAnsi"/>
                <w:sz w:val="22"/>
                <w:szCs w:val="22"/>
              </w:rPr>
            </w:pPr>
          </w:p>
          <w:p w:rsidR="00A50F78" w:rsidP="004B55A6">
            <w:pPr>
              <w:jc w:val="center"/>
              <w:rPr>
                <w:rFonts w:asciiTheme="minorHAnsi" w:hAnsiTheme="minorHAnsi"/>
                <w:sz w:val="22"/>
                <w:szCs w:val="22"/>
              </w:rPr>
            </w:pPr>
          </w:p>
          <w:p w:rsidR="00061E43" w:rsidRPr="002D7427" w:rsidP="00A50F78">
            <w:pPr>
              <w:jc w:val="center"/>
              <w:rPr>
                <w:rFonts w:asciiTheme="minorHAnsi" w:hAnsiTheme="minorHAnsi" w:cstheme="minorHAnsi"/>
                <w:b/>
                <w:i/>
                <w:sz w:val="22"/>
                <w:szCs w:val="22"/>
              </w:rPr>
            </w:pPr>
            <w:r>
              <w:rPr>
                <w:rFonts w:asciiTheme="minorHAnsi" w:hAnsiTheme="minorHAnsi"/>
                <w:sz w:val="22"/>
                <w:szCs w:val="22"/>
              </w:rPr>
              <w:object>
                <v:shape id="_x0000_i1031" type="#_x0000_t75" style="width:222.88pt;height:278.25pt" o:oleicon="f" o:ole="">
                  <v:imagedata r:id="rId18" o:title=""/>
                </v:shape>
                <o:OLEObject Type="Embed" ProgID="PBrush" ShapeID="_x0000_i1031" DrawAspect="Content" ObjectID="_1780311978" r:id="rId19"/>
              </w:object>
            </w:r>
          </w:p>
        </w:tc>
        <w:tc>
          <w:tcPr>
            <w:tcW w:w="5211" w:type="dxa"/>
            <w:vAlign w:val="center"/>
          </w:tcPr>
          <w:p w:rsidR="00336CB9" w:rsidRPr="002D7427" w:rsidP="004B55A6">
            <w:pPr>
              <w:jc w:val="both"/>
              <w:rPr>
                <w:rFonts w:asciiTheme="minorHAnsi" w:hAnsiTheme="minorHAnsi" w:cstheme="minorHAnsi"/>
                <w:i/>
                <w:sz w:val="22"/>
                <w:szCs w:val="22"/>
              </w:rPr>
            </w:pPr>
            <w:r w:rsidRPr="002D7427">
              <w:rPr>
                <w:rFonts w:asciiTheme="minorHAnsi" w:hAnsiTheme="minorHAnsi" w:cstheme="minorHAnsi"/>
                <w:i/>
                <w:sz w:val="22"/>
                <w:szCs w:val="22"/>
              </w:rPr>
              <w:t>Art.9º. É alterado o Quadro 7-A do Anexo VI da Lei nº 6.574 de 29 de dezembro de 2023 quanto à coluna das observações e das incomodidades, passando a ter a seguinte redação os itens a seguir relacionados:</w:t>
            </w:r>
          </w:p>
          <w:p w:rsidR="00336CB9" w:rsidRPr="002D7427" w:rsidP="004B55A6">
            <w:pPr>
              <w:jc w:val="both"/>
              <w:rPr>
                <w:rFonts w:asciiTheme="minorHAnsi" w:hAnsiTheme="minorHAnsi" w:cstheme="minorHAnsi"/>
                <w:i/>
                <w:sz w:val="22"/>
                <w:szCs w:val="22"/>
              </w:rPr>
            </w:pPr>
          </w:p>
          <w:p w:rsidR="00EA5267" w:rsidRPr="002D7427" w:rsidP="004B55A6">
            <w:pPr>
              <w:ind w:left="176"/>
              <w:jc w:val="both"/>
              <w:rPr>
                <w:rFonts w:asciiTheme="minorHAnsi" w:hAnsiTheme="minorHAnsi" w:cstheme="minorHAnsi"/>
                <w:i/>
                <w:sz w:val="22"/>
                <w:szCs w:val="22"/>
              </w:rPr>
            </w:pPr>
            <w:r>
              <w:rPr>
                <w:rFonts w:asciiTheme="minorHAnsi" w:hAnsiTheme="minorHAnsi"/>
                <w:sz w:val="22"/>
                <w:szCs w:val="22"/>
              </w:rPr>
              <w:object>
                <v:shape id="_x0000_i1032" type="#_x0000_t75" style="width:243pt;height:116.25pt" o:oleicon="f" o:ole="">
                  <v:imagedata r:id="rId20" o:title=""/>
                </v:shape>
                <o:OLEObject Type="Embed" ProgID="PBrush" ShapeID="_x0000_i1032" DrawAspect="Content" ObjectID="_1780311979" r:id="rId21"/>
              </w:object>
            </w:r>
          </w:p>
          <w:p w:rsidR="000B29F4" w:rsidRPr="002D7427" w:rsidP="00796253">
            <w:pPr>
              <w:ind w:firstLine="176"/>
              <w:jc w:val="both"/>
              <w:rPr>
                <w:rFonts w:asciiTheme="minorHAnsi" w:hAnsiTheme="minorHAnsi" w:cstheme="minorHAnsi"/>
                <w:i/>
                <w:sz w:val="22"/>
                <w:szCs w:val="22"/>
              </w:rPr>
            </w:pPr>
            <w:r>
              <w:rPr>
                <w:rFonts w:asciiTheme="minorHAnsi" w:hAnsiTheme="minorHAnsi"/>
                <w:sz w:val="22"/>
                <w:szCs w:val="22"/>
              </w:rPr>
              <w:object>
                <v:shape id="_x0000_i1033" type="#_x0000_t75" style="width:243.16pt;height:106.5pt" o:oleicon="f" o:ole="">
                  <v:imagedata r:id="rId22" o:title=""/>
                </v:shape>
                <o:OLEObject Type="Embed" ProgID="PBrush" ShapeID="_x0000_i1033" DrawAspect="Content" ObjectID="_1780311980" r:id="rId23"/>
              </w:object>
            </w:r>
          </w:p>
        </w:tc>
      </w:tr>
      <w:tr w:rsidTr="0039642F">
        <w:tblPrEx>
          <w:tblW w:w="9889" w:type="dxa"/>
          <w:tblInd w:w="-601" w:type="dxa"/>
          <w:tblLayout w:type="fixed"/>
          <w:tblLook w:val="04A0"/>
        </w:tblPrEx>
        <w:tc>
          <w:tcPr>
            <w:tcW w:w="4678" w:type="dxa"/>
            <w:shd w:val="clear" w:color="auto" w:fill="B8CCE4" w:themeFill="accent1" w:themeFillTint="66"/>
            <w:vAlign w:val="center"/>
          </w:tcPr>
          <w:p w:rsidR="00A50F78" w:rsidRPr="002D7427" w:rsidP="00A50F78">
            <w:pPr>
              <w:jc w:val="center"/>
              <w:rPr>
                <w:rFonts w:asciiTheme="minorHAnsi" w:hAnsiTheme="minorHAnsi" w:cstheme="minorHAnsi"/>
                <w:b/>
                <w:i/>
                <w:sz w:val="22"/>
                <w:szCs w:val="22"/>
              </w:rPr>
            </w:pPr>
            <w:r w:rsidRPr="002D7427">
              <w:rPr>
                <w:rFonts w:asciiTheme="minorHAnsi" w:hAnsiTheme="minorHAnsi" w:cstheme="minorHAnsi"/>
                <w:b/>
                <w:i/>
                <w:sz w:val="22"/>
                <w:szCs w:val="22"/>
              </w:rPr>
              <w:t>Lei nº 6.573/2023</w:t>
            </w:r>
          </w:p>
        </w:tc>
        <w:tc>
          <w:tcPr>
            <w:tcW w:w="5211" w:type="dxa"/>
            <w:shd w:val="clear" w:color="auto" w:fill="B8CCE4" w:themeFill="accent1" w:themeFillTint="66"/>
            <w:vAlign w:val="center"/>
          </w:tcPr>
          <w:p w:rsidR="00642D9E" w:rsidRPr="002D7427" w:rsidP="009E1E85">
            <w:pPr>
              <w:jc w:val="center"/>
              <w:rPr>
                <w:rFonts w:asciiTheme="minorHAnsi" w:hAnsiTheme="minorHAnsi" w:cstheme="minorHAnsi"/>
                <w:b/>
                <w:i/>
                <w:sz w:val="22"/>
                <w:szCs w:val="22"/>
              </w:rPr>
            </w:pPr>
            <w:r w:rsidRPr="002D7427">
              <w:rPr>
                <w:rFonts w:asciiTheme="minorHAnsi" w:hAnsiTheme="minorHAnsi" w:cstheme="minorHAnsi"/>
                <w:b/>
                <w:i/>
                <w:sz w:val="22"/>
                <w:szCs w:val="22"/>
              </w:rPr>
              <w:t>Alteração pretendida no PL 68/2024</w:t>
            </w:r>
          </w:p>
        </w:tc>
      </w:tr>
      <w:tr w:rsidTr="0039642F">
        <w:tblPrEx>
          <w:tblW w:w="9889" w:type="dxa"/>
          <w:tblInd w:w="-601" w:type="dxa"/>
          <w:tblLayout w:type="fixed"/>
          <w:tblLook w:val="04A0"/>
        </w:tblPrEx>
        <w:tc>
          <w:tcPr>
            <w:tcW w:w="4678" w:type="dxa"/>
            <w:vAlign w:val="center"/>
          </w:tcPr>
          <w:p w:rsidR="00A46677" w:rsidRPr="002D7427" w:rsidP="004B55A6">
            <w:pPr>
              <w:jc w:val="center"/>
              <w:rPr>
                <w:rFonts w:asciiTheme="minorHAnsi" w:hAnsiTheme="minorHAnsi"/>
                <w:sz w:val="22"/>
                <w:szCs w:val="22"/>
              </w:rPr>
            </w:pPr>
          </w:p>
          <w:p w:rsidR="00A46677" w:rsidP="004B55A6">
            <w:pPr>
              <w:jc w:val="center"/>
              <w:rPr>
                <w:rFonts w:asciiTheme="minorHAnsi" w:hAnsiTheme="minorHAnsi"/>
                <w:sz w:val="22"/>
                <w:szCs w:val="22"/>
              </w:rPr>
            </w:pPr>
          </w:p>
          <w:p w:rsidR="007207D3" w:rsidRPr="002D7427" w:rsidP="004B55A6">
            <w:pPr>
              <w:jc w:val="center"/>
              <w:rPr>
                <w:rFonts w:asciiTheme="minorHAnsi" w:hAnsiTheme="minorHAnsi"/>
                <w:sz w:val="22"/>
                <w:szCs w:val="22"/>
              </w:rPr>
            </w:pPr>
          </w:p>
          <w:p w:rsidR="00A46677" w:rsidRPr="002D7427" w:rsidP="004B55A6">
            <w:pPr>
              <w:jc w:val="center"/>
              <w:rPr>
                <w:rFonts w:asciiTheme="minorHAnsi" w:hAnsiTheme="minorHAnsi"/>
                <w:sz w:val="22"/>
                <w:szCs w:val="22"/>
              </w:rPr>
            </w:pPr>
          </w:p>
          <w:p w:rsidR="00336CB9" w:rsidRPr="002D7427" w:rsidP="004B55A6">
            <w:pPr>
              <w:jc w:val="center"/>
              <w:rPr>
                <w:rFonts w:asciiTheme="minorHAnsi" w:hAnsiTheme="minorHAnsi" w:cstheme="minorHAnsi"/>
                <w:b/>
                <w:i/>
                <w:sz w:val="22"/>
                <w:szCs w:val="22"/>
              </w:rPr>
            </w:pPr>
            <w:r>
              <w:rPr>
                <w:rFonts w:asciiTheme="minorHAnsi" w:hAnsiTheme="minorHAnsi"/>
                <w:sz w:val="22"/>
                <w:szCs w:val="22"/>
              </w:rPr>
              <w:object>
                <v:shape id="_x0000_i1034" type="#_x0000_t75" style="width:222.75pt;height:18pt" o:oleicon="f" o:ole="">
                  <v:imagedata r:id="rId24" o:title=""/>
                </v:shape>
                <o:OLEObject Type="Embed" ProgID="PBrush" ShapeID="_x0000_i1034" DrawAspect="Content" ObjectID="_1780311981" r:id="rId25"/>
              </w:object>
            </w:r>
          </w:p>
        </w:tc>
        <w:tc>
          <w:tcPr>
            <w:tcW w:w="5211" w:type="dxa"/>
            <w:vAlign w:val="center"/>
          </w:tcPr>
          <w:p w:rsidR="00336CB9" w:rsidRPr="002D7427" w:rsidP="004B55A6">
            <w:pPr>
              <w:jc w:val="both"/>
              <w:rPr>
                <w:rFonts w:asciiTheme="minorHAnsi" w:hAnsiTheme="minorHAnsi" w:cstheme="minorHAnsi"/>
                <w:i/>
                <w:sz w:val="22"/>
                <w:szCs w:val="22"/>
              </w:rPr>
            </w:pPr>
            <w:r w:rsidRPr="002D7427">
              <w:rPr>
                <w:rFonts w:asciiTheme="minorHAnsi" w:hAnsiTheme="minorHAnsi" w:cstheme="minorHAnsi"/>
                <w:i/>
                <w:sz w:val="22"/>
                <w:szCs w:val="22"/>
              </w:rPr>
              <w:t xml:space="preserve">Art. 10. É alterado o Quadro </w:t>
            </w:r>
            <w:r w:rsidRPr="002D7427">
              <w:rPr>
                <w:rFonts w:asciiTheme="minorHAnsi" w:hAnsiTheme="minorHAnsi" w:cstheme="minorHAnsi"/>
                <w:i/>
                <w:sz w:val="22"/>
                <w:szCs w:val="22"/>
              </w:rPr>
              <w:t>3</w:t>
            </w:r>
            <w:r w:rsidRPr="002D7427">
              <w:rPr>
                <w:rFonts w:asciiTheme="minorHAnsi" w:hAnsiTheme="minorHAnsi" w:cstheme="minorHAnsi"/>
                <w:i/>
                <w:sz w:val="22"/>
                <w:szCs w:val="22"/>
              </w:rPr>
              <w:t xml:space="preserve"> do Anexo VI – “Descrição das Diretrizes Viárias” e o Mapa de Estruturação Viária da Lei nº 6.573 de 29 de dezembro de 2023,quanto à Diretriz 35, passando constar a seguinte redação: Diretriz 35: </w:t>
            </w:r>
          </w:p>
          <w:p w:rsidR="00336CB9" w:rsidRPr="002D7427" w:rsidP="004B55A6">
            <w:pPr>
              <w:jc w:val="both"/>
              <w:rPr>
                <w:rFonts w:asciiTheme="minorHAnsi" w:hAnsiTheme="minorHAnsi" w:cstheme="minorHAnsi"/>
                <w:b/>
                <w:i/>
                <w:sz w:val="22"/>
                <w:szCs w:val="22"/>
              </w:rPr>
            </w:pPr>
            <w:r w:rsidRPr="002D7427">
              <w:rPr>
                <w:rFonts w:asciiTheme="minorHAnsi" w:hAnsiTheme="minorHAnsi" w:cstheme="minorHAnsi"/>
                <w:b/>
                <w:i/>
                <w:sz w:val="22"/>
                <w:szCs w:val="22"/>
              </w:rPr>
              <w:t>Instalação de rotatória na interseção da Alameda Itatuba com a Rod. SP 332.</w:t>
            </w:r>
          </w:p>
        </w:tc>
      </w:tr>
    </w:tbl>
    <w:p w:rsidR="004B55A6" w:rsidRPr="003B5E71" w:rsidP="00C14149">
      <w:pPr>
        <w:tabs>
          <w:tab w:val="left" w:pos="1701"/>
        </w:tabs>
        <w:spacing w:after="120" w:line="360" w:lineRule="auto"/>
        <w:jc w:val="both"/>
        <w:rPr>
          <w:rFonts w:asciiTheme="minorHAnsi" w:hAnsiTheme="minorHAnsi" w:cstheme="minorHAnsi"/>
          <w:i/>
          <w:sz w:val="4"/>
          <w:szCs w:val="4"/>
        </w:rPr>
      </w:pPr>
    </w:p>
    <w:p w:rsidR="00A50F78" w:rsidP="00C14149">
      <w:pPr>
        <w:tabs>
          <w:tab w:val="left" w:pos="1701"/>
        </w:tabs>
        <w:spacing w:after="120" w:line="360" w:lineRule="auto"/>
        <w:jc w:val="both"/>
        <w:rPr>
          <w:rFonts w:asciiTheme="minorHAnsi" w:hAnsiTheme="minorHAnsi" w:cstheme="minorHAnsi"/>
          <w:szCs w:val="24"/>
        </w:rPr>
      </w:pPr>
      <w:r w:rsidRPr="003B5E71">
        <w:rPr>
          <w:rFonts w:asciiTheme="minorHAnsi" w:hAnsiTheme="minorHAnsi" w:cstheme="minorHAnsi"/>
          <w:i/>
          <w:szCs w:val="24"/>
        </w:rPr>
        <w:tab/>
        <w:t>Ab initio</w:t>
      </w:r>
      <w:r w:rsidRPr="003B5E71">
        <w:rPr>
          <w:rFonts w:asciiTheme="minorHAnsi" w:hAnsiTheme="minorHAnsi" w:cstheme="minorHAnsi"/>
          <w:szCs w:val="24"/>
        </w:rPr>
        <w:t>, cumpre destacar a competência regimental da Comissão de Justiça e Redação, estabelecida no artigo 38</w:t>
      </w:r>
      <w:r>
        <w:rPr>
          <w:rStyle w:val="FootnoteReference"/>
          <w:rFonts w:asciiTheme="minorHAnsi" w:hAnsiTheme="minorHAnsi" w:cstheme="minorHAnsi"/>
          <w:szCs w:val="24"/>
        </w:rPr>
        <w:footnoteReference w:id="2"/>
      </w:r>
      <w:r w:rsidRPr="003B5E71">
        <w:rPr>
          <w:rFonts w:asciiTheme="minorHAnsi" w:hAnsiTheme="minorHAnsi" w:cstheme="minorHAnsi"/>
          <w:szCs w:val="24"/>
        </w:rPr>
        <w:t>.</w:t>
      </w:r>
    </w:p>
    <w:p w:rsidR="00C14149" w:rsidRPr="003B5E71" w:rsidP="00C14149">
      <w:pPr>
        <w:tabs>
          <w:tab w:val="left" w:pos="1701"/>
        </w:tabs>
        <w:spacing w:after="120" w:line="360" w:lineRule="auto"/>
        <w:jc w:val="both"/>
        <w:rPr>
          <w:rFonts w:asciiTheme="minorHAnsi" w:hAnsiTheme="minorHAnsi" w:cstheme="minorHAnsi"/>
          <w:szCs w:val="24"/>
        </w:rPr>
      </w:pPr>
      <w:r w:rsidRPr="003B5E71">
        <w:rPr>
          <w:rFonts w:asciiTheme="minorHAnsi" w:hAnsiTheme="minorHAnsi" w:cstheme="minorHAnsi"/>
          <w:szCs w:val="24"/>
        </w:rPr>
        <w:tab/>
      </w:r>
      <w:r w:rsidRPr="003B5E71">
        <w:rPr>
          <w:rFonts w:asciiTheme="minorHAnsi" w:hAnsiTheme="minorHAnsi" w:cstheme="minorHAnsi"/>
          <w:szCs w:val="24"/>
        </w:rPr>
        <w:t>Outrossim</w:t>
      </w:r>
      <w:r w:rsidRPr="003B5E71">
        <w:rPr>
          <w:rFonts w:asciiTheme="minorHAnsi" w:hAnsiTheme="minorHAnsi" w:cstheme="minorHAnsi"/>
          <w:szCs w:val="24"/>
        </w:rPr>
        <w:t>, ressalta-se que a opinião jurídica exarada neste parecer não tem força vinculante, sendo meramente opinativo</w:t>
      </w:r>
      <w:r>
        <w:rPr>
          <w:rStyle w:val="FootnoteReference"/>
          <w:rFonts w:asciiTheme="minorHAnsi" w:hAnsiTheme="minorHAnsi" w:cstheme="minorHAnsi"/>
          <w:szCs w:val="24"/>
        </w:rPr>
        <w:footnoteReference w:id="3"/>
      </w:r>
      <w:r w:rsidRPr="003B5E71">
        <w:rPr>
          <w:rFonts w:asciiTheme="minorHAnsi" w:hAnsiTheme="minorHAnsi" w:cstheme="minorHAnsi"/>
          <w:szCs w:val="24"/>
        </w:rPr>
        <w:t xml:space="preserve"> não fundamentando decisão proferida pelas Comissões e/ou nobres vereadores.</w:t>
      </w:r>
    </w:p>
    <w:p w:rsidR="00C14149" w:rsidRPr="003B5E71" w:rsidP="00C14149">
      <w:pPr>
        <w:tabs>
          <w:tab w:val="left" w:pos="1701"/>
        </w:tabs>
        <w:spacing w:after="120" w:line="360" w:lineRule="auto"/>
        <w:jc w:val="both"/>
        <w:rPr>
          <w:rFonts w:asciiTheme="minorHAnsi" w:hAnsiTheme="minorHAnsi" w:cstheme="minorHAnsi"/>
          <w:szCs w:val="24"/>
        </w:rPr>
      </w:pPr>
      <w:r w:rsidRPr="003B5E71">
        <w:rPr>
          <w:rFonts w:asciiTheme="minorHAnsi" w:hAnsiTheme="minorHAnsi" w:cstheme="minorHAnsi"/>
          <w:szCs w:val="24"/>
        </w:rPr>
        <w:tab/>
        <w:t xml:space="preserve">Desta feita, considerando os aspectos </w:t>
      </w:r>
      <w:r w:rsidRPr="003B5E71" w:rsidR="00424D62">
        <w:rPr>
          <w:rFonts w:asciiTheme="minorHAnsi" w:hAnsiTheme="minorHAnsi" w:cstheme="minorHAnsi"/>
          <w:szCs w:val="24"/>
        </w:rPr>
        <w:t>jurídicos</w:t>
      </w:r>
      <w:r w:rsidR="00A03230">
        <w:rPr>
          <w:rFonts w:asciiTheme="minorHAnsi" w:hAnsiTheme="minorHAnsi" w:cstheme="minorHAnsi"/>
          <w:szCs w:val="24"/>
        </w:rPr>
        <w:t xml:space="preserve"> passamos a</w:t>
      </w:r>
      <w:r w:rsidRPr="003B5E71">
        <w:rPr>
          <w:rFonts w:asciiTheme="minorHAnsi" w:hAnsiTheme="minorHAnsi" w:cstheme="minorHAnsi"/>
          <w:szCs w:val="24"/>
        </w:rPr>
        <w:t xml:space="preserve"> análise técnica do projeto em epígrafe solicitado.</w:t>
      </w:r>
    </w:p>
    <w:p w:rsidR="00C14149" w:rsidRPr="003B5E71" w:rsidP="00C14149">
      <w:pPr>
        <w:spacing w:after="240" w:line="360" w:lineRule="auto"/>
        <w:ind w:firstLine="1701"/>
        <w:jc w:val="both"/>
        <w:rPr>
          <w:rFonts w:asciiTheme="minorHAnsi" w:hAnsiTheme="minorHAnsi" w:cstheme="minorHAnsi"/>
          <w:szCs w:val="24"/>
        </w:rPr>
      </w:pPr>
      <w:r w:rsidRPr="003B5E71">
        <w:rPr>
          <w:rFonts w:asciiTheme="minorHAnsi" w:hAnsiTheme="minorHAnsi" w:cstheme="minorHAnsi"/>
          <w:szCs w:val="24"/>
        </w:rPr>
        <w:t xml:space="preserve">No que se refere </w:t>
      </w:r>
      <w:r w:rsidRPr="003B5E71" w:rsidR="00424D62">
        <w:rPr>
          <w:rFonts w:asciiTheme="minorHAnsi" w:hAnsiTheme="minorHAnsi" w:cstheme="minorHAnsi"/>
          <w:szCs w:val="24"/>
        </w:rPr>
        <w:t>à competência municipal</w:t>
      </w:r>
      <w:r w:rsidRPr="003B5E71">
        <w:rPr>
          <w:rFonts w:asciiTheme="minorHAnsi" w:hAnsiTheme="minorHAnsi" w:cstheme="minorHAnsi"/>
          <w:szCs w:val="24"/>
        </w:rPr>
        <w:t xml:space="preserve"> verificamos que </w:t>
      </w:r>
      <w:r w:rsidRPr="003B5E71" w:rsidR="00424D62">
        <w:rPr>
          <w:rFonts w:asciiTheme="minorHAnsi" w:hAnsiTheme="minorHAnsi" w:cstheme="minorHAnsi"/>
          <w:szCs w:val="24"/>
        </w:rPr>
        <w:t xml:space="preserve">o projeto </w:t>
      </w:r>
      <w:r w:rsidRPr="003B5E71">
        <w:rPr>
          <w:rFonts w:asciiTheme="minorHAnsi" w:hAnsiTheme="minorHAnsi" w:cstheme="minorHAnsi"/>
          <w:szCs w:val="24"/>
        </w:rPr>
        <w:t xml:space="preserve">se amolda à Constituição Federal, pois aos Municípios foi atribuída </w:t>
      </w:r>
      <w:r w:rsidR="00D06E60">
        <w:rPr>
          <w:rFonts w:asciiTheme="minorHAnsi" w:hAnsiTheme="minorHAnsi" w:cstheme="minorHAnsi"/>
          <w:szCs w:val="24"/>
        </w:rPr>
        <w:t>a</w:t>
      </w:r>
      <w:r w:rsidRPr="003B5E71">
        <w:rPr>
          <w:rFonts w:asciiTheme="minorHAnsi" w:hAnsiTheme="minorHAnsi" w:cstheme="minorHAnsi"/>
          <w:szCs w:val="24"/>
        </w:rPr>
        <w:t xml:space="preserve"> competência para promover o adequado ordenamento territorial, vejamos o inciso VIII, do art. 30:</w:t>
      </w:r>
    </w:p>
    <w:p w:rsidR="00C14149" w:rsidRPr="003B5E71" w:rsidP="00C2495E">
      <w:pPr>
        <w:pStyle w:val="NormalWeb"/>
        <w:shd w:val="clear" w:color="auto" w:fill="FFFFFF"/>
        <w:spacing w:before="0" w:beforeAutospacing="0" w:after="0" w:afterAutospacing="0"/>
        <w:ind w:left="2268"/>
        <w:jc w:val="both"/>
        <w:rPr>
          <w:rFonts w:asciiTheme="minorHAnsi" w:hAnsiTheme="minorHAnsi" w:cstheme="minorHAnsi"/>
          <w:i/>
          <w:color w:val="000000"/>
          <w:sz w:val="22"/>
          <w:szCs w:val="22"/>
        </w:rPr>
      </w:pPr>
      <w:r w:rsidRPr="003B5E71">
        <w:rPr>
          <w:rFonts w:asciiTheme="minorHAnsi" w:hAnsiTheme="minorHAnsi" w:cstheme="minorHAnsi"/>
          <w:i/>
          <w:color w:val="000000"/>
          <w:sz w:val="22"/>
          <w:szCs w:val="22"/>
        </w:rPr>
        <w:t>Art. 30. Compete aos Municípios:</w:t>
      </w:r>
    </w:p>
    <w:p w:rsidR="00C14149" w:rsidRPr="003B5E71" w:rsidP="00A50F78">
      <w:pPr>
        <w:pStyle w:val="NormalWeb"/>
        <w:shd w:val="clear" w:color="auto" w:fill="FFFFFF"/>
        <w:spacing w:before="0" w:beforeAutospacing="0" w:after="120" w:afterAutospacing="0"/>
        <w:ind w:left="2268"/>
        <w:jc w:val="both"/>
        <w:rPr>
          <w:rFonts w:asciiTheme="minorHAnsi" w:hAnsiTheme="minorHAnsi" w:cstheme="minorHAnsi"/>
          <w:i/>
          <w:color w:val="000000"/>
          <w:sz w:val="22"/>
          <w:szCs w:val="22"/>
        </w:rPr>
      </w:pPr>
      <w:r w:rsidRPr="003B5E71">
        <w:rPr>
          <w:rFonts w:asciiTheme="minorHAnsi" w:hAnsiTheme="minorHAnsi" w:cstheme="minorHAnsi"/>
          <w:i/>
          <w:color w:val="000000"/>
          <w:sz w:val="22"/>
          <w:szCs w:val="22"/>
        </w:rPr>
        <w:t>(...)</w:t>
      </w:r>
    </w:p>
    <w:p w:rsidR="00C14149" w:rsidRPr="003B5E71" w:rsidP="00A50F78">
      <w:pPr>
        <w:pStyle w:val="NormalWeb"/>
        <w:shd w:val="clear" w:color="auto" w:fill="FFFFFF"/>
        <w:spacing w:before="0" w:beforeAutospacing="0" w:after="120" w:afterAutospacing="0"/>
        <w:ind w:left="2268"/>
        <w:jc w:val="both"/>
        <w:rPr>
          <w:rFonts w:asciiTheme="minorHAnsi" w:hAnsiTheme="minorHAnsi" w:cstheme="minorHAnsi"/>
          <w:i/>
          <w:color w:val="000000"/>
          <w:sz w:val="22"/>
          <w:szCs w:val="22"/>
        </w:rPr>
      </w:pPr>
      <w:bookmarkStart w:id="0" w:name="art30i"/>
      <w:bookmarkStart w:id="1" w:name="art30iii"/>
      <w:bookmarkStart w:id="2" w:name="art30viii"/>
      <w:bookmarkEnd w:id="0"/>
      <w:bookmarkEnd w:id="1"/>
      <w:bookmarkEnd w:id="2"/>
      <w:r w:rsidRPr="003B5E71">
        <w:rPr>
          <w:rFonts w:asciiTheme="minorHAnsi" w:hAnsiTheme="minorHAnsi" w:cstheme="minorHAnsi"/>
          <w:i/>
          <w:color w:val="000000"/>
          <w:sz w:val="22"/>
          <w:szCs w:val="22"/>
        </w:rPr>
        <w:t xml:space="preserve">VIII - promover, no que </w:t>
      </w:r>
      <w:r w:rsidRPr="003B5E71">
        <w:rPr>
          <w:rFonts w:asciiTheme="minorHAnsi" w:hAnsiTheme="minorHAnsi" w:cstheme="minorHAnsi"/>
          <w:i/>
          <w:color w:val="000000"/>
          <w:sz w:val="22"/>
          <w:szCs w:val="22"/>
        </w:rPr>
        <w:t>couber,</w:t>
      </w:r>
      <w:r w:rsidRPr="003B5E71">
        <w:rPr>
          <w:rFonts w:asciiTheme="minorHAnsi" w:hAnsiTheme="minorHAnsi" w:cstheme="minorHAnsi"/>
          <w:i/>
          <w:color w:val="000000"/>
          <w:sz w:val="22"/>
          <w:szCs w:val="22"/>
        </w:rPr>
        <w:t xml:space="preserve"> adequado ordenamento territorial, mediante planejamento e controle do uso, do parcelamento e da ocupação do solo urbano;”</w:t>
      </w:r>
    </w:p>
    <w:p w:rsidR="00C2495E" w:rsidRPr="003B5E71" w:rsidP="00C2495E">
      <w:pPr>
        <w:pStyle w:val="NormalWeb"/>
        <w:shd w:val="clear" w:color="auto" w:fill="FFFFFF"/>
        <w:spacing w:before="0" w:beforeAutospacing="0" w:after="0" w:afterAutospacing="0"/>
        <w:ind w:left="2268"/>
        <w:jc w:val="both"/>
        <w:rPr>
          <w:rFonts w:asciiTheme="minorHAnsi" w:hAnsiTheme="minorHAnsi" w:cstheme="minorHAnsi"/>
          <w:i/>
          <w:color w:val="000000"/>
          <w:sz w:val="22"/>
          <w:szCs w:val="22"/>
        </w:rPr>
      </w:pPr>
    </w:p>
    <w:p w:rsidR="00C14149" w:rsidRPr="003B5E71" w:rsidP="00C14149">
      <w:pPr>
        <w:pStyle w:val="tj"/>
        <w:spacing w:before="0" w:beforeAutospacing="0" w:after="240" w:afterAutospacing="0" w:line="360" w:lineRule="auto"/>
        <w:ind w:firstLine="1701"/>
        <w:jc w:val="both"/>
        <w:rPr>
          <w:rFonts w:asciiTheme="minorHAnsi" w:hAnsiTheme="minorHAnsi" w:cstheme="minorHAnsi"/>
          <w:color w:val="000000" w:themeColor="text1"/>
        </w:rPr>
      </w:pPr>
      <w:bookmarkStart w:id="3" w:name="art30ix"/>
      <w:bookmarkEnd w:id="3"/>
      <w:r w:rsidRPr="003B5E71">
        <w:rPr>
          <w:rFonts w:asciiTheme="minorHAnsi" w:hAnsiTheme="minorHAnsi" w:cstheme="minorHAnsi"/>
          <w:color w:val="000000" w:themeColor="text1"/>
        </w:rPr>
        <w:t>Nesse passo, a Lei Orgânica do Município de Valinhos (LOM) segue o mandamento constitucional:</w:t>
      </w:r>
    </w:p>
    <w:p w:rsidR="00C14149" w:rsidRPr="003B5E71" w:rsidP="00A50F78">
      <w:pPr>
        <w:pStyle w:val="tj"/>
        <w:spacing w:before="0" w:beforeAutospacing="0" w:after="120" w:afterAutospacing="0"/>
        <w:ind w:left="2126"/>
        <w:jc w:val="both"/>
        <w:rPr>
          <w:rFonts w:asciiTheme="minorHAnsi" w:hAnsiTheme="minorHAnsi" w:cstheme="minorHAnsi"/>
          <w:i/>
          <w:sz w:val="22"/>
          <w:szCs w:val="22"/>
        </w:rPr>
      </w:pPr>
      <w:r w:rsidRPr="003B5E71">
        <w:rPr>
          <w:rFonts w:asciiTheme="minorHAnsi" w:hAnsiTheme="minorHAnsi" w:cstheme="minorHAnsi"/>
          <w:i/>
          <w:sz w:val="22"/>
          <w:szCs w:val="22"/>
        </w:rPr>
        <w:t>“Art.</w:t>
      </w:r>
      <w:r w:rsidRPr="003B5E71">
        <w:rPr>
          <w:rFonts w:asciiTheme="minorHAnsi" w:hAnsiTheme="minorHAnsi" w:cstheme="minorHAnsi"/>
          <w:i/>
          <w:sz w:val="22"/>
          <w:szCs w:val="22"/>
        </w:rPr>
        <w:t xml:space="preserve"> 5º Compete ao Município, no exercício de sua autonomia, legislar sobre tudo quanto respeite ao interesse local, tendo como objetivo o pleno desenvolvimento de suas funções sociais e garantir o bem-estar de seus habitantes, cabendo-lhe privativamente, entre outras, as seguintes atribuições:</w:t>
      </w:r>
    </w:p>
    <w:p w:rsidR="00C14149" w:rsidRPr="003B5E71" w:rsidP="00A50F78">
      <w:pPr>
        <w:pStyle w:val="tj"/>
        <w:spacing w:before="0" w:beforeAutospacing="0" w:after="120" w:afterAutospacing="0"/>
        <w:ind w:left="2126"/>
        <w:jc w:val="both"/>
        <w:rPr>
          <w:rFonts w:asciiTheme="minorHAnsi" w:hAnsiTheme="minorHAnsi" w:cstheme="minorHAnsi"/>
          <w:i/>
          <w:sz w:val="22"/>
          <w:szCs w:val="22"/>
        </w:rPr>
      </w:pPr>
      <w:r w:rsidRPr="003B5E71">
        <w:rPr>
          <w:rFonts w:asciiTheme="minorHAnsi" w:hAnsiTheme="minorHAnsi" w:cstheme="minorHAnsi"/>
          <w:i/>
          <w:sz w:val="22"/>
          <w:szCs w:val="22"/>
        </w:rPr>
        <w:t>(...)</w:t>
      </w:r>
    </w:p>
    <w:p w:rsidR="00C14149" w:rsidRPr="003B5E71" w:rsidP="00A50F78">
      <w:pPr>
        <w:pStyle w:val="tj"/>
        <w:spacing w:before="0" w:beforeAutospacing="0" w:after="120" w:afterAutospacing="0"/>
        <w:ind w:left="2126"/>
        <w:jc w:val="both"/>
        <w:rPr>
          <w:rFonts w:asciiTheme="minorHAnsi" w:hAnsiTheme="minorHAnsi" w:cstheme="minorHAnsi"/>
          <w:i/>
          <w:color w:val="000000" w:themeColor="text1"/>
          <w:sz w:val="22"/>
          <w:szCs w:val="22"/>
        </w:rPr>
      </w:pPr>
      <w:r w:rsidRPr="003B5E71">
        <w:rPr>
          <w:rFonts w:asciiTheme="minorHAnsi" w:hAnsiTheme="minorHAnsi" w:cstheme="minorHAnsi"/>
          <w:i/>
          <w:sz w:val="22"/>
          <w:szCs w:val="22"/>
        </w:rPr>
        <w:t xml:space="preserve">IX - </w:t>
      </w:r>
      <w:r w:rsidRPr="003B5E71">
        <w:rPr>
          <w:rFonts w:asciiTheme="minorHAnsi" w:hAnsiTheme="minorHAnsi" w:cstheme="minorHAnsi"/>
          <w:b/>
          <w:i/>
          <w:sz w:val="22"/>
          <w:szCs w:val="22"/>
        </w:rPr>
        <w:t>promover adequado ordenamento territorial, mediante planejamento e controle quer do uso como do parcelamento e ocupação do solo,</w:t>
      </w:r>
      <w:r w:rsidRPr="003B5E71">
        <w:rPr>
          <w:rFonts w:asciiTheme="minorHAnsi" w:hAnsiTheme="minorHAnsi" w:cstheme="minorHAnsi"/>
          <w:i/>
          <w:sz w:val="22"/>
          <w:szCs w:val="22"/>
        </w:rPr>
        <w:t xml:space="preserve"> </w:t>
      </w:r>
      <w:r w:rsidRPr="003B5E71">
        <w:rPr>
          <w:rFonts w:asciiTheme="minorHAnsi" w:hAnsiTheme="minorHAnsi" w:cstheme="minorHAnsi"/>
          <w:b/>
          <w:i/>
          <w:sz w:val="22"/>
          <w:szCs w:val="22"/>
        </w:rPr>
        <w:t>estabelecendo normas de edificações, de loteamento e arruamento;”</w:t>
      </w:r>
    </w:p>
    <w:p w:rsidR="00A50F78" w:rsidRPr="003B5E71" w:rsidP="00C14149">
      <w:pPr>
        <w:spacing w:after="240" w:line="360" w:lineRule="auto"/>
        <w:ind w:firstLine="1701"/>
        <w:jc w:val="both"/>
        <w:rPr>
          <w:rFonts w:asciiTheme="minorHAnsi" w:hAnsiTheme="minorHAnsi" w:cstheme="minorHAnsi"/>
          <w:sz w:val="4"/>
          <w:szCs w:val="4"/>
        </w:rPr>
      </w:pPr>
    </w:p>
    <w:p w:rsidR="00D03D6E" w:rsidRPr="003B5E71" w:rsidP="00C14149">
      <w:pPr>
        <w:spacing w:after="240" w:line="360" w:lineRule="auto"/>
        <w:ind w:firstLine="1701"/>
        <w:jc w:val="both"/>
        <w:rPr>
          <w:rFonts w:asciiTheme="minorHAnsi" w:hAnsiTheme="minorHAnsi" w:cstheme="minorHAnsi"/>
          <w:color w:val="000000" w:themeColor="text1"/>
          <w:szCs w:val="24"/>
        </w:rPr>
      </w:pPr>
      <w:r w:rsidRPr="003B5E71">
        <w:rPr>
          <w:rFonts w:asciiTheme="minorHAnsi" w:hAnsiTheme="minorHAnsi" w:cstheme="minorHAnsi"/>
          <w:color w:val="000000" w:themeColor="text1"/>
          <w:szCs w:val="24"/>
        </w:rPr>
        <w:t>A esse respeito Hely Lopes Meirelles</w:t>
      </w:r>
      <w:r>
        <w:rPr>
          <w:rStyle w:val="FootnoteReference"/>
          <w:rFonts w:asciiTheme="minorHAnsi" w:hAnsiTheme="minorHAnsi" w:cstheme="minorHAnsi"/>
          <w:color w:val="000000" w:themeColor="text1"/>
          <w:szCs w:val="24"/>
        </w:rPr>
        <w:footnoteReference w:id="4"/>
      </w:r>
      <w:r w:rsidRPr="003B5E71">
        <w:rPr>
          <w:rFonts w:asciiTheme="minorHAnsi" w:hAnsiTheme="minorHAnsi" w:cstheme="minorHAnsi"/>
          <w:color w:val="000000" w:themeColor="text1"/>
          <w:szCs w:val="24"/>
        </w:rPr>
        <w:t xml:space="preserve"> lecionou que</w:t>
      </w:r>
      <w:r w:rsidRPr="003B5E71">
        <w:rPr>
          <w:rFonts w:asciiTheme="minorHAnsi" w:hAnsiTheme="minorHAnsi" w:cstheme="minorHAnsi"/>
          <w:color w:val="000000" w:themeColor="text1"/>
          <w:szCs w:val="24"/>
        </w:rPr>
        <w:t>:</w:t>
      </w:r>
      <w:r w:rsidRPr="003B5E71">
        <w:rPr>
          <w:rFonts w:asciiTheme="minorHAnsi" w:hAnsiTheme="minorHAnsi" w:cstheme="minorHAnsi"/>
          <w:color w:val="000000" w:themeColor="text1"/>
          <w:szCs w:val="24"/>
        </w:rPr>
        <w:t xml:space="preserve"> </w:t>
      </w:r>
    </w:p>
    <w:p w:rsidR="00B11C83" w:rsidRPr="003B5E71" w:rsidP="00D03D6E">
      <w:pPr>
        <w:spacing w:after="0" w:line="240" w:lineRule="auto"/>
        <w:ind w:left="2126"/>
        <w:jc w:val="both"/>
        <w:rPr>
          <w:rFonts w:asciiTheme="minorHAnsi" w:hAnsiTheme="minorHAnsi" w:cstheme="minorHAnsi"/>
          <w:i/>
          <w:color w:val="000000" w:themeColor="text1"/>
          <w:sz w:val="22"/>
          <w:szCs w:val="22"/>
        </w:rPr>
      </w:pPr>
      <w:r w:rsidRPr="003B5E71">
        <w:rPr>
          <w:rFonts w:asciiTheme="minorHAnsi" w:hAnsiTheme="minorHAnsi" w:cstheme="minorHAnsi"/>
          <w:i/>
          <w:color w:val="000000" w:themeColor="text1"/>
          <w:szCs w:val="24"/>
        </w:rPr>
        <w:t>“</w:t>
      </w:r>
      <w:r w:rsidRPr="003B5E71" w:rsidR="00D03D6E">
        <w:rPr>
          <w:rFonts w:asciiTheme="minorHAnsi" w:hAnsiTheme="minorHAnsi" w:cstheme="minorHAnsi"/>
          <w:i/>
          <w:color w:val="000000" w:themeColor="text1"/>
          <w:sz w:val="22"/>
          <w:szCs w:val="22"/>
        </w:rPr>
        <w:t>F</w:t>
      </w:r>
      <w:r w:rsidRPr="003B5E71">
        <w:rPr>
          <w:rFonts w:asciiTheme="minorHAnsi" w:hAnsiTheme="minorHAnsi" w:cstheme="minorHAnsi"/>
          <w:i/>
          <w:color w:val="000000" w:themeColor="text1"/>
          <w:sz w:val="22"/>
          <w:szCs w:val="22"/>
        </w:rPr>
        <w:t>iel à orientação doutrinária e</w:t>
      </w:r>
      <w:r w:rsidRPr="003B5E71">
        <w:rPr>
          <w:rFonts w:asciiTheme="minorHAnsi" w:hAnsiTheme="minorHAnsi" w:cstheme="minorHAnsi"/>
          <w:i/>
          <w:color w:val="000000" w:themeColor="text1"/>
          <w:sz w:val="22"/>
          <w:szCs w:val="22"/>
        </w:rPr>
        <w:t xml:space="preserve"> ao Direito legislado, nossa jurisprudência sempre reconheceu e proclamou a </w:t>
      </w:r>
      <w:r w:rsidRPr="003B5E71">
        <w:rPr>
          <w:rFonts w:asciiTheme="minorHAnsi" w:hAnsiTheme="minorHAnsi" w:cstheme="minorHAnsi"/>
          <w:b/>
          <w:i/>
          <w:color w:val="000000" w:themeColor="text1"/>
          <w:sz w:val="22"/>
          <w:szCs w:val="22"/>
        </w:rPr>
        <w:t xml:space="preserve">legitimidade das imposições urbanísticas pelos Municípios </w:t>
      </w:r>
      <w:r w:rsidRPr="003B5E71">
        <w:rPr>
          <w:rFonts w:asciiTheme="minorHAnsi" w:hAnsiTheme="minorHAnsi" w:cstheme="minorHAnsi"/>
          <w:i/>
          <w:color w:val="000000" w:themeColor="text1"/>
          <w:sz w:val="22"/>
          <w:szCs w:val="22"/>
        </w:rPr>
        <w:t>no ordenamento urbano e no controle da edificação, e o fez na amplitude deste aresto do STF: “A autoridade municipal pode dispor sobre a segurança dos edifícios, sua harmonia arquitetônica, alinhamento, altura, ingressos, saídas, arejamento, enfim, acomodações às exigências que a vida humana, nas grandes cidades, vai tornando cada vez mais difícil.”</w:t>
      </w:r>
    </w:p>
    <w:p w:rsidR="0009771A" w:rsidRPr="003B5E71" w:rsidP="00D03D6E">
      <w:pPr>
        <w:spacing w:after="0" w:line="240" w:lineRule="auto"/>
        <w:ind w:left="2126"/>
        <w:jc w:val="both"/>
        <w:rPr>
          <w:rFonts w:asciiTheme="minorHAnsi" w:hAnsiTheme="minorHAnsi" w:cstheme="minorHAnsi"/>
          <w:i/>
          <w:color w:val="000000" w:themeColor="text1"/>
          <w:szCs w:val="24"/>
        </w:rPr>
      </w:pPr>
    </w:p>
    <w:p w:rsidR="00C14149" w:rsidRPr="003B5E71" w:rsidP="00C14149">
      <w:pPr>
        <w:spacing w:after="240" w:line="360" w:lineRule="auto"/>
        <w:ind w:firstLine="1701"/>
        <w:jc w:val="both"/>
        <w:rPr>
          <w:rFonts w:asciiTheme="minorHAnsi" w:hAnsiTheme="minorHAnsi" w:cstheme="minorHAnsi"/>
          <w:szCs w:val="24"/>
        </w:rPr>
      </w:pPr>
      <w:r w:rsidRPr="003B5E71">
        <w:rPr>
          <w:rFonts w:asciiTheme="minorHAnsi" w:hAnsiTheme="minorHAnsi" w:cstheme="minorHAnsi"/>
          <w:szCs w:val="24"/>
        </w:rPr>
        <w:t>No mesmo sentido, o projeto observa o art. 30, I, da CF, reproduzido no art. 8º, inciso I, da LOM:</w:t>
      </w:r>
    </w:p>
    <w:p w:rsidR="00C14149" w:rsidRPr="003B5E71" w:rsidP="0009771A">
      <w:pPr>
        <w:shd w:val="clear" w:color="auto" w:fill="FFFFFF"/>
        <w:spacing w:after="0" w:line="240" w:lineRule="auto"/>
        <w:ind w:left="2268"/>
        <w:jc w:val="both"/>
        <w:rPr>
          <w:rFonts w:asciiTheme="minorHAnsi" w:hAnsiTheme="minorHAnsi" w:cstheme="minorHAnsi"/>
          <w:i/>
          <w:iCs/>
          <w:color w:val="000000"/>
          <w:sz w:val="22"/>
          <w:szCs w:val="22"/>
        </w:rPr>
      </w:pPr>
      <w:r w:rsidRPr="003B5E71">
        <w:rPr>
          <w:rFonts w:asciiTheme="minorHAnsi" w:hAnsiTheme="minorHAnsi" w:cstheme="minorHAnsi"/>
          <w:i/>
          <w:iCs/>
          <w:color w:val="000000"/>
          <w:sz w:val="22"/>
          <w:szCs w:val="22"/>
        </w:rPr>
        <w:t>“</w:t>
      </w:r>
      <w:r w:rsidRPr="003B5E71">
        <w:rPr>
          <w:rFonts w:asciiTheme="minorHAnsi" w:hAnsiTheme="minorHAnsi" w:cstheme="minorHAnsi"/>
          <w:i/>
          <w:iCs/>
          <w:color w:val="000000"/>
          <w:sz w:val="22"/>
          <w:szCs w:val="22"/>
        </w:rPr>
        <w:t>Art. 30.</w:t>
      </w:r>
      <w:r w:rsidRPr="003B5E71">
        <w:rPr>
          <w:rFonts w:asciiTheme="minorHAnsi" w:hAnsiTheme="minorHAnsi" w:cstheme="minorHAnsi"/>
          <w:i/>
          <w:iCs/>
          <w:color w:val="000000"/>
          <w:sz w:val="22"/>
          <w:szCs w:val="22"/>
        </w:rPr>
        <w:t xml:space="preserve"> Compete aos Municípios:</w:t>
      </w:r>
    </w:p>
    <w:p w:rsidR="00C14149" w:rsidRPr="003B5E71" w:rsidP="0009771A">
      <w:pPr>
        <w:shd w:val="clear" w:color="auto" w:fill="FFFFFF"/>
        <w:spacing w:after="0" w:line="240" w:lineRule="auto"/>
        <w:ind w:left="2268"/>
        <w:jc w:val="both"/>
        <w:rPr>
          <w:rFonts w:asciiTheme="minorHAnsi" w:hAnsiTheme="minorHAnsi" w:cstheme="minorHAnsi"/>
          <w:i/>
          <w:iCs/>
          <w:color w:val="000000"/>
          <w:sz w:val="22"/>
          <w:szCs w:val="22"/>
        </w:rPr>
      </w:pPr>
      <w:r w:rsidRPr="003B5E71">
        <w:rPr>
          <w:rFonts w:asciiTheme="minorHAnsi" w:hAnsiTheme="minorHAnsi" w:cstheme="minorHAnsi"/>
          <w:i/>
          <w:iCs/>
          <w:color w:val="000000"/>
          <w:sz w:val="22"/>
          <w:szCs w:val="22"/>
        </w:rPr>
        <w:t>I - legislar sobre assuntos de interesse local;</w:t>
      </w:r>
      <w:r w:rsidRPr="003B5E71" w:rsidR="00C2495E">
        <w:rPr>
          <w:rFonts w:asciiTheme="minorHAnsi" w:hAnsiTheme="minorHAnsi" w:cstheme="minorHAnsi"/>
          <w:i/>
          <w:iCs/>
          <w:color w:val="000000"/>
          <w:sz w:val="22"/>
          <w:szCs w:val="22"/>
        </w:rPr>
        <w:t>”</w:t>
      </w:r>
    </w:p>
    <w:p w:rsidR="0009771A" w:rsidRPr="003B5E71" w:rsidP="0009771A">
      <w:pPr>
        <w:shd w:val="clear" w:color="auto" w:fill="FFFFFF"/>
        <w:spacing w:after="0" w:line="240" w:lineRule="auto"/>
        <w:ind w:left="2268"/>
        <w:jc w:val="both"/>
        <w:rPr>
          <w:rFonts w:asciiTheme="minorHAnsi" w:hAnsiTheme="minorHAnsi" w:cstheme="minorHAnsi"/>
          <w:i/>
          <w:iCs/>
          <w:color w:val="000000"/>
          <w:sz w:val="22"/>
          <w:szCs w:val="22"/>
        </w:rPr>
      </w:pPr>
    </w:p>
    <w:p w:rsidR="00C2495E" w:rsidRPr="003B5E71" w:rsidP="00C2495E">
      <w:pPr>
        <w:pStyle w:val="Default"/>
        <w:spacing w:before="120" w:after="120"/>
        <w:ind w:left="2268"/>
        <w:jc w:val="both"/>
        <w:rPr>
          <w:rFonts w:asciiTheme="minorHAnsi" w:hAnsiTheme="minorHAnsi" w:cstheme="minorHAnsi"/>
          <w:i/>
          <w:iCs/>
          <w:color w:val="auto"/>
          <w:sz w:val="4"/>
          <w:szCs w:val="4"/>
        </w:rPr>
      </w:pPr>
    </w:p>
    <w:p w:rsidR="00C14149" w:rsidRPr="003B5E71" w:rsidP="00C2495E">
      <w:pPr>
        <w:pStyle w:val="Default"/>
        <w:spacing w:before="120" w:after="120"/>
        <w:ind w:left="2268"/>
        <w:jc w:val="both"/>
        <w:rPr>
          <w:rFonts w:asciiTheme="minorHAnsi" w:hAnsiTheme="minorHAnsi" w:cstheme="minorHAnsi"/>
          <w:i/>
          <w:iCs/>
          <w:color w:val="auto"/>
          <w:sz w:val="22"/>
          <w:szCs w:val="22"/>
        </w:rPr>
      </w:pPr>
      <w:r w:rsidRPr="003B5E71">
        <w:rPr>
          <w:rFonts w:asciiTheme="minorHAnsi" w:hAnsiTheme="minorHAnsi" w:cstheme="minorHAnsi"/>
          <w:i/>
          <w:iCs/>
          <w:color w:val="auto"/>
          <w:sz w:val="22"/>
          <w:szCs w:val="22"/>
        </w:rPr>
        <w:t>“</w:t>
      </w:r>
      <w:r w:rsidRPr="003B5E71">
        <w:rPr>
          <w:rFonts w:asciiTheme="minorHAnsi" w:hAnsiTheme="minorHAnsi" w:cstheme="minorHAnsi"/>
          <w:i/>
          <w:iCs/>
          <w:color w:val="auto"/>
          <w:sz w:val="22"/>
          <w:szCs w:val="22"/>
        </w:rPr>
        <w:t>Artigo</w:t>
      </w:r>
      <w:r w:rsidRPr="003B5E71">
        <w:rPr>
          <w:rFonts w:asciiTheme="minorHAnsi" w:hAnsiTheme="minorHAnsi" w:cstheme="minorHAnsi"/>
          <w:i/>
          <w:iCs/>
          <w:color w:val="auto"/>
          <w:sz w:val="22"/>
          <w:szCs w:val="22"/>
        </w:rPr>
        <w:t xml:space="preserve"> 8º -</w:t>
      </w:r>
      <w:r w:rsidRPr="003B5E71">
        <w:rPr>
          <w:rFonts w:asciiTheme="minorHAnsi" w:hAnsiTheme="minorHAnsi" w:cstheme="minorHAnsi"/>
          <w:b/>
          <w:bCs/>
          <w:i/>
          <w:iCs/>
          <w:color w:val="auto"/>
          <w:sz w:val="22"/>
          <w:szCs w:val="22"/>
        </w:rPr>
        <w:t xml:space="preserve"> </w:t>
      </w:r>
      <w:r w:rsidRPr="003B5E71">
        <w:rPr>
          <w:rFonts w:asciiTheme="minorHAnsi" w:hAnsiTheme="minorHAnsi" w:cstheme="minorHAnsi"/>
          <w:i/>
          <w:iCs/>
          <w:color w:val="auto"/>
          <w:sz w:val="22"/>
          <w:szCs w:val="22"/>
        </w:rPr>
        <w:t>Cabe à Câmara, com a sanção do Prefeito, observadas as determinações e a hierarquia constitucional, suplementar a legislação Federal e Estadual e fiscalizar, mediante controle externo, a administração direta ou indireta, as fundações e as empresas em que o Município detenha a maioria do capital social com direito a voto, especialmente:</w:t>
      </w:r>
    </w:p>
    <w:p w:rsidR="00C14149" w:rsidRPr="003B5E71" w:rsidP="00C2495E">
      <w:pPr>
        <w:spacing w:before="120" w:after="120" w:line="240" w:lineRule="auto"/>
        <w:ind w:left="2268"/>
        <w:jc w:val="both"/>
        <w:rPr>
          <w:rFonts w:asciiTheme="minorHAnsi" w:hAnsiTheme="minorHAnsi" w:cstheme="minorHAnsi"/>
          <w:i/>
          <w:iCs/>
          <w:sz w:val="22"/>
          <w:szCs w:val="22"/>
        </w:rPr>
      </w:pPr>
      <w:r w:rsidRPr="003B5E71">
        <w:rPr>
          <w:rFonts w:asciiTheme="minorHAnsi" w:hAnsiTheme="minorHAnsi" w:cstheme="minorHAnsi"/>
          <w:i/>
          <w:iCs/>
          <w:sz w:val="22"/>
          <w:szCs w:val="22"/>
        </w:rPr>
        <w:t>I - legislar sobre assuntos de interesse local;</w:t>
      </w:r>
      <w:r w:rsidRPr="003B5E71" w:rsidR="00C2495E">
        <w:rPr>
          <w:rFonts w:asciiTheme="minorHAnsi" w:hAnsiTheme="minorHAnsi" w:cstheme="minorHAnsi"/>
          <w:i/>
          <w:iCs/>
          <w:sz w:val="22"/>
          <w:szCs w:val="22"/>
        </w:rPr>
        <w:t>”</w:t>
      </w:r>
    </w:p>
    <w:p w:rsidR="00C14149" w:rsidRPr="003B5E71" w:rsidP="00C14149">
      <w:pPr>
        <w:spacing w:after="240" w:line="360" w:lineRule="auto"/>
        <w:ind w:firstLine="1701"/>
        <w:jc w:val="both"/>
        <w:rPr>
          <w:rFonts w:asciiTheme="minorHAnsi" w:hAnsiTheme="minorHAnsi" w:cstheme="minorHAnsi"/>
          <w:szCs w:val="24"/>
        </w:rPr>
      </w:pPr>
      <w:bookmarkStart w:id="4" w:name="_GoBack"/>
      <w:bookmarkEnd w:id="4"/>
      <w:r w:rsidRPr="003B5E71">
        <w:rPr>
          <w:rFonts w:asciiTheme="minorHAnsi" w:hAnsiTheme="minorHAnsi" w:cstheme="minorHAnsi"/>
          <w:szCs w:val="24"/>
        </w:rPr>
        <w:t>O conceito de interesse local encontramos</w:t>
      </w:r>
      <w:r w:rsidRPr="003B5E71">
        <w:rPr>
          <w:rFonts w:asciiTheme="minorHAnsi" w:hAnsiTheme="minorHAnsi" w:cstheme="minorHAnsi"/>
          <w:szCs w:val="24"/>
        </w:rPr>
        <w:t xml:space="preserve"> na doutrina: </w:t>
      </w:r>
    </w:p>
    <w:p w:rsidR="00C14149" w:rsidRPr="00A90B48" w:rsidP="00E17660">
      <w:pPr>
        <w:tabs>
          <w:tab w:val="left" w:pos="2268"/>
        </w:tabs>
        <w:spacing w:after="240" w:line="240" w:lineRule="auto"/>
        <w:ind w:left="2268"/>
        <w:jc w:val="both"/>
        <w:rPr>
          <w:rFonts w:asciiTheme="minorHAnsi" w:hAnsiTheme="minorHAnsi" w:cstheme="minorHAnsi"/>
          <w:i/>
          <w:sz w:val="20"/>
        </w:rPr>
      </w:pPr>
      <w:r w:rsidRPr="003B5E71">
        <w:rPr>
          <w:rFonts w:asciiTheme="minorHAnsi" w:hAnsiTheme="minorHAnsi" w:cstheme="minorHAnsi"/>
          <w:i/>
          <w:sz w:val="22"/>
          <w:szCs w:val="22"/>
        </w:rPr>
        <w:t xml:space="preserve">“Interesse local não é interesse exclusivo do Município; não é interesse privativo da localidade; não é interesse único dos munícipes. Se se exigisse essa exclusividade, essa </w:t>
      </w:r>
      <w:r w:rsidRPr="003B5E71">
        <w:rPr>
          <w:rFonts w:asciiTheme="minorHAnsi" w:hAnsiTheme="minorHAnsi" w:cstheme="minorHAnsi"/>
          <w:i/>
          <w:sz w:val="22"/>
          <w:szCs w:val="22"/>
        </w:rPr>
        <w:t>privatividade</w:t>
      </w:r>
      <w:r w:rsidRPr="003B5E71">
        <w:rPr>
          <w:rFonts w:asciiTheme="minorHAnsi" w:hAnsiTheme="minorHAnsi" w:cstheme="minorHAnsi"/>
          <w:i/>
          <w:sz w:val="22"/>
          <w:szCs w:val="22"/>
        </w:rPr>
        <w:t xml:space="preserve">, essa unicidade, bem reduzido ficaria o âmbito da Administração local, aniquilando-se a autonomia de que faz praça a Constituição. Mesmo porque não há interesse municipal que não o seja reflexamente da União e do Estado-membro, como, também, não há interesse regional ou nacional que não ressoe nos Municípios, como partes integrantes da Federação Brasileira. O que define e caracteriza o ‘interesse local’, inscrito como dogma constitucional, é a predominância do interesse do Município sobre o do Estado ou da União. (...) Concluindo, podemos dizer que tudo quanto repercutir direta e indiretamente na vida municipal é de interesse peculiar do Município, embora possa interessar também indireta e mediatamente ao Estado-membro e à União. O provimento de tais negócios cabe exclusivamente Município interessado, não sendo lícita a ingerência de poderes estranhos sem ofensa à autonomia local.” </w:t>
      </w:r>
      <w:r w:rsidRPr="00A90B48">
        <w:rPr>
          <w:rFonts w:asciiTheme="minorHAnsi" w:hAnsiTheme="minorHAnsi" w:cstheme="minorHAnsi"/>
          <w:sz w:val="20"/>
        </w:rPr>
        <w:t xml:space="preserve">(MEIRELLES, Hely Lopes, Direito Municipal Brasileiro, 16ª </w:t>
      </w:r>
      <w:r w:rsidRPr="00A90B48">
        <w:rPr>
          <w:rFonts w:asciiTheme="minorHAnsi" w:hAnsiTheme="minorHAnsi" w:cstheme="minorHAnsi"/>
          <w:sz w:val="20"/>
        </w:rPr>
        <w:t>ed</w:t>
      </w:r>
      <w:r w:rsidRPr="00A90B48">
        <w:rPr>
          <w:rFonts w:asciiTheme="minorHAnsi" w:hAnsiTheme="minorHAnsi" w:cstheme="minorHAnsi"/>
          <w:sz w:val="20"/>
        </w:rPr>
        <w:t>, Malheiros Editores, p. 111)</w:t>
      </w:r>
    </w:p>
    <w:p w:rsidR="00E36245" w:rsidRPr="003B5E71" w:rsidP="00E36245">
      <w:pPr>
        <w:spacing w:after="240" w:line="360" w:lineRule="auto"/>
        <w:ind w:firstLine="1701"/>
        <w:jc w:val="both"/>
        <w:rPr>
          <w:rFonts w:asciiTheme="minorHAnsi" w:hAnsiTheme="minorHAnsi" w:cs="Calibri"/>
          <w:szCs w:val="24"/>
        </w:rPr>
      </w:pPr>
      <w:r w:rsidRPr="003B5E71">
        <w:rPr>
          <w:rFonts w:asciiTheme="minorHAnsi" w:hAnsiTheme="minorHAnsi" w:cs="Calibri"/>
          <w:szCs w:val="24"/>
        </w:rPr>
        <w:t>N</w:t>
      </w:r>
      <w:r w:rsidRPr="003B5E71">
        <w:rPr>
          <w:rFonts w:asciiTheme="minorHAnsi" w:hAnsiTheme="minorHAnsi" w:cs="Calibri"/>
          <w:szCs w:val="24"/>
        </w:rPr>
        <w:t>o que tange à competência para deflagrar o processo legislativo, a Constituição do Estado de São Paulo no artigo 24, § 2º, em simetria com o artigo 61, § 1º, da CF, dispõe:</w:t>
      </w:r>
    </w:p>
    <w:p w:rsidR="00E36245" w:rsidRPr="003B5E71" w:rsidP="00E17660">
      <w:pPr>
        <w:spacing w:after="0" w:line="240" w:lineRule="auto"/>
        <w:ind w:left="2268"/>
        <w:jc w:val="both"/>
        <w:rPr>
          <w:rFonts w:asciiTheme="minorHAnsi" w:hAnsiTheme="minorHAnsi" w:cs="Calibri"/>
          <w:i/>
          <w:sz w:val="22"/>
          <w:szCs w:val="22"/>
        </w:rPr>
      </w:pPr>
      <w:r w:rsidRPr="003B5E71">
        <w:rPr>
          <w:rFonts w:asciiTheme="minorHAnsi" w:hAnsiTheme="minorHAnsi" w:cs="Calibri"/>
          <w:i/>
          <w:sz w:val="22"/>
          <w:szCs w:val="22"/>
        </w:rPr>
        <w:t>Artigo 24 - A iniciativa das leis complementares e ordinárias cabe a qualquer membro ou comissão da Assembleia (sic) Legislativa, ao Governador do Estado, ao Tribunal de Justiça, ao Procurador-Geral de Justiça e aos cidadãos, na forma e nos casos previstos nesta Constituição.</w:t>
      </w:r>
    </w:p>
    <w:p w:rsidR="00E36245" w:rsidRPr="003B5E71" w:rsidP="00E17660">
      <w:pPr>
        <w:spacing w:after="0" w:line="240" w:lineRule="auto"/>
        <w:ind w:left="2268"/>
        <w:jc w:val="both"/>
        <w:rPr>
          <w:rFonts w:asciiTheme="minorHAnsi" w:hAnsiTheme="minorHAnsi" w:cs="Calibri"/>
          <w:i/>
          <w:sz w:val="22"/>
          <w:szCs w:val="22"/>
        </w:rPr>
      </w:pPr>
      <w:r w:rsidRPr="003B5E71">
        <w:rPr>
          <w:rFonts w:asciiTheme="minorHAnsi" w:hAnsiTheme="minorHAnsi" w:cs="Calibri"/>
          <w:i/>
          <w:sz w:val="22"/>
          <w:szCs w:val="22"/>
        </w:rPr>
        <w:t>[...]</w:t>
      </w:r>
    </w:p>
    <w:p w:rsidR="00E36245" w:rsidRPr="003B5E71" w:rsidP="00E17660">
      <w:pPr>
        <w:pStyle w:val="paragrafo"/>
        <w:spacing w:before="0" w:beforeAutospacing="0" w:after="0" w:afterAutospacing="0"/>
        <w:ind w:left="2268"/>
        <w:jc w:val="both"/>
        <w:rPr>
          <w:rFonts w:asciiTheme="minorHAnsi" w:hAnsiTheme="minorHAnsi" w:cs="Calibri"/>
          <w:i/>
          <w:sz w:val="22"/>
          <w:szCs w:val="22"/>
        </w:rPr>
      </w:pPr>
      <w:r w:rsidRPr="003B5E71">
        <w:rPr>
          <w:rFonts w:asciiTheme="minorHAnsi" w:hAnsiTheme="minorHAnsi" w:cs="Calibri"/>
          <w:i/>
          <w:sz w:val="22"/>
          <w:szCs w:val="22"/>
        </w:rPr>
        <w:t>§ 2º - Compete, exclusivamente, ao Governador do Estado a iniciativa das leis que disponham sobre:</w:t>
      </w:r>
    </w:p>
    <w:p w:rsidR="00E36245" w:rsidRPr="003B5E71" w:rsidP="00E17660">
      <w:pPr>
        <w:pStyle w:val="item"/>
        <w:spacing w:before="0" w:beforeAutospacing="0" w:after="0" w:afterAutospacing="0"/>
        <w:ind w:left="2268"/>
        <w:jc w:val="both"/>
        <w:rPr>
          <w:rFonts w:asciiTheme="minorHAnsi" w:hAnsiTheme="minorHAnsi" w:cs="Calibri"/>
          <w:i/>
          <w:sz w:val="22"/>
          <w:szCs w:val="22"/>
        </w:rPr>
      </w:pPr>
      <w:bookmarkStart w:id="5" w:name="CESP_ART_024_2_1"/>
      <w:bookmarkEnd w:id="5"/>
      <w:r w:rsidRPr="003B5E71">
        <w:rPr>
          <w:rFonts w:asciiTheme="minorHAnsi" w:hAnsiTheme="minorHAnsi" w:cs="Calibri"/>
          <w:i/>
          <w:sz w:val="22"/>
          <w:szCs w:val="22"/>
        </w:rPr>
        <w:t>1 - criação e extinção de cargos, funções ou empregos públicos na administração direta e autárquica, bem como a fixação da respectiva remuneração;</w:t>
      </w:r>
    </w:p>
    <w:p w:rsidR="00E36245" w:rsidRPr="003B5E71" w:rsidP="00E17660">
      <w:pPr>
        <w:pStyle w:val="item"/>
        <w:spacing w:before="0" w:beforeAutospacing="0" w:after="0" w:afterAutospacing="0"/>
        <w:ind w:left="2268"/>
        <w:jc w:val="both"/>
        <w:rPr>
          <w:rFonts w:asciiTheme="minorHAnsi" w:hAnsiTheme="minorHAnsi" w:cs="Calibri"/>
          <w:i/>
          <w:sz w:val="22"/>
          <w:szCs w:val="22"/>
        </w:rPr>
      </w:pPr>
      <w:bookmarkStart w:id="6" w:name="CESP_ART_024_2_2"/>
      <w:bookmarkEnd w:id="6"/>
      <w:r w:rsidRPr="003B5E71">
        <w:rPr>
          <w:rFonts w:asciiTheme="minorHAnsi" w:hAnsiTheme="minorHAnsi" w:cs="Calibri"/>
          <w:i/>
          <w:sz w:val="22"/>
          <w:szCs w:val="22"/>
        </w:rPr>
        <w:t>2 - criação e extinção das Secretarias de Estado e órgãos da administração pública, observado o disposto no art. 47, XIX; (NR)- Redação dada pela Emenda Constitucional nº 21, de 14/2/2006.</w:t>
      </w:r>
    </w:p>
    <w:p w:rsidR="00E36245" w:rsidRPr="003B5E71" w:rsidP="00E17660">
      <w:pPr>
        <w:pStyle w:val="item"/>
        <w:spacing w:before="0" w:beforeAutospacing="0" w:after="0" w:afterAutospacing="0"/>
        <w:ind w:left="2268"/>
        <w:jc w:val="both"/>
        <w:rPr>
          <w:rFonts w:asciiTheme="minorHAnsi" w:hAnsiTheme="minorHAnsi" w:cs="Calibri"/>
          <w:i/>
          <w:sz w:val="22"/>
          <w:szCs w:val="22"/>
        </w:rPr>
      </w:pPr>
      <w:bookmarkStart w:id="7" w:name="CESP_ART_024_2_3"/>
      <w:bookmarkEnd w:id="7"/>
      <w:r w:rsidRPr="003B5E71">
        <w:rPr>
          <w:rFonts w:asciiTheme="minorHAnsi" w:hAnsiTheme="minorHAnsi" w:cs="Calibri"/>
          <w:i/>
          <w:sz w:val="22"/>
          <w:szCs w:val="22"/>
        </w:rPr>
        <w:t>3 - organização da Procuradoria Geral do Estado e da Defensoria Pública do Estado, observadas as normas gerais da União;</w:t>
      </w:r>
    </w:p>
    <w:p w:rsidR="00E36245" w:rsidRPr="003B5E71" w:rsidP="00E17660">
      <w:pPr>
        <w:pStyle w:val="item"/>
        <w:spacing w:before="0" w:beforeAutospacing="0" w:after="0" w:afterAutospacing="0"/>
        <w:ind w:left="2268"/>
        <w:jc w:val="both"/>
        <w:rPr>
          <w:rFonts w:asciiTheme="minorHAnsi" w:hAnsiTheme="minorHAnsi" w:cs="Calibri"/>
          <w:i/>
          <w:sz w:val="22"/>
          <w:szCs w:val="22"/>
        </w:rPr>
      </w:pPr>
      <w:bookmarkStart w:id="8" w:name="CESP_ART_024_2_4"/>
      <w:bookmarkEnd w:id="8"/>
      <w:r w:rsidRPr="003B5E71">
        <w:rPr>
          <w:rFonts w:asciiTheme="minorHAnsi" w:hAnsiTheme="minorHAnsi" w:cs="Calibri"/>
          <w:i/>
          <w:sz w:val="22"/>
          <w:szCs w:val="22"/>
        </w:rPr>
        <w:t xml:space="preserve">4 - servidores públicos do Estado, seu regime jurídico, provimento de cargos, estabilidade e aposentadoria; </w:t>
      </w:r>
    </w:p>
    <w:p w:rsidR="00E36245" w:rsidRPr="003B5E71" w:rsidP="00E17660">
      <w:pPr>
        <w:pStyle w:val="item"/>
        <w:spacing w:before="0" w:beforeAutospacing="0" w:after="0" w:afterAutospacing="0"/>
        <w:ind w:left="2268"/>
        <w:jc w:val="both"/>
        <w:rPr>
          <w:rFonts w:asciiTheme="minorHAnsi" w:hAnsiTheme="minorHAnsi" w:cs="Calibri"/>
          <w:i/>
          <w:sz w:val="22"/>
          <w:szCs w:val="22"/>
        </w:rPr>
      </w:pPr>
      <w:r w:rsidRPr="003B5E71">
        <w:rPr>
          <w:rFonts w:asciiTheme="minorHAnsi" w:hAnsiTheme="minorHAnsi" w:cs="Calibri"/>
          <w:i/>
          <w:sz w:val="22"/>
          <w:szCs w:val="22"/>
        </w:rPr>
        <w:t xml:space="preserve">5 - militares, seu regime jurídico, provimento de cargos, promoções, estabilidade, remuneração, reforma e transferência para inatividade, bem como fixação ou alteração do efetivo da Polícia Militar; </w:t>
      </w:r>
    </w:p>
    <w:p w:rsidR="00E36245" w:rsidRPr="003B5E71" w:rsidP="00E17660">
      <w:pPr>
        <w:pStyle w:val="item"/>
        <w:spacing w:before="0" w:beforeAutospacing="0" w:after="0" w:afterAutospacing="0"/>
        <w:ind w:left="2268"/>
        <w:jc w:val="both"/>
        <w:rPr>
          <w:rFonts w:asciiTheme="minorHAnsi" w:hAnsiTheme="minorHAnsi" w:cs="Calibri"/>
          <w:i/>
          <w:sz w:val="22"/>
          <w:szCs w:val="22"/>
        </w:rPr>
      </w:pPr>
      <w:r w:rsidRPr="003B5E71">
        <w:rPr>
          <w:rFonts w:asciiTheme="minorHAnsi" w:hAnsiTheme="minorHAnsi" w:cs="Calibri"/>
          <w:i/>
          <w:sz w:val="22"/>
          <w:szCs w:val="22"/>
        </w:rPr>
        <w:t>6 - criação, alteração ou supressão de cartórios notariais e de registros públicos.</w:t>
      </w:r>
    </w:p>
    <w:p w:rsidR="00E36245" w:rsidRPr="003B5E71" w:rsidP="00E36245">
      <w:pPr>
        <w:pStyle w:val="item"/>
        <w:spacing w:before="0" w:beforeAutospacing="0" w:after="120" w:afterAutospacing="0" w:line="300" w:lineRule="auto"/>
        <w:ind w:left="2268"/>
        <w:jc w:val="both"/>
        <w:rPr>
          <w:rFonts w:asciiTheme="minorHAnsi" w:hAnsiTheme="minorHAnsi" w:cs="Calibri"/>
          <w:i/>
          <w:sz w:val="12"/>
          <w:szCs w:val="12"/>
        </w:rPr>
      </w:pPr>
    </w:p>
    <w:p w:rsidR="00E36245" w:rsidRPr="003B5E71" w:rsidP="00E36245">
      <w:pPr>
        <w:spacing w:after="240" w:line="360" w:lineRule="auto"/>
        <w:ind w:firstLine="1701"/>
        <w:jc w:val="both"/>
        <w:rPr>
          <w:rFonts w:asciiTheme="minorHAnsi" w:hAnsiTheme="minorHAnsi" w:cs="Calibri"/>
          <w:szCs w:val="24"/>
        </w:rPr>
      </w:pPr>
      <w:r w:rsidRPr="003B5E71">
        <w:rPr>
          <w:rFonts w:asciiTheme="minorHAnsi" w:hAnsiTheme="minorHAnsi" w:cs="Calibri"/>
          <w:szCs w:val="24"/>
        </w:rPr>
        <w:t>Do mesmo modo, a Lei Orgânica do Município de Valinhos no artigo 48 estabelece as matérias de deflagração exclusiva pelo Prefeito Municipal:</w:t>
      </w:r>
    </w:p>
    <w:p w:rsidR="00E36245" w:rsidRPr="003B5E71" w:rsidP="00E17660">
      <w:pPr>
        <w:spacing w:after="0" w:line="240" w:lineRule="auto"/>
        <w:ind w:left="2268"/>
        <w:jc w:val="both"/>
        <w:rPr>
          <w:rFonts w:asciiTheme="minorHAnsi" w:hAnsiTheme="minorHAnsi" w:cs="Calibri"/>
          <w:i/>
          <w:sz w:val="22"/>
          <w:szCs w:val="22"/>
        </w:rPr>
      </w:pPr>
      <w:r w:rsidRPr="003B5E71">
        <w:rPr>
          <w:rFonts w:asciiTheme="minorHAnsi" w:hAnsiTheme="minorHAnsi" w:cs="Calibri"/>
          <w:i/>
          <w:sz w:val="22"/>
          <w:szCs w:val="22"/>
        </w:rPr>
        <w:t xml:space="preserve">Art. 48. Compete, exclusivamente, ao Prefeito a iniciativa dos projetos de lei que disponham sobre: </w:t>
      </w:r>
    </w:p>
    <w:p w:rsidR="00E36245" w:rsidRPr="003B5E71" w:rsidP="00E17660">
      <w:pPr>
        <w:spacing w:after="0" w:line="240" w:lineRule="auto"/>
        <w:ind w:left="2268"/>
        <w:jc w:val="both"/>
        <w:rPr>
          <w:rFonts w:asciiTheme="minorHAnsi" w:hAnsiTheme="minorHAnsi" w:cs="Calibri"/>
          <w:i/>
          <w:sz w:val="22"/>
          <w:szCs w:val="22"/>
        </w:rPr>
      </w:pPr>
      <w:r w:rsidRPr="003B5E71">
        <w:rPr>
          <w:rFonts w:asciiTheme="minorHAnsi" w:hAnsiTheme="minorHAnsi" w:cs="Calibri"/>
          <w:i/>
          <w:sz w:val="22"/>
          <w:szCs w:val="22"/>
        </w:rPr>
        <w:t>I - criação e extinção de cargos, funções ou empregos públicos na administração direta e autárquica, bem como a fixação da respectiva remuneração;</w:t>
      </w:r>
    </w:p>
    <w:p w:rsidR="00E36245" w:rsidRPr="003B5E71" w:rsidP="00E17660">
      <w:pPr>
        <w:spacing w:after="0" w:line="240" w:lineRule="auto"/>
        <w:ind w:left="2268"/>
        <w:jc w:val="both"/>
        <w:rPr>
          <w:rFonts w:asciiTheme="minorHAnsi" w:hAnsiTheme="minorHAnsi" w:cs="Calibri"/>
          <w:i/>
          <w:sz w:val="22"/>
          <w:szCs w:val="22"/>
        </w:rPr>
      </w:pPr>
      <w:r w:rsidRPr="003B5E71">
        <w:rPr>
          <w:rFonts w:asciiTheme="minorHAnsi" w:hAnsiTheme="minorHAnsi" w:cs="Calibri"/>
          <w:i/>
          <w:sz w:val="22"/>
          <w:szCs w:val="22"/>
        </w:rPr>
        <w:t xml:space="preserve"> II - criação, estruturação e atribuições das Secretarias Municipais e órgãos da administração pública; </w:t>
      </w:r>
    </w:p>
    <w:p w:rsidR="00E36245" w:rsidRPr="003B5E71" w:rsidP="00E17660">
      <w:pPr>
        <w:spacing w:after="0" w:line="240" w:lineRule="auto"/>
        <w:ind w:left="2268"/>
        <w:jc w:val="both"/>
        <w:rPr>
          <w:rFonts w:asciiTheme="minorHAnsi" w:hAnsiTheme="minorHAnsi" w:cs="Calibri"/>
          <w:i/>
          <w:sz w:val="22"/>
          <w:szCs w:val="22"/>
        </w:rPr>
      </w:pPr>
      <w:r w:rsidRPr="003B5E71">
        <w:rPr>
          <w:rFonts w:asciiTheme="minorHAnsi" w:hAnsiTheme="minorHAnsi" w:cs="Calibri"/>
          <w:i/>
          <w:sz w:val="22"/>
          <w:szCs w:val="22"/>
        </w:rPr>
        <w:t xml:space="preserve">III - servidores públicos do Município, seu regime jurídico, provimento de cargos, estabilidade e aposentadoria; </w:t>
      </w:r>
    </w:p>
    <w:p w:rsidR="00E36245" w:rsidRPr="003B5E71" w:rsidP="00E17660">
      <w:pPr>
        <w:spacing w:after="0" w:line="240" w:lineRule="auto"/>
        <w:ind w:left="2268"/>
        <w:jc w:val="both"/>
        <w:rPr>
          <w:rFonts w:asciiTheme="minorHAnsi" w:hAnsiTheme="minorHAnsi" w:cs="Calibri"/>
          <w:i/>
          <w:sz w:val="22"/>
          <w:szCs w:val="22"/>
        </w:rPr>
      </w:pPr>
      <w:r w:rsidRPr="003B5E71">
        <w:rPr>
          <w:rFonts w:asciiTheme="minorHAnsi" w:hAnsiTheme="minorHAnsi" w:cs="Calibri"/>
          <w:i/>
          <w:sz w:val="22"/>
          <w:szCs w:val="22"/>
        </w:rPr>
        <w:t>IV - abertura de créditos adicionais.</w:t>
      </w:r>
    </w:p>
    <w:p w:rsidR="00C2495E" w:rsidRPr="003B5E71" w:rsidP="00C2495E">
      <w:pPr>
        <w:spacing w:after="40" w:line="240" w:lineRule="auto"/>
        <w:ind w:left="2268"/>
        <w:jc w:val="both"/>
        <w:rPr>
          <w:rFonts w:asciiTheme="minorHAnsi" w:hAnsiTheme="minorHAnsi" w:cs="Calibri"/>
          <w:i/>
          <w:color w:val="FF0000"/>
          <w:sz w:val="22"/>
          <w:szCs w:val="22"/>
        </w:rPr>
      </w:pPr>
    </w:p>
    <w:p w:rsidR="00C2495E" w:rsidRPr="003B5E71" w:rsidP="00A90B48">
      <w:pPr>
        <w:spacing w:after="0" w:line="360" w:lineRule="auto"/>
        <w:ind w:firstLine="1701"/>
        <w:jc w:val="both"/>
        <w:rPr>
          <w:rFonts w:asciiTheme="minorHAnsi" w:hAnsiTheme="minorHAnsi" w:cs="Calibri"/>
          <w:szCs w:val="24"/>
        </w:rPr>
      </w:pPr>
      <w:r w:rsidRPr="003B5E71">
        <w:rPr>
          <w:rFonts w:asciiTheme="minorHAnsi" w:hAnsiTheme="minorHAnsi" w:cs="Calibri"/>
          <w:szCs w:val="24"/>
        </w:rPr>
        <w:t>Destarte</w:t>
      </w:r>
      <w:r w:rsidRPr="003B5E71" w:rsidR="00E36245">
        <w:rPr>
          <w:rFonts w:asciiTheme="minorHAnsi" w:hAnsiTheme="minorHAnsi" w:cs="Calibri"/>
          <w:szCs w:val="24"/>
        </w:rPr>
        <w:t xml:space="preserve">, a princípio, </w:t>
      </w:r>
      <w:r w:rsidRPr="003B5E71" w:rsidR="0005486D">
        <w:rPr>
          <w:rFonts w:asciiTheme="minorHAnsi" w:hAnsiTheme="minorHAnsi" w:cs="Calibri"/>
          <w:szCs w:val="24"/>
        </w:rPr>
        <w:t>no concernente à</w:t>
      </w:r>
      <w:r w:rsidRPr="003B5E71" w:rsidR="00E36245">
        <w:rPr>
          <w:rFonts w:asciiTheme="minorHAnsi" w:hAnsiTheme="minorHAnsi" w:cs="Calibri"/>
          <w:szCs w:val="24"/>
        </w:rPr>
        <w:t xml:space="preserve"> competência</w:t>
      </w:r>
      <w:r w:rsidRPr="003B5E71" w:rsidR="0005486D">
        <w:rPr>
          <w:rFonts w:asciiTheme="minorHAnsi" w:hAnsiTheme="minorHAnsi" w:cs="Calibri"/>
          <w:szCs w:val="24"/>
        </w:rPr>
        <w:t xml:space="preserve"> legiferante</w:t>
      </w:r>
      <w:r w:rsidRPr="003B5E71" w:rsidR="002C346F">
        <w:rPr>
          <w:rFonts w:asciiTheme="minorHAnsi" w:hAnsiTheme="minorHAnsi" w:cs="Calibri"/>
          <w:szCs w:val="24"/>
        </w:rPr>
        <w:t xml:space="preserve"> atinente </w:t>
      </w:r>
      <w:r w:rsidRPr="003B5E71" w:rsidR="00535F04">
        <w:rPr>
          <w:rFonts w:asciiTheme="minorHAnsi" w:hAnsiTheme="minorHAnsi" w:cs="Calibri"/>
          <w:szCs w:val="24"/>
        </w:rPr>
        <w:t>aos projetos de natureza</w:t>
      </w:r>
      <w:r w:rsidRPr="003B5E71" w:rsidR="002C346F">
        <w:rPr>
          <w:rFonts w:asciiTheme="minorHAnsi" w:hAnsiTheme="minorHAnsi" w:cs="Calibri"/>
          <w:szCs w:val="24"/>
        </w:rPr>
        <w:t xml:space="preserve"> urbanística </w:t>
      </w:r>
      <w:r w:rsidRPr="003B5E71">
        <w:rPr>
          <w:rFonts w:asciiTheme="minorHAnsi" w:hAnsiTheme="minorHAnsi" w:cs="Calibri"/>
          <w:szCs w:val="24"/>
        </w:rPr>
        <w:t>trata-se de matéria de iniciativ</w:t>
      </w:r>
      <w:r w:rsidRPr="003B5E71" w:rsidR="002C346F">
        <w:rPr>
          <w:rFonts w:asciiTheme="minorHAnsi" w:hAnsiTheme="minorHAnsi" w:cs="Calibri"/>
          <w:szCs w:val="24"/>
        </w:rPr>
        <w:t>a não privativa:</w:t>
      </w:r>
    </w:p>
    <w:p w:rsidR="00535F04" w:rsidRPr="003B5E71" w:rsidP="00A90B48">
      <w:pPr>
        <w:tabs>
          <w:tab w:val="left" w:pos="1701"/>
        </w:tabs>
        <w:autoSpaceDE w:val="0"/>
        <w:autoSpaceDN w:val="0"/>
        <w:adjustRightInd w:val="0"/>
        <w:spacing w:after="0" w:line="240" w:lineRule="auto"/>
        <w:ind w:left="2268"/>
        <w:jc w:val="both"/>
        <w:rPr>
          <w:rFonts w:asciiTheme="minorHAnsi" w:hAnsiTheme="minorHAnsi" w:cs="Calibri"/>
          <w:i/>
          <w:sz w:val="22"/>
          <w:szCs w:val="22"/>
        </w:rPr>
      </w:pPr>
      <w:r w:rsidRPr="003B5E71">
        <w:rPr>
          <w:rFonts w:asciiTheme="minorHAnsi" w:hAnsiTheme="minorHAnsi" w:cs="Calibri"/>
          <w:i/>
          <w:sz w:val="22"/>
          <w:szCs w:val="22"/>
        </w:rPr>
        <w:t>Ação direta de inconstitucionalidade. Prefeito do Município de Joanópolis que pretende a declaração de inconstitucionalidade do art. 40, e seus parágrafos, da Lei Complementar nº 34, de 14 de fevereiro de 2022, que "</w:t>
      </w:r>
      <w:r w:rsidRPr="003B5E71">
        <w:rPr>
          <w:rFonts w:asciiTheme="minorHAnsi" w:hAnsiTheme="minorHAnsi" w:cs="Calibri"/>
          <w:i/>
          <w:sz w:val="22"/>
          <w:szCs w:val="22"/>
          <w:u w:val="single"/>
        </w:rPr>
        <w:t>dispõe acerca das metragens dos recuos obrigatórios mínimos entre edifícios urbanos</w:t>
      </w:r>
      <w:r w:rsidRPr="003B5E71">
        <w:rPr>
          <w:rFonts w:asciiTheme="minorHAnsi" w:hAnsiTheme="minorHAnsi" w:cs="Calibri"/>
          <w:i/>
          <w:sz w:val="22"/>
          <w:szCs w:val="22"/>
        </w:rPr>
        <w:t>". Aditamento do pedido da ação direta feito pela Procuradoria Geral de Justiça, para incluir a totalidade da mencionada Lei, o qual foi deferido pelo Desembargador Relator</w:t>
      </w:r>
      <w:r w:rsidRPr="003B5E71">
        <w:rPr>
          <w:rFonts w:asciiTheme="minorHAnsi" w:hAnsiTheme="minorHAnsi" w:cs="Calibri"/>
          <w:b/>
          <w:i/>
          <w:sz w:val="22"/>
          <w:szCs w:val="22"/>
        </w:rPr>
        <w:t xml:space="preserve">. Norma urbanística está situada no âmbito da competência legislativa concorrente. </w:t>
      </w:r>
      <w:r w:rsidRPr="003B5E71">
        <w:rPr>
          <w:rFonts w:asciiTheme="minorHAnsi" w:hAnsiTheme="minorHAnsi" w:cs="Calibri"/>
          <w:i/>
          <w:sz w:val="22"/>
          <w:szCs w:val="22"/>
        </w:rPr>
        <w:t xml:space="preserve">Competência do Município para legislar sobre matéria urbanística. Ausência de vício formal. Efetiva participação popular no processo legislativo em questão. Ação julgada improcedente. </w:t>
      </w:r>
    </w:p>
    <w:p w:rsidR="00535F04" w:rsidRPr="003B5E71" w:rsidP="00535F04">
      <w:pPr>
        <w:pBdr>
          <w:bottom w:val="single" w:sz="12" w:space="1" w:color="auto"/>
        </w:pBdr>
        <w:tabs>
          <w:tab w:val="left" w:pos="1701"/>
        </w:tabs>
        <w:autoSpaceDE w:val="0"/>
        <w:autoSpaceDN w:val="0"/>
        <w:adjustRightInd w:val="0"/>
        <w:spacing w:after="0" w:line="240" w:lineRule="auto"/>
        <w:ind w:left="2268"/>
        <w:jc w:val="both"/>
        <w:rPr>
          <w:rFonts w:asciiTheme="minorHAnsi" w:hAnsiTheme="minorHAnsi" w:cs="Calibri"/>
          <w:i/>
          <w:sz w:val="20"/>
        </w:rPr>
      </w:pPr>
      <w:r w:rsidRPr="003B5E71">
        <w:rPr>
          <w:rFonts w:asciiTheme="minorHAnsi" w:hAnsiTheme="minorHAnsi" w:cs="Calibri"/>
          <w:i/>
          <w:sz w:val="20"/>
        </w:rPr>
        <w:t>(TJSP; Direta de Inconstitucionalidade 2074577-46.2022.8.26.0000; Relator (a): Fábio Gouvêa; Órgão Julgador: Órgão Especial; Tribunal de Justiça de São Paulo - N/A; Data do Julgamento: 28/06/2023; Data de Registro: 29/06/2023</w:t>
      </w:r>
      <w:r w:rsidRPr="003B5E71">
        <w:rPr>
          <w:rFonts w:asciiTheme="minorHAnsi" w:hAnsiTheme="minorHAnsi" w:cs="Calibri"/>
          <w:i/>
          <w:sz w:val="20"/>
        </w:rPr>
        <w:t>)</w:t>
      </w:r>
    </w:p>
    <w:p w:rsidR="00535F04" w:rsidRPr="003B5E71" w:rsidP="00535F04">
      <w:pPr>
        <w:tabs>
          <w:tab w:val="left" w:pos="1701"/>
        </w:tabs>
        <w:autoSpaceDE w:val="0"/>
        <w:autoSpaceDN w:val="0"/>
        <w:adjustRightInd w:val="0"/>
        <w:spacing w:after="0" w:line="240" w:lineRule="auto"/>
        <w:ind w:left="2268"/>
        <w:jc w:val="both"/>
        <w:rPr>
          <w:rFonts w:asciiTheme="minorHAnsi" w:hAnsiTheme="minorHAnsi" w:cs="Calibri"/>
          <w:i/>
          <w:sz w:val="20"/>
        </w:rPr>
      </w:pPr>
    </w:p>
    <w:p w:rsidR="00A90B48" w:rsidRPr="00A90B48" w:rsidP="00535F04">
      <w:pPr>
        <w:pBdr>
          <w:bottom w:val="single" w:sz="12" w:space="1" w:color="auto"/>
        </w:pBdr>
        <w:tabs>
          <w:tab w:val="left" w:pos="1701"/>
        </w:tabs>
        <w:autoSpaceDE w:val="0"/>
        <w:autoSpaceDN w:val="0"/>
        <w:adjustRightInd w:val="0"/>
        <w:spacing w:after="0" w:line="240" w:lineRule="auto"/>
        <w:ind w:left="2268"/>
        <w:jc w:val="both"/>
        <w:rPr>
          <w:rFonts w:asciiTheme="minorHAnsi" w:hAnsiTheme="minorHAnsi"/>
          <w:i/>
          <w:color w:val="000000"/>
          <w:sz w:val="22"/>
          <w:szCs w:val="22"/>
          <w:shd w:val="clear" w:color="auto" w:fill="FFFFFF"/>
        </w:rPr>
      </w:pPr>
      <w:r w:rsidRPr="00A90B48">
        <w:rPr>
          <w:rFonts w:asciiTheme="minorHAnsi" w:hAnsiTheme="minorHAnsi"/>
          <w:b/>
          <w:i/>
          <w:color w:val="000000"/>
          <w:sz w:val="22"/>
          <w:szCs w:val="22"/>
          <w:shd w:val="clear" w:color="auto" w:fill="FFFFFF"/>
        </w:rPr>
        <w:t xml:space="preserve">AÇÃO DIRETA DE INCONSTITUCIONALIDADE Lei Municipal nº 1.697/2021, de iniciativa parlamentar, dispondo sobre a regularização de construções no perímetro urbano da Municipalidade. </w:t>
      </w:r>
      <w:r w:rsidRPr="00A90B48">
        <w:rPr>
          <w:rFonts w:asciiTheme="minorHAnsi" w:hAnsiTheme="minorHAnsi"/>
          <w:b/>
          <w:i/>
          <w:color w:val="000000"/>
          <w:sz w:val="22"/>
          <w:szCs w:val="22"/>
          <w:u w:val="single"/>
          <w:shd w:val="clear" w:color="auto" w:fill="FFFFFF"/>
        </w:rPr>
        <w:t>Vício de iniciativa. Inocorrência</w:t>
      </w:r>
      <w:r w:rsidRPr="00A90B48">
        <w:rPr>
          <w:rFonts w:asciiTheme="minorHAnsi" w:hAnsiTheme="minorHAnsi"/>
          <w:i/>
          <w:color w:val="000000"/>
          <w:sz w:val="22"/>
          <w:szCs w:val="22"/>
          <w:shd w:val="clear" w:color="auto" w:fill="FFFFFF"/>
        </w:rPr>
        <w:t xml:space="preserve">. Recente orientação </w:t>
      </w:r>
      <w:r w:rsidRPr="00A90B48">
        <w:rPr>
          <w:rFonts w:asciiTheme="minorHAnsi" w:hAnsiTheme="minorHAnsi"/>
          <w:i/>
          <w:color w:val="000000"/>
          <w:sz w:val="22"/>
          <w:szCs w:val="22"/>
          <w:shd w:val="clear" w:color="auto" w:fill="FFFFFF"/>
        </w:rPr>
        <w:t xml:space="preserve">do </w:t>
      </w:r>
      <w:r w:rsidRPr="00A90B48">
        <w:rPr>
          <w:rFonts w:asciiTheme="minorHAnsi" w:hAnsiTheme="minorHAnsi"/>
          <w:i/>
          <w:color w:val="000000"/>
          <w:sz w:val="22"/>
          <w:szCs w:val="22"/>
          <w:shd w:val="clear" w:color="auto" w:fill="FFFFFF"/>
        </w:rPr>
        <w:t>Eg</w:t>
      </w:r>
      <w:r w:rsidRPr="00A90B48">
        <w:rPr>
          <w:rFonts w:asciiTheme="minorHAnsi" w:hAnsiTheme="minorHAnsi"/>
          <w:i/>
          <w:color w:val="000000"/>
          <w:sz w:val="22"/>
          <w:szCs w:val="22"/>
          <w:shd w:val="clear" w:color="auto" w:fill="FFFFFF"/>
        </w:rPr>
        <w:t xml:space="preserve">. Supremo Tribunal Federal. Separação dos poderes. Inconstitucionalidade. A norma local impõe obrigações concretas à Administração Municipal. Cabe ao Executivo a gestão administrativa. Desrespeito ao princípio constitucional da 'reserva de administração' e separação dos poderes. Afronta a preceitos constitucionais (arts. 5º; 47, inciso XIV e 144 da Constituição Estadual). Falta de participação popular e estudo prévio. Imprescindível </w:t>
      </w:r>
      <w:r w:rsidRPr="00A90B48">
        <w:rPr>
          <w:rFonts w:asciiTheme="minorHAnsi" w:hAnsiTheme="minorHAnsi"/>
          <w:i/>
          <w:color w:val="000000"/>
          <w:sz w:val="22"/>
          <w:szCs w:val="22"/>
          <w:shd w:val="clear" w:color="auto" w:fill="FFFFFF"/>
        </w:rPr>
        <w:t>a</w:t>
      </w:r>
      <w:r w:rsidRPr="00A90B48">
        <w:rPr>
          <w:rFonts w:asciiTheme="minorHAnsi" w:hAnsiTheme="minorHAnsi"/>
          <w:i/>
          <w:color w:val="000000"/>
          <w:sz w:val="22"/>
          <w:szCs w:val="22"/>
          <w:shd w:val="clear" w:color="auto" w:fill="FFFFFF"/>
        </w:rPr>
        <w:t xml:space="preserve"> efetiva participação da comunidade, por suas entidades representativas. A Constituição Estadual prevê a necessidade de participação comunitária em matéria urbanística. </w:t>
      </w:r>
      <w:r w:rsidRPr="00A90B48">
        <w:rPr>
          <w:rFonts w:asciiTheme="minorHAnsi" w:hAnsiTheme="minorHAnsi"/>
          <w:i/>
          <w:color w:val="000000"/>
          <w:sz w:val="22"/>
          <w:szCs w:val="22"/>
          <w:shd w:val="clear" w:color="auto" w:fill="FFFFFF"/>
        </w:rPr>
        <w:t>Necessidade de estudo prévio</w:t>
      </w:r>
      <w:r w:rsidRPr="00A90B48">
        <w:rPr>
          <w:rFonts w:asciiTheme="minorHAnsi" w:hAnsiTheme="minorHAnsi"/>
          <w:i/>
          <w:color w:val="000000"/>
          <w:sz w:val="22"/>
          <w:szCs w:val="22"/>
          <w:shd w:val="clear" w:color="auto" w:fill="FFFFFF"/>
        </w:rPr>
        <w:t>. Precedentes deste C. Órgão Especial. Inconstitucional o ato normativo impugnado. Violação aos princípios da isonomia e da impessoalidade. Ocorrência. Inexistem motivos razoáveis a fundamentar a instituição do benefício – regularização automática de construções (art. 2º) – exclusivamente em favor de interessados que a erigiram até o ano de 2016 e cujos projetos ainda não foram aprovados (art. 1º). A discriminação legal carece de fundamento lógico. Caracterizada afronta aos arts. 111 e 144 da Constituição Estadual. Ausência de estimativa de impacto orçamentário e financeiro. Norma não cuida – diretamente – de desoneração fiscal. Não infringência ao art. 113, do ADCT. Constitucionalidade. Procedente a ação.</w:t>
      </w:r>
    </w:p>
    <w:p w:rsidR="002C346F" w:rsidRPr="00A90B48" w:rsidP="00535F04">
      <w:pPr>
        <w:pBdr>
          <w:bottom w:val="single" w:sz="12" w:space="1" w:color="auto"/>
        </w:pBdr>
        <w:tabs>
          <w:tab w:val="left" w:pos="1701"/>
        </w:tabs>
        <w:autoSpaceDE w:val="0"/>
        <w:autoSpaceDN w:val="0"/>
        <w:adjustRightInd w:val="0"/>
        <w:spacing w:after="0" w:line="240" w:lineRule="auto"/>
        <w:ind w:left="2268"/>
        <w:jc w:val="both"/>
        <w:rPr>
          <w:rFonts w:asciiTheme="minorHAnsi" w:hAnsiTheme="minorHAnsi" w:cs="Calibri"/>
          <w:i/>
          <w:sz w:val="20"/>
        </w:rPr>
      </w:pPr>
      <w:r w:rsidRPr="00A90B48">
        <w:rPr>
          <w:rFonts w:asciiTheme="minorHAnsi" w:hAnsiTheme="minorHAnsi"/>
          <w:i/>
          <w:color w:val="000000"/>
          <w:sz w:val="20"/>
          <w:shd w:val="clear" w:color="auto" w:fill="FFFFFF"/>
        </w:rPr>
        <w:t>(TJSP;</w:t>
      </w:r>
      <w:r w:rsidRPr="00A90B48">
        <w:rPr>
          <w:rFonts w:asciiTheme="minorHAnsi" w:hAnsiTheme="minorHAnsi"/>
          <w:i/>
          <w:color w:val="000000"/>
          <w:sz w:val="20"/>
          <w:shd w:val="clear" w:color="auto" w:fill="FFFFFF"/>
        </w:rPr>
        <w:t xml:space="preserve">  </w:t>
      </w:r>
      <w:r w:rsidRPr="00A90B48">
        <w:rPr>
          <w:rFonts w:asciiTheme="minorHAnsi" w:hAnsiTheme="minorHAnsi"/>
          <w:i/>
          <w:color w:val="000000"/>
          <w:sz w:val="20"/>
          <w:shd w:val="clear" w:color="auto" w:fill="FFFFFF"/>
        </w:rPr>
        <w:t>Direta de Inconstitucionalidade 2286618-95.2021.8.26.0000; Relator (a): Evaristo dos Santos; Órgão Julgador: Órgão Especial; Tribunal de Justiça de São Paulo - N/A; Data do Julgamento: 27/04/2022; Data de Registro: 02/05/2022)</w:t>
      </w:r>
    </w:p>
    <w:p w:rsidR="00535F04" w:rsidRPr="003B5E71" w:rsidP="008D4956">
      <w:pPr>
        <w:spacing w:after="0" w:line="360" w:lineRule="auto"/>
        <w:ind w:firstLine="1701"/>
        <w:jc w:val="both"/>
        <w:rPr>
          <w:rFonts w:asciiTheme="minorHAnsi" w:hAnsiTheme="minorHAnsi" w:cs="Calibri"/>
          <w:color w:val="FF0000"/>
          <w:szCs w:val="24"/>
        </w:rPr>
      </w:pPr>
    </w:p>
    <w:p w:rsidR="00535F04" w:rsidRPr="003B5E71" w:rsidP="00535F04">
      <w:pPr>
        <w:spacing w:after="240" w:line="360" w:lineRule="auto"/>
        <w:ind w:firstLine="1701"/>
        <w:jc w:val="both"/>
        <w:rPr>
          <w:rFonts w:asciiTheme="minorHAnsi" w:hAnsiTheme="minorHAnsi" w:cs="Calibri"/>
          <w:u w:val="single"/>
        </w:rPr>
      </w:pPr>
      <w:r w:rsidRPr="003B5E71">
        <w:rPr>
          <w:rFonts w:asciiTheme="minorHAnsi" w:hAnsiTheme="minorHAnsi" w:cs="Calibri"/>
        </w:rPr>
        <w:t>Aliás, acerca dos limites da competência legislativa municipal dos membros do Poder Legislativo destacamos</w:t>
      </w:r>
      <w:r w:rsidRPr="003B5E71">
        <w:rPr>
          <w:rFonts w:asciiTheme="minorHAnsi" w:hAnsiTheme="minorHAnsi" w:cs="Calibri"/>
          <w:b/>
        </w:rPr>
        <w:t xml:space="preserve"> </w:t>
      </w:r>
      <w:r w:rsidRPr="003B5E71">
        <w:rPr>
          <w:rFonts w:asciiTheme="minorHAnsi" w:hAnsiTheme="minorHAnsi" w:cs="Calibri"/>
          <w:u w:val="single"/>
        </w:rPr>
        <w:t xml:space="preserve">decisão do Colendo Supremo Tribunal Federal que forneceu paradigma na arbitragem dos limites da competência legislativa entre o Chefe do Poder Executivo Municipal e os Membros do Poder Legislativo desta esfera federativa. </w:t>
      </w:r>
    </w:p>
    <w:p w:rsidR="00535F04" w:rsidRPr="003B5E71" w:rsidP="00535F04">
      <w:pPr>
        <w:pStyle w:val="Default"/>
        <w:tabs>
          <w:tab w:val="left" w:pos="1701"/>
        </w:tabs>
        <w:spacing w:after="120" w:line="360" w:lineRule="auto"/>
        <w:jc w:val="both"/>
        <w:rPr>
          <w:rFonts w:asciiTheme="minorHAnsi" w:hAnsiTheme="minorHAnsi" w:cs="Calibri"/>
          <w:b/>
          <w:color w:val="auto"/>
        </w:rPr>
      </w:pPr>
      <w:r w:rsidRPr="003B5E71">
        <w:rPr>
          <w:rFonts w:asciiTheme="minorHAnsi" w:hAnsiTheme="minorHAnsi" w:cs="Calibri"/>
          <w:color w:val="auto"/>
        </w:rPr>
        <w:t xml:space="preserve"> </w:t>
      </w:r>
      <w:r w:rsidRPr="003B5E71">
        <w:rPr>
          <w:rFonts w:asciiTheme="minorHAnsi" w:hAnsiTheme="minorHAnsi" w:cs="Calibri"/>
          <w:color w:val="auto"/>
        </w:rPr>
        <w:tab/>
        <w:t xml:space="preserve">Trata-se do </w:t>
      </w:r>
      <w:r w:rsidRPr="003B5E71">
        <w:rPr>
          <w:rFonts w:asciiTheme="minorHAnsi" w:hAnsiTheme="minorHAnsi" w:cs="Calibri"/>
          <w:b/>
          <w:color w:val="auto"/>
        </w:rPr>
        <w:t>Tema nº 917 Repercussão geral (Paradigma ARE 878911)</w:t>
      </w:r>
      <w:r w:rsidRPr="003B5E71">
        <w:rPr>
          <w:rFonts w:asciiTheme="minorHAnsi" w:hAnsiTheme="minorHAnsi" w:cs="Calibri"/>
          <w:color w:val="auto"/>
        </w:rPr>
        <w:t xml:space="preserve"> que recebeu a seguinte redação:</w:t>
      </w:r>
    </w:p>
    <w:p w:rsidR="00535F04" w:rsidRPr="003B5E71" w:rsidP="00A90B48">
      <w:pPr>
        <w:pStyle w:val="Default"/>
        <w:ind w:left="2268"/>
        <w:jc w:val="both"/>
        <w:rPr>
          <w:rFonts w:asciiTheme="minorHAnsi" w:hAnsiTheme="minorHAnsi" w:cstheme="minorHAnsi"/>
          <w:b/>
          <w:i/>
          <w:color w:val="auto"/>
          <w:sz w:val="22"/>
          <w:szCs w:val="22"/>
        </w:rPr>
      </w:pPr>
      <w:r w:rsidRPr="003B5E71">
        <w:rPr>
          <w:rFonts w:asciiTheme="minorHAnsi" w:hAnsiTheme="minorHAnsi" w:cstheme="minorHAnsi"/>
          <w:b/>
          <w:i/>
          <w:color w:val="auto"/>
          <w:sz w:val="22"/>
          <w:szCs w:val="22"/>
        </w:rPr>
        <w:t xml:space="preserve">“Não usurpa competência privativa do Chefe do Poder </w:t>
      </w:r>
      <w:r w:rsidRPr="003B5E71">
        <w:rPr>
          <w:rFonts w:asciiTheme="minorHAnsi" w:hAnsiTheme="minorHAnsi" w:cstheme="minorHAnsi"/>
          <w:b/>
          <w:i/>
          <w:color w:val="auto"/>
          <w:sz w:val="22"/>
          <w:szCs w:val="22"/>
        </w:rPr>
        <w:t>Executivo lei</w:t>
      </w:r>
      <w:r w:rsidRPr="003B5E71">
        <w:rPr>
          <w:rFonts w:asciiTheme="minorHAnsi" w:hAnsiTheme="minorHAnsi" w:cstheme="minorHAnsi"/>
          <w:b/>
          <w:i/>
          <w:color w:val="auto"/>
          <w:sz w:val="22"/>
          <w:szCs w:val="22"/>
        </w:rPr>
        <w:t xml:space="preserve"> que, embora crie despesa para a Administração, não trata da sua estrutura ou da atribuição de seus órgãos nem do regime jurídico de servidores públicos (art. 61, § 1º, </w:t>
      </w:r>
      <w:r w:rsidRPr="003B5E71">
        <w:rPr>
          <w:rFonts w:asciiTheme="minorHAnsi" w:hAnsiTheme="minorHAnsi" w:cstheme="minorHAnsi"/>
          <w:b/>
          <w:i/>
          <w:color w:val="auto"/>
          <w:sz w:val="22"/>
          <w:szCs w:val="22"/>
        </w:rPr>
        <w:t>II,"a</w:t>
      </w:r>
      <w:r w:rsidRPr="003B5E71">
        <w:rPr>
          <w:rFonts w:asciiTheme="minorHAnsi" w:hAnsiTheme="minorHAnsi" w:cstheme="minorHAnsi"/>
          <w:b/>
          <w:i/>
          <w:color w:val="auto"/>
          <w:sz w:val="22"/>
          <w:szCs w:val="22"/>
        </w:rPr>
        <w:t>", "c" e "e", da Constituição Federal)”.</w:t>
      </w:r>
    </w:p>
    <w:p w:rsidR="00535F04" w:rsidRPr="003B5E71" w:rsidP="00A90B48">
      <w:pPr>
        <w:pStyle w:val="Default"/>
        <w:ind w:left="2268"/>
        <w:jc w:val="both"/>
        <w:rPr>
          <w:rFonts w:asciiTheme="minorHAnsi" w:hAnsiTheme="minorHAnsi" w:cstheme="minorHAnsi"/>
          <w:i/>
          <w:color w:val="auto"/>
          <w:sz w:val="22"/>
          <w:szCs w:val="22"/>
        </w:rPr>
      </w:pPr>
      <w:r w:rsidRPr="003B5E71">
        <w:rPr>
          <w:rFonts w:asciiTheme="minorHAnsi" w:hAnsiTheme="minorHAnsi" w:cstheme="minorHAnsi"/>
          <w:i/>
          <w:color w:val="auto"/>
          <w:sz w:val="22"/>
          <w:szCs w:val="22"/>
        </w:rPr>
        <w:t xml:space="preserve">Recurso extraordinário com agravo. Repercussão geral. 2. Ação Direta de Inconstitucionalidade estadual. Lei 5.616/2013, do Município do Rio de Janeiro. Instalação de câmeras de </w:t>
      </w:r>
      <w:r w:rsidRPr="003B5E71">
        <w:rPr>
          <w:rFonts w:asciiTheme="minorHAnsi" w:hAnsiTheme="minorHAnsi" w:cstheme="minorHAnsi"/>
          <w:i/>
          <w:color w:val="auto"/>
          <w:sz w:val="22"/>
          <w:szCs w:val="22"/>
        </w:rPr>
        <w:t xml:space="preserve">monitoramento em escolas e cercanias. 3. Inconstitucionalidade formal. Vício de iniciativa. Competência privativa do Poder Executivo municipal. Não ocorrência. </w:t>
      </w:r>
      <w:r w:rsidRPr="003B5E71">
        <w:rPr>
          <w:rFonts w:asciiTheme="minorHAnsi" w:hAnsiTheme="minorHAnsi" w:cstheme="minorHAnsi"/>
          <w:b/>
          <w:i/>
          <w:color w:val="auto"/>
          <w:sz w:val="22"/>
          <w:szCs w:val="22"/>
        </w:rPr>
        <w:t xml:space="preserve">Não usurpa a competência privativa do chefe do Poder </w:t>
      </w:r>
      <w:r w:rsidRPr="003B5E71">
        <w:rPr>
          <w:rFonts w:asciiTheme="minorHAnsi" w:hAnsiTheme="minorHAnsi" w:cstheme="minorHAnsi"/>
          <w:b/>
          <w:i/>
          <w:color w:val="auto"/>
          <w:sz w:val="22"/>
          <w:szCs w:val="22"/>
        </w:rPr>
        <w:t>Executivo lei</w:t>
      </w:r>
      <w:r w:rsidRPr="003B5E71">
        <w:rPr>
          <w:rFonts w:asciiTheme="minorHAnsi" w:hAnsiTheme="minorHAnsi" w:cstheme="minorHAnsi"/>
          <w:b/>
          <w:i/>
          <w:color w:val="auto"/>
          <w:sz w:val="22"/>
          <w:szCs w:val="22"/>
        </w:rPr>
        <w:t xml:space="preserve"> que, embora crie despesa para a Administração Pública, não trata da sua estrutura ou da atribuição de seus órgãos nem do regime jurídico de servidores públicos.</w:t>
      </w:r>
      <w:r w:rsidRPr="003B5E71">
        <w:rPr>
          <w:rFonts w:asciiTheme="minorHAnsi" w:hAnsiTheme="minorHAnsi" w:cstheme="minorHAnsi"/>
          <w:i/>
          <w:color w:val="auto"/>
          <w:sz w:val="22"/>
          <w:szCs w:val="22"/>
        </w:rPr>
        <w:t xml:space="preserve"> 4. Repercussão geral reconhecida com reafirmação da jurisprudência desta Corte. 5. Recurso extraordinário provido. </w:t>
      </w:r>
    </w:p>
    <w:p w:rsidR="00535F04" w:rsidRPr="003B5E71" w:rsidP="00A90B48">
      <w:pPr>
        <w:pStyle w:val="Default"/>
        <w:ind w:left="2268"/>
        <w:jc w:val="both"/>
        <w:rPr>
          <w:rFonts w:asciiTheme="minorHAnsi" w:hAnsiTheme="minorHAnsi" w:cstheme="minorHAnsi"/>
          <w:i/>
          <w:color w:val="auto"/>
          <w:sz w:val="20"/>
          <w:szCs w:val="20"/>
        </w:rPr>
      </w:pPr>
      <w:r w:rsidRPr="003B5E71">
        <w:rPr>
          <w:rFonts w:asciiTheme="minorHAnsi" w:hAnsiTheme="minorHAnsi" w:cstheme="minorHAnsi"/>
          <w:i/>
          <w:color w:val="auto"/>
          <w:sz w:val="20"/>
          <w:szCs w:val="20"/>
        </w:rPr>
        <w:t xml:space="preserve">(ARE 878911 RG, </w:t>
      </w:r>
      <w:r w:rsidRPr="003B5E71">
        <w:rPr>
          <w:rFonts w:asciiTheme="minorHAnsi" w:hAnsiTheme="minorHAnsi" w:cstheme="minorHAnsi"/>
          <w:i/>
          <w:color w:val="auto"/>
          <w:sz w:val="20"/>
          <w:szCs w:val="20"/>
        </w:rPr>
        <w:t>Relator(</w:t>
      </w:r>
      <w:r w:rsidRPr="003B5E71">
        <w:rPr>
          <w:rFonts w:asciiTheme="minorHAnsi" w:hAnsiTheme="minorHAnsi" w:cstheme="minorHAnsi"/>
          <w:i/>
          <w:color w:val="auto"/>
          <w:sz w:val="20"/>
          <w:szCs w:val="20"/>
        </w:rPr>
        <w:t xml:space="preserve">a): Min. GILMAR MENDES, julgado em 29/09/2016, PROCESSO ELETRÔNICO REPERCUSSÃO GERAL - MÉRITO DJe-217 DIVULG 10-10-2016 PUBLIC 11-10-2016 ) </w:t>
      </w:r>
    </w:p>
    <w:p w:rsidR="00535F04" w:rsidRPr="003B5E71" w:rsidP="00535F04">
      <w:pPr>
        <w:pStyle w:val="Default"/>
        <w:spacing w:before="240" w:after="240" w:line="360" w:lineRule="auto"/>
        <w:ind w:firstLine="1701"/>
        <w:jc w:val="both"/>
        <w:rPr>
          <w:rFonts w:asciiTheme="minorHAnsi" w:hAnsiTheme="minorHAnsi" w:cstheme="minorHAnsi"/>
          <w:color w:val="auto"/>
        </w:rPr>
      </w:pPr>
      <w:r w:rsidRPr="003B5E71">
        <w:rPr>
          <w:rFonts w:asciiTheme="minorHAnsi" w:hAnsiTheme="minorHAnsi" w:cstheme="minorHAnsi"/>
          <w:color w:val="auto"/>
        </w:rPr>
        <w:t>Assim, consoante entendimento da Suprema Corte (Tema nº</w:t>
      </w:r>
      <w:r w:rsidR="00A90B48">
        <w:rPr>
          <w:rFonts w:asciiTheme="minorHAnsi" w:hAnsiTheme="minorHAnsi" w:cstheme="minorHAnsi"/>
          <w:color w:val="auto"/>
        </w:rPr>
        <w:t xml:space="preserve"> </w:t>
      </w:r>
      <w:r w:rsidRPr="003B5E71">
        <w:rPr>
          <w:rFonts w:asciiTheme="minorHAnsi" w:hAnsiTheme="minorHAnsi" w:cstheme="minorHAnsi"/>
          <w:color w:val="auto"/>
        </w:rPr>
        <w:t xml:space="preserve">917 Repercussão Geral) a iniciativa dos vereadores </w:t>
      </w:r>
      <w:r w:rsidRPr="003B5E71">
        <w:rPr>
          <w:rFonts w:asciiTheme="minorHAnsi" w:hAnsiTheme="minorHAnsi" w:cstheme="minorHAnsi"/>
          <w:color w:val="auto"/>
        </w:rPr>
        <w:t>é</w:t>
      </w:r>
      <w:r w:rsidRPr="003B5E71">
        <w:rPr>
          <w:rFonts w:asciiTheme="minorHAnsi" w:hAnsiTheme="minorHAnsi" w:cstheme="minorHAnsi"/>
          <w:color w:val="auto"/>
        </w:rPr>
        <w:t xml:space="preserve"> ampla, encontrando limites naqueles assuntos afetos diretamente ao Chefe do Poder Executivo, quais sejam, a estruturação da Administração Pública; a atribuição de seus órgãos e o regime jurídico de servidores públicos, ainda que as propostas legislativas impliquem em criação de despesas.</w:t>
      </w:r>
    </w:p>
    <w:p w:rsidR="00535F04" w:rsidRPr="003B5E71" w:rsidP="00535F04">
      <w:pPr>
        <w:spacing w:after="240" w:line="360" w:lineRule="auto"/>
        <w:ind w:firstLine="1701"/>
        <w:jc w:val="both"/>
        <w:rPr>
          <w:rFonts w:asciiTheme="minorHAnsi" w:hAnsiTheme="minorHAnsi" w:cs="Calibri"/>
          <w:szCs w:val="24"/>
        </w:rPr>
      </w:pPr>
      <w:r>
        <w:rPr>
          <w:rFonts w:asciiTheme="minorHAnsi" w:hAnsiTheme="minorHAnsi" w:cs="Calibri"/>
          <w:szCs w:val="24"/>
        </w:rPr>
        <w:t>Nessa ordem de ideias, no que tange</w:t>
      </w:r>
      <w:r w:rsidRPr="003B5E71">
        <w:rPr>
          <w:rFonts w:asciiTheme="minorHAnsi" w:hAnsiTheme="minorHAnsi" w:cs="Calibri"/>
          <w:szCs w:val="24"/>
        </w:rPr>
        <w:t xml:space="preserve"> à competência para alteração da Lei </w:t>
      </w:r>
      <w:r>
        <w:rPr>
          <w:rFonts w:asciiTheme="minorHAnsi" w:hAnsiTheme="minorHAnsi" w:cs="Calibri"/>
          <w:szCs w:val="24"/>
        </w:rPr>
        <w:t xml:space="preserve">municipal </w:t>
      </w:r>
      <w:r w:rsidRPr="003B5E71">
        <w:rPr>
          <w:rFonts w:asciiTheme="minorHAnsi" w:hAnsiTheme="minorHAnsi" w:cstheme="minorHAnsi"/>
        </w:rPr>
        <w:t>nº 6.574, de 29 de dezembro de 2023, que d</w:t>
      </w:r>
      <w:r w:rsidRPr="003B5E71">
        <w:rPr>
          <w:rFonts w:asciiTheme="minorHAnsi" w:hAnsiTheme="minorHAnsi" w:cs="Calibri"/>
          <w:szCs w:val="24"/>
        </w:rPr>
        <w:t xml:space="preserve">ispõe sobre a Lei de Uso e Ocupação do Solo de Valinhos, </w:t>
      </w:r>
      <w:r w:rsidRPr="006247C3">
        <w:rPr>
          <w:rFonts w:asciiTheme="minorHAnsi" w:hAnsiTheme="minorHAnsi" w:cs="Calibri"/>
          <w:b/>
          <w:szCs w:val="24"/>
        </w:rPr>
        <w:t>não</w:t>
      </w:r>
      <w:r w:rsidRPr="003B5E71">
        <w:rPr>
          <w:rFonts w:asciiTheme="minorHAnsi" w:hAnsiTheme="minorHAnsi" w:cs="Calibri"/>
          <w:szCs w:val="24"/>
        </w:rPr>
        <w:t xml:space="preserve"> se trata de matéria de iniciativa privativa do Chefe do Executivo.</w:t>
      </w:r>
    </w:p>
    <w:p w:rsidR="00D76229" w:rsidRPr="003B5E71" w:rsidP="008D4956">
      <w:pPr>
        <w:spacing w:after="0" w:line="360" w:lineRule="auto"/>
        <w:ind w:firstLine="1701"/>
        <w:jc w:val="both"/>
        <w:rPr>
          <w:rFonts w:asciiTheme="minorHAnsi" w:hAnsiTheme="minorHAnsi" w:cs="Calibri"/>
          <w:szCs w:val="24"/>
        </w:rPr>
      </w:pPr>
      <w:r w:rsidRPr="003B5E71">
        <w:rPr>
          <w:rFonts w:asciiTheme="minorHAnsi" w:hAnsiTheme="minorHAnsi" w:cs="Calibri"/>
          <w:szCs w:val="24"/>
        </w:rPr>
        <w:t xml:space="preserve">Contudo, </w:t>
      </w:r>
      <w:r w:rsidR="00CB377F">
        <w:rPr>
          <w:rFonts w:asciiTheme="minorHAnsi" w:hAnsiTheme="minorHAnsi" w:cs="Calibri"/>
          <w:szCs w:val="24"/>
        </w:rPr>
        <w:t>com relação</w:t>
      </w:r>
      <w:r w:rsidRPr="003B5E71">
        <w:rPr>
          <w:rFonts w:asciiTheme="minorHAnsi" w:hAnsiTheme="minorHAnsi" w:cs="Calibri"/>
          <w:szCs w:val="24"/>
        </w:rPr>
        <w:t xml:space="preserve"> à alteração pretendida no art. 10, que almeja alterar </w:t>
      </w:r>
      <w:r w:rsidRPr="003B5E71">
        <w:rPr>
          <w:rFonts w:asciiTheme="minorHAnsi" w:hAnsiTheme="minorHAnsi" w:cs="Calibri"/>
          <w:szCs w:val="24"/>
        </w:rPr>
        <w:t>a Lei nº 6.573, de 29 de dezembro de 2023, que institui</w:t>
      </w:r>
      <w:r w:rsidR="00CB377F">
        <w:rPr>
          <w:rFonts w:asciiTheme="minorHAnsi" w:hAnsiTheme="minorHAnsi" w:cs="Calibri"/>
          <w:szCs w:val="24"/>
        </w:rPr>
        <w:t>u</w:t>
      </w:r>
      <w:r w:rsidRPr="003B5E71">
        <w:rPr>
          <w:rFonts w:asciiTheme="minorHAnsi" w:hAnsiTheme="minorHAnsi" w:cs="Calibri"/>
          <w:szCs w:val="24"/>
        </w:rPr>
        <w:t xml:space="preserve"> </w:t>
      </w:r>
      <w:r w:rsidRPr="003B5E71">
        <w:rPr>
          <w:rFonts w:asciiTheme="minorHAnsi" w:hAnsiTheme="minorHAnsi" w:cs="Calibri"/>
          <w:szCs w:val="24"/>
        </w:rPr>
        <w:t>o Plano Diretor</w:t>
      </w:r>
      <w:r w:rsidRPr="003B5E71">
        <w:rPr>
          <w:rFonts w:asciiTheme="minorHAnsi" w:hAnsiTheme="minorHAnsi" w:cs="Calibri"/>
          <w:szCs w:val="24"/>
        </w:rPr>
        <w:t xml:space="preserve"> Municipal de Valinhos</w:t>
      </w:r>
      <w:r w:rsidRPr="003B5E71">
        <w:rPr>
          <w:rFonts w:asciiTheme="minorHAnsi" w:hAnsiTheme="minorHAnsi" w:cs="Calibri"/>
          <w:szCs w:val="24"/>
        </w:rPr>
        <w:t xml:space="preserve">, </w:t>
      </w:r>
      <w:r w:rsidR="006247C3">
        <w:rPr>
          <w:rFonts w:asciiTheme="minorHAnsi" w:hAnsiTheme="minorHAnsi" w:cs="Calibri"/>
          <w:szCs w:val="24"/>
        </w:rPr>
        <w:t xml:space="preserve">cumpre observar que </w:t>
      </w:r>
      <w:r w:rsidRPr="003B5E71">
        <w:rPr>
          <w:rFonts w:asciiTheme="minorHAnsi" w:hAnsiTheme="minorHAnsi" w:cs="Calibri"/>
          <w:szCs w:val="24"/>
        </w:rPr>
        <w:t>a L</w:t>
      </w:r>
      <w:r w:rsidRPr="003B5E71">
        <w:rPr>
          <w:rFonts w:asciiTheme="minorHAnsi" w:hAnsiTheme="minorHAnsi" w:cs="Calibri"/>
          <w:szCs w:val="24"/>
        </w:rPr>
        <w:t xml:space="preserve">ei </w:t>
      </w:r>
      <w:r w:rsidRPr="003B5E71">
        <w:rPr>
          <w:rFonts w:asciiTheme="minorHAnsi" w:hAnsiTheme="minorHAnsi" w:cs="Calibri"/>
          <w:szCs w:val="24"/>
        </w:rPr>
        <w:t>O</w:t>
      </w:r>
      <w:r w:rsidRPr="003B5E71">
        <w:rPr>
          <w:rFonts w:asciiTheme="minorHAnsi" w:hAnsiTheme="minorHAnsi" w:cs="Calibri"/>
          <w:szCs w:val="24"/>
        </w:rPr>
        <w:t xml:space="preserve">rgânica do </w:t>
      </w:r>
      <w:r w:rsidRPr="003B5E71">
        <w:rPr>
          <w:rFonts w:asciiTheme="minorHAnsi" w:hAnsiTheme="minorHAnsi" w:cs="Calibri"/>
          <w:szCs w:val="24"/>
        </w:rPr>
        <w:t>M</w:t>
      </w:r>
      <w:r w:rsidRPr="003B5E71">
        <w:rPr>
          <w:rFonts w:asciiTheme="minorHAnsi" w:hAnsiTheme="minorHAnsi" w:cs="Calibri"/>
          <w:szCs w:val="24"/>
        </w:rPr>
        <w:t>unicípio</w:t>
      </w:r>
      <w:r w:rsidRPr="003B5E71">
        <w:rPr>
          <w:rFonts w:asciiTheme="minorHAnsi" w:hAnsiTheme="minorHAnsi" w:cs="Calibri"/>
          <w:szCs w:val="24"/>
        </w:rPr>
        <w:t xml:space="preserve"> </w:t>
      </w:r>
      <w:r w:rsidR="006247C3">
        <w:rPr>
          <w:rFonts w:asciiTheme="minorHAnsi" w:hAnsiTheme="minorHAnsi" w:cs="Calibri"/>
          <w:szCs w:val="24"/>
        </w:rPr>
        <w:t>estabelece a</w:t>
      </w:r>
      <w:r w:rsidRPr="003B5E71">
        <w:rPr>
          <w:rFonts w:asciiTheme="minorHAnsi" w:hAnsiTheme="minorHAnsi" w:cs="Calibri"/>
          <w:szCs w:val="24"/>
        </w:rPr>
        <w:t xml:space="preserve"> iniciativa legislativa </w:t>
      </w:r>
      <w:r w:rsidR="006247C3">
        <w:rPr>
          <w:rFonts w:asciiTheme="minorHAnsi" w:hAnsiTheme="minorHAnsi" w:cs="Calibri"/>
          <w:szCs w:val="24"/>
        </w:rPr>
        <w:t>privativa</w:t>
      </w:r>
      <w:r w:rsidRPr="003B5E71">
        <w:rPr>
          <w:rFonts w:asciiTheme="minorHAnsi" w:hAnsiTheme="minorHAnsi" w:cs="Calibri"/>
          <w:szCs w:val="24"/>
        </w:rPr>
        <w:t xml:space="preserve"> </w:t>
      </w:r>
      <w:r w:rsidRPr="003B5E71">
        <w:rPr>
          <w:rFonts w:asciiTheme="minorHAnsi" w:hAnsiTheme="minorHAnsi" w:cs="Calibri"/>
          <w:szCs w:val="24"/>
        </w:rPr>
        <w:t>do Executivo, vejamos:</w:t>
      </w:r>
    </w:p>
    <w:p w:rsidR="001F31C7" w:rsidRPr="003B5E71" w:rsidP="008D4956">
      <w:pPr>
        <w:spacing w:after="0" w:line="360" w:lineRule="auto"/>
        <w:ind w:firstLine="1701"/>
        <w:jc w:val="both"/>
        <w:rPr>
          <w:rFonts w:asciiTheme="minorHAnsi" w:hAnsiTheme="minorHAnsi" w:cs="Calibri"/>
          <w:color w:val="FF0000"/>
          <w:sz w:val="12"/>
          <w:szCs w:val="12"/>
        </w:rPr>
      </w:pPr>
    </w:p>
    <w:p w:rsidR="008D4956" w:rsidRPr="003B5E71" w:rsidP="008D4956">
      <w:pPr>
        <w:spacing w:after="0" w:line="240" w:lineRule="auto"/>
        <w:ind w:left="2268"/>
        <w:jc w:val="both"/>
        <w:rPr>
          <w:rFonts w:asciiTheme="minorHAnsi" w:hAnsiTheme="minorHAnsi" w:cstheme="minorHAnsi"/>
          <w:i/>
          <w:sz w:val="22"/>
          <w:szCs w:val="22"/>
        </w:rPr>
      </w:pPr>
      <w:r w:rsidRPr="003B5E71">
        <w:rPr>
          <w:rFonts w:asciiTheme="minorHAnsi" w:hAnsiTheme="minorHAnsi" w:cstheme="minorHAnsi"/>
          <w:i/>
          <w:sz w:val="22"/>
          <w:szCs w:val="22"/>
        </w:rPr>
        <w:t xml:space="preserve">Art. 80. </w:t>
      </w:r>
      <w:r w:rsidRPr="003B5E71">
        <w:rPr>
          <w:rFonts w:asciiTheme="minorHAnsi" w:hAnsiTheme="minorHAnsi" w:cstheme="minorHAnsi"/>
          <w:b/>
          <w:i/>
          <w:sz w:val="22"/>
          <w:szCs w:val="22"/>
        </w:rPr>
        <w:t>Compete privativamente ao Prefeito</w:t>
      </w:r>
      <w:r w:rsidRPr="003B5E71">
        <w:rPr>
          <w:rFonts w:asciiTheme="minorHAnsi" w:hAnsiTheme="minorHAnsi" w:cstheme="minorHAnsi"/>
          <w:i/>
          <w:sz w:val="22"/>
          <w:szCs w:val="22"/>
        </w:rPr>
        <w:t xml:space="preserve">, além de outras atribuições previstas nesta Lei Orgânica: </w:t>
      </w:r>
    </w:p>
    <w:p w:rsidR="008D4956" w:rsidRPr="003B5E71" w:rsidP="008D4956">
      <w:pPr>
        <w:spacing w:after="0" w:line="240" w:lineRule="auto"/>
        <w:ind w:left="2268"/>
        <w:jc w:val="both"/>
        <w:rPr>
          <w:rFonts w:asciiTheme="minorHAnsi" w:hAnsiTheme="minorHAnsi" w:cstheme="minorHAnsi"/>
          <w:i/>
          <w:sz w:val="22"/>
          <w:szCs w:val="22"/>
        </w:rPr>
      </w:pPr>
      <w:r w:rsidRPr="003B5E71">
        <w:rPr>
          <w:rFonts w:asciiTheme="minorHAnsi" w:hAnsiTheme="minorHAnsi" w:cstheme="minorHAnsi"/>
          <w:i/>
          <w:sz w:val="22"/>
          <w:szCs w:val="22"/>
        </w:rPr>
        <w:t>(...)</w:t>
      </w:r>
    </w:p>
    <w:p w:rsidR="008D4956" w:rsidRPr="003B5E71" w:rsidP="008D4956">
      <w:pPr>
        <w:spacing w:after="0" w:line="240" w:lineRule="auto"/>
        <w:ind w:left="2268"/>
        <w:jc w:val="both"/>
        <w:rPr>
          <w:rFonts w:asciiTheme="minorHAnsi" w:hAnsiTheme="minorHAnsi" w:cstheme="minorHAnsi"/>
          <w:b/>
          <w:i/>
          <w:sz w:val="22"/>
          <w:szCs w:val="22"/>
        </w:rPr>
      </w:pPr>
      <w:r w:rsidRPr="003B5E71">
        <w:rPr>
          <w:rFonts w:asciiTheme="minorHAnsi" w:hAnsiTheme="minorHAnsi" w:cstheme="minorHAnsi"/>
          <w:i/>
          <w:sz w:val="22"/>
          <w:szCs w:val="22"/>
        </w:rPr>
        <w:t xml:space="preserve">XXI - </w:t>
      </w:r>
      <w:r w:rsidRPr="003B5E71">
        <w:rPr>
          <w:rFonts w:asciiTheme="minorHAnsi" w:hAnsiTheme="minorHAnsi" w:cstheme="minorHAnsi"/>
          <w:b/>
          <w:i/>
          <w:sz w:val="22"/>
          <w:szCs w:val="22"/>
        </w:rPr>
        <w:t>apresentar à Câmara Municipal o projeto do Plano Diretor do Município</w:t>
      </w:r>
    </w:p>
    <w:p w:rsidR="008D4956" w:rsidRPr="003B5E71" w:rsidP="008D4956">
      <w:pPr>
        <w:spacing w:after="80"/>
        <w:ind w:left="2268"/>
        <w:jc w:val="both"/>
        <w:rPr>
          <w:rFonts w:asciiTheme="minorHAnsi" w:hAnsiTheme="minorHAnsi" w:cstheme="minorHAnsi"/>
          <w:i/>
          <w:sz w:val="22"/>
          <w:szCs w:val="22"/>
        </w:rPr>
      </w:pPr>
    </w:p>
    <w:p w:rsidR="008D4956" w:rsidRPr="003B5E71" w:rsidP="008D4956">
      <w:pPr>
        <w:spacing w:after="240" w:line="360" w:lineRule="auto"/>
        <w:ind w:firstLine="1701"/>
        <w:jc w:val="both"/>
        <w:rPr>
          <w:rFonts w:asciiTheme="minorHAnsi" w:hAnsiTheme="minorHAnsi" w:cstheme="minorHAnsi"/>
          <w:szCs w:val="24"/>
        </w:rPr>
      </w:pPr>
      <w:r w:rsidRPr="003B5E71">
        <w:rPr>
          <w:rFonts w:asciiTheme="minorHAnsi" w:hAnsiTheme="minorHAnsi" w:cstheme="minorHAnsi"/>
          <w:szCs w:val="24"/>
        </w:rPr>
        <w:t xml:space="preserve">Nessa linha, encontramos decisões do </w:t>
      </w:r>
      <w:r w:rsidRPr="003B5E71" w:rsidR="000A7C70">
        <w:rPr>
          <w:rFonts w:asciiTheme="minorHAnsi" w:hAnsiTheme="minorHAnsi" w:cstheme="minorHAnsi"/>
          <w:szCs w:val="24"/>
        </w:rPr>
        <w:t xml:space="preserve">E. </w:t>
      </w:r>
      <w:r w:rsidRPr="003B5E71">
        <w:rPr>
          <w:rFonts w:asciiTheme="minorHAnsi" w:hAnsiTheme="minorHAnsi" w:cstheme="minorHAnsi"/>
          <w:szCs w:val="24"/>
        </w:rPr>
        <w:t>Tribunal de Justiça de São Paulo pela iniciativa privativa do Executivo para iniciar projeto que trata da revisão do Plano Diretor:</w:t>
      </w:r>
    </w:p>
    <w:p w:rsidR="008D4956" w:rsidRPr="003B5E71" w:rsidP="008D4956">
      <w:pPr>
        <w:spacing w:after="0" w:line="240" w:lineRule="auto"/>
        <w:ind w:left="2268"/>
        <w:jc w:val="both"/>
        <w:rPr>
          <w:rFonts w:asciiTheme="minorHAnsi" w:hAnsiTheme="minorHAnsi"/>
          <w:i/>
          <w:color w:val="000000"/>
          <w:sz w:val="22"/>
          <w:szCs w:val="22"/>
          <w:shd w:val="clear" w:color="auto" w:fill="FFFFFF"/>
        </w:rPr>
      </w:pPr>
      <w:r w:rsidRPr="003B5E71">
        <w:rPr>
          <w:rFonts w:asciiTheme="minorHAnsi" w:hAnsiTheme="minorHAnsi"/>
          <w:i/>
          <w:color w:val="000000"/>
          <w:sz w:val="22"/>
          <w:szCs w:val="22"/>
          <w:shd w:val="clear" w:color="auto" w:fill="FFFFFF"/>
        </w:rPr>
        <w:t xml:space="preserve">Ação Direta de Inconstitucionalidade. Artigos 9°, inciso IV, e 135, incisos VII e IX, ambos da </w:t>
      </w:r>
      <w:r w:rsidRPr="003B5E71">
        <w:rPr>
          <w:rFonts w:asciiTheme="minorHAnsi" w:hAnsiTheme="minorHAnsi"/>
          <w:b/>
          <w:i/>
          <w:color w:val="000000"/>
          <w:sz w:val="22"/>
          <w:szCs w:val="22"/>
          <w:shd w:val="clear" w:color="auto" w:fill="FFFFFF"/>
        </w:rPr>
        <w:t>Lei Complementar n° 2.866, de 27 de abril de 2018, do Município de Ribeirão Preto</w:t>
      </w:r>
      <w:r w:rsidRPr="003B5E71">
        <w:rPr>
          <w:rFonts w:asciiTheme="minorHAnsi" w:hAnsiTheme="minorHAnsi"/>
          <w:i/>
          <w:color w:val="000000"/>
          <w:sz w:val="22"/>
          <w:szCs w:val="22"/>
          <w:shd w:val="clear" w:color="auto" w:fill="FFFFFF"/>
        </w:rPr>
        <w:t xml:space="preserve">. </w:t>
      </w:r>
      <w:r w:rsidRPr="003B5E71">
        <w:rPr>
          <w:rFonts w:asciiTheme="minorHAnsi" w:hAnsiTheme="minorHAnsi"/>
          <w:b/>
          <w:i/>
          <w:color w:val="000000"/>
          <w:sz w:val="22"/>
          <w:szCs w:val="22"/>
          <w:shd w:val="clear" w:color="auto" w:fill="FFFFFF"/>
        </w:rPr>
        <w:t xml:space="preserve">Diploma que trata da revisão do Plano Diretor </w:t>
      </w:r>
      <w:r w:rsidRPr="003B5E71">
        <w:rPr>
          <w:rFonts w:asciiTheme="minorHAnsi" w:hAnsiTheme="minorHAnsi"/>
          <w:i/>
          <w:color w:val="000000"/>
          <w:sz w:val="22"/>
          <w:szCs w:val="22"/>
          <w:shd w:val="clear" w:color="auto" w:fill="FFFFFF"/>
        </w:rPr>
        <w:t xml:space="preserve">de referido Município. </w:t>
      </w:r>
      <w:r w:rsidRPr="003B5E71">
        <w:rPr>
          <w:rFonts w:asciiTheme="minorHAnsi" w:hAnsiTheme="minorHAnsi"/>
          <w:b/>
          <w:i/>
          <w:color w:val="000000"/>
          <w:sz w:val="22"/>
          <w:szCs w:val="22"/>
          <w:shd w:val="clear" w:color="auto" w:fill="FFFFFF"/>
        </w:rPr>
        <w:t>Dispositivos inseridos em lei de iniciativa exclusiva do Prefeito Municipal, por meio de emendas parlamentares</w:t>
      </w:r>
      <w:r w:rsidRPr="003B5E71">
        <w:rPr>
          <w:rFonts w:asciiTheme="minorHAnsi" w:hAnsiTheme="minorHAnsi"/>
          <w:i/>
          <w:color w:val="000000"/>
          <w:sz w:val="22"/>
          <w:szCs w:val="22"/>
          <w:shd w:val="clear" w:color="auto" w:fill="FFFFFF"/>
        </w:rPr>
        <w:t xml:space="preserve">. Artigo 9°, inciso IV: vício de inconstitucionalidade não verificado. </w:t>
      </w:r>
      <w:r w:rsidRPr="003B5E71">
        <w:rPr>
          <w:rFonts w:asciiTheme="minorHAnsi" w:hAnsiTheme="minorHAnsi"/>
          <w:b/>
          <w:i/>
          <w:color w:val="000000"/>
          <w:sz w:val="22"/>
          <w:szCs w:val="22"/>
          <w:shd w:val="clear" w:color="auto" w:fill="FFFFFF"/>
        </w:rPr>
        <w:t>Dispositivo que, apesar da questionável técnica redacional empregada, não acarreta aumento de despesa e guarda pertinência temática com as diretrizes e objetivos estabelecidos na legislação em que incluído</w:t>
      </w:r>
      <w:r w:rsidRPr="003B5E71">
        <w:rPr>
          <w:rFonts w:asciiTheme="minorHAnsi" w:hAnsiTheme="minorHAnsi"/>
          <w:i/>
          <w:color w:val="000000"/>
          <w:sz w:val="22"/>
          <w:szCs w:val="22"/>
          <w:shd w:val="clear" w:color="auto" w:fill="FFFFFF"/>
        </w:rPr>
        <w:t xml:space="preserve">. Parecer da Procuradoria-Geral de Justiça nesse sentido. Respeito às regras dos artigos 180, II, e 181, §2°, ambos da CE. A análise do processo legislativo relacionado ao diploma em questão revela que foram satisfatoriamente atendidas as exigências constitucionais da participação popular e do planejamento técnico em matéria de lei que dispõe sobre desenvolvimento urbano. Precedente deste Colegiado relativo </w:t>
      </w:r>
      <w:r w:rsidRPr="003B5E71">
        <w:rPr>
          <w:rFonts w:asciiTheme="minorHAnsi" w:hAnsiTheme="minorHAnsi"/>
          <w:i/>
          <w:color w:val="000000"/>
          <w:sz w:val="22"/>
          <w:szCs w:val="22"/>
          <w:shd w:val="clear" w:color="auto" w:fill="FFFFFF"/>
        </w:rPr>
        <w:t>a</w:t>
      </w:r>
      <w:r w:rsidRPr="003B5E71">
        <w:rPr>
          <w:rFonts w:asciiTheme="minorHAnsi" w:hAnsiTheme="minorHAnsi"/>
          <w:i/>
          <w:color w:val="000000"/>
          <w:sz w:val="22"/>
          <w:szCs w:val="22"/>
          <w:shd w:val="clear" w:color="auto" w:fill="FFFFFF"/>
        </w:rPr>
        <w:t xml:space="preserve"> hipótese similar. </w:t>
      </w:r>
      <w:r w:rsidRPr="003B5E71">
        <w:rPr>
          <w:rFonts w:asciiTheme="minorHAnsi" w:hAnsiTheme="minorHAnsi"/>
          <w:b/>
          <w:i/>
          <w:color w:val="000000"/>
          <w:sz w:val="22"/>
          <w:szCs w:val="22"/>
          <w:shd w:val="clear" w:color="auto" w:fill="FFFFFF"/>
        </w:rPr>
        <w:t>Inconstitucionalidade do artigo 135, incisos VIII e IX. Verificação. Excesso do poder de emenda exercido pela Câmara Municipal de Ribeirão Preto</w:t>
      </w:r>
      <w:r w:rsidRPr="003B5E71">
        <w:rPr>
          <w:rFonts w:asciiTheme="minorHAnsi" w:hAnsiTheme="minorHAnsi"/>
          <w:i/>
          <w:color w:val="000000"/>
          <w:sz w:val="22"/>
          <w:szCs w:val="22"/>
          <w:shd w:val="clear" w:color="auto" w:fill="FFFFFF"/>
        </w:rPr>
        <w:t xml:space="preserve">. Previsão do funcionamento ininterrupto das unidades de saúde de todos os distritos sanitários da municipalidade e da adoção das providências necessárias para que a mesma medida seja instituída no distrito de Bonfim Paulista. Inequívoco aumento de despesas. Impossibilidade. </w:t>
      </w:r>
      <w:r w:rsidRPr="003B5E71">
        <w:rPr>
          <w:rFonts w:asciiTheme="minorHAnsi" w:hAnsiTheme="minorHAnsi"/>
          <w:b/>
          <w:i/>
          <w:color w:val="000000"/>
          <w:sz w:val="22"/>
          <w:szCs w:val="22"/>
          <w:shd w:val="clear" w:color="auto" w:fill="FFFFFF"/>
        </w:rPr>
        <w:t>É inviável a introdução, em projeto de iniciativa de Poder diverso, de dispositivo que implique aumento de gastos. Inteligência do artigo 24, §5°, item 01, da CE</w:t>
      </w:r>
      <w:r w:rsidRPr="003B5E71">
        <w:rPr>
          <w:rFonts w:asciiTheme="minorHAnsi" w:hAnsiTheme="minorHAnsi"/>
          <w:i/>
          <w:color w:val="000000"/>
          <w:sz w:val="22"/>
          <w:szCs w:val="22"/>
          <w:shd w:val="clear" w:color="auto" w:fill="FFFFFF"/>
        </w:rPr>
        <w:t xml:space="preserve">. </w:t>
      </w:r>
      <w:r w:rsidRPr="003B5E71">
        <w:rPr>
          <w:rFonts w:asciiTheme="minorHAnsi" w:hAnsiTheme="minorHAnsi"/>
          <w:b/>
          <w:i/>
          <w:color w:val="000000"/>
          <w:sz w:val="22"/>
          <w:szCs w:val="22"/>
          <w:shd w:val="clear" w:color="auto" w:fill="FFFFFF"/>
        </w:rPr>
        <w:t>Precedentes do Plenário do STF e deste OE.</w:t>
      </w:r>
      <w:r w:rsidRPr="003B5E71">
        <w:rPr>
          <w:rFonts w:asciiTheme="minorHAnsi" w:hAnsiTheme="minorHAnsi"/>
          <w:i/>
          <w:color w:val="000000"/>
          <w:sz w:val="22"/>
          <w:szCs w:val="22"/>
          <w:shd w:val="clear" w:color="auto" w:fill="FFFFFF"/>
        </w:rPr>
        <w:t xml:space="preserve"> Pedido julgado parcialmente procedente, convalidando-se, em parte, a liminar. </w:t>
      </w:r>
    </w:p>
    <w:p w:rsidR="008D4956" w:rsidRPr="00226098" w:rsidP="008D4956">
      <w:pPr>
        <w:pBdr>
          <w:bottom w:val="single" w:sz="12" w:space="1" w:color="auto"/>
        </w:pBdr>
        <w:spacing w:after="0" w:line="240" w:lineRule="auto"/>
        <w:ind w:left="2268"/>
        <w:jc w:val="both"/>
        <w:rPr>
          <w:rFonts w:asciiTheme="minorHAnsi" w:hAnsiTheme="minorHAnsi"/>
          <w:i/>
          <w:color w:val="000000"/>
          <w:sz w:val="20"/>
          <w:shd w:val="clear" w:color="auto" w:fill="FFFFFF"/>
        </w:rPr>
      </w:pPr>
      <w:r w:rsidRPr="00226098">
        <w:rPr>
          <w:rFonts w:asciiTheme="minorHAnsi" w:hAnsiTheme="minorHAnsi"/>
          <w:i/>
          <w:color w:val="000000"/>
          <w:sz w:val="20"/>
          <w:shd w:val="clear" w:color="auto" w:fill="FFFFFF"/>
        </w:rPr>
        <w:t>(TJSP;</w:t>
      </w:r>
      <w:r w:rsidRPr="00226098">
        <w:rPr>
          <w:rFonts w:asciiTheme="minorHAnsi" w:hAnsiTheme="minorHAnsi"/>
          <w:i/>
          <w:color w:val="000000"/>
          <w:sz w:val="20"/>
          <w:shd w:val="clear" w:color="auto" w:fill="FFFFFF"/>
        </w:rPr>
        <w:t xml:space="preserve">  </w:t>
      </w:r>
      <w:r w:rsidRPr="00226098">
        <w:rPr>
          <w:rFonts w:asciiTheme="minorHAnsi" w:hAnsiTheme="minorHAnsi"/>
          <w:i/>
          <w:color w:val="000000"/>
          <w:sz w:val="20"/>
          <w:shd w:val="clear" w:color="auto" w:fill="FFFFFF"/>
        </w:rPr>
        <w:t>Direta de Inconstitucionalidade 2146772-68.2018.8.26.0000; Relator (a): Márcio Bartoli; Órgão Julgador: Órgão Especial; Tribunal de Justiça de São Paulo - N/A; Data do Julgamento: 03/04/2019; Data de Registro: 04/04/2019)</w:t>
      </w:r>
    </w:p>
    <w:p w:rsidR="008D4956" w:rsidRPr="003B5E71" w:rsidP="008D4956">
      <w:pPr>
        <w:spacing w:after="0" w:line="240" w:lineRule="auto"/>
        <w:ind w:left="2268"/>
        <w:jc w:val="both"/>
        <w:rPr>
          <w:rFonts w:asciiTheme="minorHAnsi" w:hAnsiTheme="minorHAnsi"/>
          <w:i/>
          <w:color w:val="000000"/>
          <w:sz w:val="22"/>
          <w:szCs w:val="22"/>
          <w:shd w:val="clear" w:color="auto" w:fill="FFFFFF"/>
        </w:rPr>
      </w:pPr>
    </w:p>
    <w:p w:rsidR="008D4956" w:rsidRPr="003B5E71" w:rsidP="008D4956">
      <w:pPr>
        <w:spacing w:after="0" w:line="240" w:lineRule="auto"/>
        <w:ind w:left="2268"/>
        <w:jc w:val="both"/>
        <w:rPr>
          <w:rFonts w:asciiTheme="minorHAnsi" w:hAnsiTheme="minorHAnsi"/>
          <w:i/>
          <w:color w:val="000000"/>
          <w:sz w:val="22"/>
          <w:szCs w:val="22"/>
          <w:shd w:val="clear" w:color="auto" w:fill="FFFFFF"/>
        </w:rPr>
      </w:pPr>
      <w:r w:rsidRPr="003B5E71">
        <w:rPr>
          <w:rFonts w:asciiTheme="minorHAnsi" w:hAnsiTheme="minorHAnsi"/>
          <w:i/>
          <w:color w:val="000000"/>
          <w:sz w:val="22"/>
          <w:szCs w:val="22"/>
          <w:shd w:val="clear" w:color="auto" w:fill="FFFFFF"/>
        </w:rPr>
        <w:t xml:space="preserve">AÇÃO DIRETA DE INCONSTITUCIONALIDADE. LEI MUNICIPAL Nº 11.022, DE 16 DE DEZEMBRO DE 2014, DE SOROCABA, </w:t>
      </w:r>
      <w:r w:rsidRPr="003B5E71">
        <w:rPr>
          <w:rFonts w:asciiTheme="minorHAnsi" w:hAnsiTheme="minorHAnsi"/>
          <w:b/>
          <w:i/>
          <w:color w:val="000000"/>
          <w:sz w:val="22"/>
          <w:szCs w:val="22"/>
          <w:shd w:val="clear" w:color="auto" w:fill="FFFFFF"/>
        </w:rPr>
        <w:t>QUE DISPÕE SOBRE A REVISÃO DO PLANO DIRETOR DE DESENVOLVIMENTO FÍSICO TERRITORIAL DO MUNICÍPIO DE SOROCABA</w:t>
      </w:r>
      <w:r w:rsidRPr="003B5E71">
        <w:rPr>
          <w:rFonts w:asciiTheme="minorHAnsi" w:hAnsiTheme="minorHAnsi"/>
          <w:i/>
          <w:color w:val="000000"/>
          <w:sz w:val="22"/>
          <w:szCs w:val="22"/>
          <w:shd w:val="clear" w:color="auto" w:fill="FFFFFF"/>
        </w:rPr>
        <w:t xml:space="preserve"> E DÁ OUTRAS PROVIDÊNCIAS. 1. AÇÃO DIRETA DE INCONSTITUCIONALIDADE. LEI MUNICIPAL Nº 11.022, DE 16 DE DEZEMBRO DE 2014, DE SOROCABA, PARÁGRAFO 2º, DO ARTIGO 86, COM A REDAÇÃO DADA PELA EMENDA Nº 128. NÃO CONHECIMENTO DESSA MATÉRIA. DISPOSITIVO QUE JÁ TEVE SUA INCONSTITUCIONALIDADE DECLARADA EM PRECEDENTE AÇÃO DIRETA DE INCONSTITUCIONALIDADE Nº 2085697-33.2015.8.26.0000, JULGADA EM 16.09.2015. CAUSA DE PEDIR ABERTA QUE NÃO JUSTIFICA O CONHECIMENTO DESTE TÓPICO DO PEDIDO. LITISPENDÊNCIA CARACTERIZADA. AÇÃO CONHECIDA PARCIALMENTE, PORQUANTO </w:t>
      </w:r>
      <w:r w:rsidRPr="003B5E71">
        <w:rPr>
          <w:rFonts w:asciiTheme="minorHAnsi" w:hAnsiTheme="minorHAnsi"/>
          <w:i/>
          <w:color w:val="000000"/>
          <w:sz w:val="22"/>
          <w:szCs w:val="22"/>
          <w:shd w:val="clear" w:color="auto" w:fill="FFFFFF"/>
        </w:rPr>
        <w:t xml:space="preserve">PREJUDICADO O EXAME DESTA QUESTÃO. 2. INCONSTITUCIONALIDADE FORMAL. PROCLAMAÇÃO. INCONSTITUCIONALIDADE DAS EMENDAS NÚMEROS 2, 32, 33, 60, 173, 174, 216 E 220. INOVAÇÕES PARLAMENTARES QUE, REALIZADAS DIRETAMENTE NO MAPA DE ZONEAMENTO, SEM A RESPECTIVA ALTERAÇÃO DE REDAÇÃO NO CORPO DA LEI, ACABARAM POR IMPEDIR O PREFEITO DO EXERCÍCIO DE SUA PRERROGATIVA DE VETO. VIOLAÇÃO DO ARTIGO 28, PARÁGRAFO 1º, DA CONSTITUIÇÃO ESTADUAL. A manobra legislativa, tendente a retirar do Poder </w:t>
      </w:r>
      <w:r w:rsidRPr="003B5E71">
        <w:rPr>
          <w:rFonts w:asciiTheme="minorHAnsi" w:hAnsiTheme="minorHAnsi"/>
          <w:i/>
          <w:color w:val="000000"/>
          <w:sz w:val="22"/>
          <w:szCs w:val="22"/>
          <w:shd w:val="clear" w:color="auto" w:fill="FFFFFF"/>
        </w:rPr>
        <w:t>Executivo sua prerrogativa de veto</w:t>
      </w:r>
      <w:r w:rsidRPr="003B5E71">
        <w:rPr>
          <w:rFonts w:asciiTheme="minorHAnsi" w:hAnsiTheme="minorHAnsi"/>
          <w:i/>
          <w:color w:val="000000"/>
          <w:sz w:val="22"/>
          <w:szCs w:val="22"/>
          <w:shd w:val="clear" w:color="auto" w:fill="FFFFFF"/>
        </w:rPr>
        <w:t>, não é nova. Em razão dessas manobras, conhecidas por '</w:t>
      </w:r>
      <w:r w:rsidRPr="003B5E71">
        <w:rPr>
          <w:rFonts w:asciiTheme="minorHAnsi" w:hAnsiTheme="minorHAnsi"/>
          <w:i/>
          <w:color w:val="000000"/>
          <w:sz w:val="22"/>
          <w:szCs w:val="22"/>
          <w:shd w:val="clear" w:color="auto" w:fill="FFFFFF"/>
        </w:rPr>
        <w:t>Riders</w:t>
      </w:r>
      <w:r w:rsidRPr="003B5E71">
        <w:rPr>
          <w:rFonts w:asciiTheme="minorHAnsi" w:hAnsiTheme="minorHAnsi"/>
          <w:i/>
          <w:color w:val="000000"/>
          <w:sz w:val="22"/>
          <w:szCs w:val="22"/>
          <w:shd w:val="clear" w:color="auto" w:fill="FFFFFF"/>
        </w:rPr>
        <w:t xml:space="preserve">', 'Caudas' ou 'Penduricalhos', que obrigavam o Presidente da República a aprová-los em conjunto com a lei ou vetar toda a lei orçamentária é que se acabou criando o veto parcial. Na hipótese, o veto direto ao artigo 146, que faz referência aos Mapas, tornaria a lei inaplicável ou de muito difícil aplicação, obrigando o Prefeito a aprovar as alterações havidas ou rejeitar toda a norma. Circunstância inadmissível, diante da prerrogativa trazida pelo artigo 28, parágrafo 1º, da Constituição Estadual. 3. INCONSTITUCIONALIDADE MATERIAL. </w:t>
      </w:r>
      <w:r w:rsidRPr="003B5E71">
        <w:rPr>
          <w:rFonts w:asciiTheme="minorHAnsi" w:hAnsiTheme="minorHAnsi"/>
          <w:i/>
          <w:color w:val="000000"/>
          <w:sz w:val="22"/>
          <w:szCs w:val="22"/>
          <w:shd w:val="clear" w:color="auto" w:fill="FFFFFF"/>
        </w:rPr>
        <w:t>3a.</w:t>
      </w:r>
      <w:r w:rsidRPr="003B5E71">
        <w:rPr>
          <w:rFonts w:asciiTheme="minorHAnsi" w:hAnsiTheme="minorHAnsi"/>
          <w:i/>
          <w:color w:val="000000"/>
          <w:sz w:val="22"/>
          <w:szCs w:val="22"/>
          <w:shd w:val="clear" w:color="auto" w:fill="FFFFFF"/>
        </w:rPr>
        <w:t xml:space="preserve"> DISPOSITIVOS LEGAIS, ALTERADOS OU INCLUÍDOS POR EMENDAS PARLAMENTARES, QUE RESULTARAM EM ALTERAÇÕES DE PEQUENA EXTENSÃO, NÃO IMPACTAM O TEXTO ORIGINAL, POIS NÃO ACARRETAM SEVERA MUDANÇA DE ZONEAMENTO, APENAS ADEQUANDO OS IMÓVEIS À VOCAÇÃO LOCAL OU À SITUAÇÃO CONSOLIDADA, NÃO SÃO MATERIALMENTE INCONSTITUCIONAIS, PRINCIPALMENTE QUANDO SUBMETIDAS A AUDIÊNCIAS PÚBLICAS E CONSTATADA A AUSÊNCIA DE PREJUÍZO AO PLANEJAMENTO URBANO. INOCORRÊNCIA DE DESCARACTERIZAÇÃO DO PROJETO. MERO APRIMORAMENTO DA PROPOSTA ORIGINAL, RESPEITADOS OS PRINCÍPIOS DA IMPESSOALIDADE, MORALIDADE, PUBLICIDADE, RAZOABILIDADE, FINALIDADE, MOTIVAÇÃO E INTERESSE PÚBLICO. ATENDIMENTO AO DISPOSTO NO ARTIGO 111 DA CONSTITUIÇÃO ESTADUAL, BEM COMO AOS ARTIGOS 47, INCISOS II, XI E XIV, 180, 181 E 182, TAMBÉM DA CONSTITUIÇÃO DO ESTADO. CONSTITUCIONALIDADE DOS ARTIGOS 105, PARÁGRAFOS 8º, 9º, 11, 12, 14 E 125, PARÁGRAFO 7º, DECORRENTES DAS EMENDAS NÚMEROS 2, 60, 173, 216, 220. 3b. ALTERAÇÕES QUE ATINGEM A ESTRUTURA DO PROJETO ORIGINAL. INADMISSIBILIDADE. INCONSTITUCIONALIDADE MATERIAL. VIOLAÇÃO AO DISPOSTO NOS ARTIGOS 47, INCISOS II, XI E XIV, 180, 181 E 182, DA CONSTITUIÇÃO DO ESTADO: i. ARTIGO 105, PARÁGRAFO 2º. INCONSTITUCIONALIDADE. AMPLIAÇÃO DAS PERMISSÕES DE CONSTRUÇÃO DE TEMPLOS, INDEPENDENTEMENTE DO NÚMERO DE LUGARES QUE O ACOMPANHAM. RESTRIÇÃO AO PODER DE DIREÇÃO DO PREFEITO. PORTE DO TEMPLO QUE PODE REDUNDAR NA CRIAÇÃO DE POLO GERADOR DE TRÁFEGO INTENSO EM REGIÕES QUE NÃO O ADMITEM. INVASÃO DO PODER DE DIREÇÃO DA CIDADE DO CHEFE DO PODER EXECUTIVO (ARTIGOS 47, </w:t>
      </w:r>
      <w:r w:rsidRPr="003B5E71">
        <w:rPr>
          <w:rFonts w:asciiTheme="minorHAnsi" w:hAnsiTheme="minorHAnsi"/>
          <w:i/>
          <w:color w:val="000000"/>
          <w:sz w:val="22"/>
          <w:szCs w:val="22"/>
          <w:shd w:val="clear" w:color="auto" w:fill="FFFFFF"/>
        </w:rPr>
        <w:t xml:space="preserve">INCISOS II, XI E XIV, 180, 181 E 182, DA CONSTITUIÇÃO DO ESTADO). </w:t>
      </w:r>
      <w:r w:rsidRPr="003B5E71">
        <w:rPr>
          <w:rFonts w:asciiTheme="minorHAnsi" w:hAnsiTheme="minorHAnsi"/>
          <w:i/>
          <w:color w:val="000000"/>
          <w:sz w:val="22"/>
          <w:szCs w:val="22"/>
          <w:shd w:val="clear" w:color="auto" w:fill="FFFFFF"/>
        </w:rPr>
        <w:t>ii</w:t>
      </w:r>
      <w:r w:rsidRPr="003B5E71">
        <w:rPr>
          <w:rFonts w:asciiTheme="minorHAnsi" w:hAnsiTheme="minorHAnsi"/>
          <w:i/>
          <w:color w:val="000000"/>
          <w:sz w:val="22"/>
          <w:szCs w:val="22"/>
          <w:shd w:val="clear" w:color="auto" w:fill="FFFFFF"/>
        </w:rPr>
        <w:t xml:space="preserve">. ARTIGO 105, PARÁGRAFO 10, ALTERA O ZONEAMENTO DE INDUSTRIAL PARA RESIDENCIAL. CLASSIFICAÇÃO DO PROJETO ORIGINAL PRESERVANDO A VOCAÇÃO INDUSTRIAL EM ATENDIMENTO A QUESTÕES AMBIENTAIS E DE SAÚDE PÚBLICA. ÁREA PRÓXIMA </w:t>
      </w:r>
      <w:r w:rsidRPr="003B5E71">
        <w:rPr>
          <w:rFonts w:asciiTheme="minorHAnsi" w:hAnsiTheme="minorHAnsi"/>
          <w:i/>
          <w:color w:val="000000"/>
          <w:sz w:val="22"/>
          <w:szCs w:val="22"/>
          <w:shd w:val="clear" w:color="auto" w:fill="FFFFFF"/>
        </w:rPr>
        <w:t>À</w:t>
      </w:r>
      <w:r w:rsidRPr="003B5E71">
        <w:rPr>
          <w:rFonts w:asciiTheme="minorHAnsi" w:hAnsiTheme="minorHAnsi"/>
          <w:i/>
          <w:color w:val="000000"/>
          <w:sz w:val="22"/>
          <w:szCs w:val="22"/>
          <w:shd w:val="clear" w:color="auto" w:fill="FFFFFF"/>
        </w:rPr>
        <w:t xml:space="preserve"> CAVA MINERÁRIA E A ATERRO SANITÁRIO, VULNERÁVEL AOS RESÍDUOS RESULTANTES DE EVENTUAL ROMPIMENTO DO MACIÇO. EMENDA QUE ABARCA UM ÚNICO IMÓVEL. DISPOSITIVO QUE ALÉM DE VIOLAR O DISPOSTO NOS ARTIGOS 47, INCISOS II, XI E XIV, 180, 181 E 182, DA CONSTITUIÇÃO DO ESTADO, AFRONTA TAMBÉM OS PRINCÍPIOS DA IMPESSOALIDADE E DA MORALIDADE. </w:t>
      </w:r>
      <w:r w:rsidRPr="003B5E71">
        <w:rPr>
          <w:rFonts w:asciiTheme="minorHAnsi" w:hAnsiTheme="minorHAnsi"/>
          <w:i/>
          <w:color w:val="000000"/>
          <w:sz w:val="22"/>
          <w:szCs w:val="22"/>
          <w:shd w:val="clear" w:color="auto" w:fill="FFFFFF"/>
        </w:rPr>
        <w:t>iii</w:t>
      </w:r>
      <w:r w:rsidRPr="003B5E71">
        <w:rPr>
          <w:rFonts w:asciiTheme="minorHAnsi" w:hAnsiTheme="minorHAnsi"/>
          <w:i/>
          <w:color w:val="000000"/>
          <w:sz w:val="22"/>
          <w:szCs w:val="22"/>
          <w:shd w:val="clear" w:color="auto" w:fill="FFFFFF"/>
        </w:rPr>
        <w:t xml:space="preserve">. ARTIGO 125, PARÁGRAFO 6º, POSSIBILITA A REDUÇÃO DA ÁREA MÍNIMA DOS LOTES CLASSIFICADOS NO ZONEAMENTO ZR2 E ZR3, CASO O EMPREENDEDOR OPTE PELA AMPLIAÇÃO DA ÁREA DE LAZER DE 12% PARA 20%. REGRA ESTRUTURAL DO PLANO DIRETOR, QUE PERMITE O ADENSAMENTO POPULACIONAL, A REDUÇÃO DA PERMEABILIDADE DO SOLO, COM SOBRECARGA NA INFRAESTRUTURA DE DISTRIBUIÇÃO DE ÁGUA E ESGOTO. INVASÃO DO PODER DE DIREÇÃO DA CIDADE DO CHEFE DO PODER EXECUTIVO (ARTIGOS 47, INCISOS II, XI E XIV, 180, 181 E 182, DA CONSTITUIÇÃO DO ESTADO). </w:t>
      </w:r>
      <w:r w:rsidRPr="003B5E71">
        <w:rPr>
          <w:rFonts w:asciiTheme="minorHAnsi" w:hAnsiTheme="minorHAnsi"/>
          <w:i/>
          <w:color w:val="000000"/>
          <w:sz w:val="22"/>
          <w:szCs w:val="22"/>
          <w:shd w:val="clear" w:color="auto" w:fill="FFFFFF"/>
        </w:rPr>
        <w:t>iv</w:t>
      </w:r>
      <w:r w:rsidRPr="003B5E71">
        <w:rPr>
          <w:rFonts w:asciiTheme="minorHAnsi" w:hAnsiTheme="minorHAnsi"/>
          <w:i/>
          <w:color w:val="000000"/>
          <w:sz w:val="22"/>
          <w:szCs w:val="22"/>
          <w:shd w:val="clear" w:color="auto" w:fill="FFFFFF"/>
        </w:rPr>
        <w:t xml:space="preserve">. ALTERAÇÕES REALIZADAS DIRETAMENTE NO MAPA DE ZONEAMENTO, POR FORÇA DAS EMENDAS NOS 32 E 33. ALTERAÇÃO DE ZONEAMENTO, DE CHÁCARAS URBANAS, PARA ZR3. INADMISSIBILIDADE. ÁREA SITUADA EM MACROZONA COM GRANDES RESTRIÇÕES DE OCUPAÇÃO – MGRO – PROTEÇÃO DE MANANCIAIS – BACIA DO CÓRREGO PIRAJIBU-MIRIM, QUE COLABORA PARA A CAPTAÇÃO DE ÁGUA DESTINADA AO ABASTECIMENTO. INVASÃO DO PODER DE DIREÇÃO DA CIDADE DO CHEFE DO PODER EXECUTIVO (ARTIGOS 47, INCISOS II, XI E XIV, 180, 181 E 182, DA CONSTITUIÇÃO DO ESTADO). </w:t>
      </w:r>
      <w:r w:rsidRPr="003B5E71">
        <w:rPr>
          <w:rFonts w:asciiTheme="minorHAnsi" w:hAnsiTheme="minorHAnsi"/>
          <w:i/>
          <w:color w:val="000000"/>
          <w:sz w:val="22"/>
          <w:szCs w:val="22"/>
          <w:shd w:val="clear" w:color="auto" w:fill="FFFFFF"/>
        </w:rPr>
        <w:t>v.</w:t>
      </w:r>
      <w:r w:rsidRPr="003B5E71">
        <w:rPr>
          <w:rFonts w:asciiTheme="minorHAnsi" w:hAnsiTheme="minorHAnsi"/>
          <w:i/>
          <w:color w:val="000000"/>
          <w:sz w:val="22"/>
          <w:szCs w:val="22"/>
          <w:shd w:val="clear" w:color="auto" w:fill="FFFFFF"/>
        </w:rPr>
        <w:t xml:space="preserve"> ALTERAÇÃO REALIZADA DIRETAMENTE NO MAPA DE ZONEAMENTO, PELA EMENDA Nº 174 - ALTERAÇÃO DE ZONEAMENTO PARA INSTALAÇÃO DE CORREDOR COMERCIAL (CCR2). SECRETARIA DE MOBILIDADE, DESENVOLVIMENTO URBANO E OBRAS – SEMOB QUE APONTA A EXISTÊNCIA DE OUTROS CORREDORES PRÓXIMOS QUE ATENDEM A REGIÃO - PRETENSÃO AO ATENDIMENTO DE NECESSIDADE DE INFRAESTRUTURA DE MOBILIDADE EM RAZÃO DA EXISTÊNCIA DE EMPREENDIMENTOS EM FASE DE INSTALAÇÃO – ADMINISTRAÇÃO DA CIDADE QUE COMPETE AO PREFEITO. INVASÃO DO PODER DE DIREÇÃO DA CIDADE DO CHEFE DO PODER EXECUTIVO (ARTIGOS 47, INCISOS II, XI E XIV, 180, 181 E 182, DA CONSTITUIÇÃO DO ESTADO). INCONSTITUCIONALIDADE MATERIAL DO DISPOSTO NOS PARÁGRAFOS 2º (COM A REDAÇÃO DADA PELA EMENDA Nº 68), E 10º (COM A REDAÇÃO DADA PELA EMENDA Nº 34), DO ARTIGO 105, BEM COMO DO PARÁGRAFO 6º, DO ARTIGO 125 (COM A REDAÇÃO DADA PELA EMENDA Nº 24) E DAS ALTERAÇÕES NO MAPA DE ZONEAMENTO DECORRENTES DAS EMENDAS NÚMEROS 32, 33 E 174. </w:t>
      </w:r>
      <w:r w:rsidRPr="003B5E71">
        <w:rPr>
          <w:rFonts w:asciiTheme="minorHAnsi" w:hAnsiTheme="minorHAnsi"/>
          <w:b/>
          <w:i/>
          <w:color w:val="000000"/>
          <w:sz w:val="22"/>
          <w:szCs w:val="22"/>
          <w:shd w:val="clear" w:color="auto" w:fill="FFFFFF"/>
        </w:rPr>
        <w:t xml:space="preserve">Dispositivos legais, alterados ou acrescidos por Emendas ao Plano Diretor, e que apenas aperfeiçoam o Projeto Original, mantendo, contudo, </w:t>
      </w:r>
      <w:r w:rsidRPr="003B5E71">
        <w:rPr>
          <w:rFonts w:asciiTheme="minorHAnsi" w:hAnsiTheme="minorHAnsi"/>
          <w:b/>
          <w:i/>
          <w:color w:val="000000"/>
          <w:sz w:val="22"/>
          <w:szCs w:val="22"/>
          <w:shd w:val="clear" w:color="auto" w:fill="FFFFFF"/>
        </w:rPr>
        <w:t>a pertinência temática, a estrutura pretendida pelo Administrador e decorrente dos estudos técnicos, não maltratam</w:t>
      </w:r>
      <w:r w:rsidRPr="003B5E71">
        <w:rPr>
          <w:rFonts w:asciiTheme="minorHAnsi" w:hAnsiTheme="minorHAnsi"/>
          <w:b/>
          <w:i/>
          <w:color w:val="000000"/>
          <w:sz w:val="22"/>
          <w:szCs w:val="22"/>
          <w:shd w:val="clear" w:color="auto" w:fill="FFFFFF"/>
        </w:rPr>
        <w:t xml:space="preserve"> o Princípio da Reserva da Administração. Aqueles outros, no entanto, que avançam sobre esses critérios e impõem nova conformação da Cidade, alteram as regras do próprio zoneamento, ou incorrem em necessidade de alterações na infraestrutura, acabam por violá-lo, incorrendo em inconstitucionalidade</w:t>
      </w:r>
      <w:r w:rsidRPr="003B5E71">
        <w:rPr>
          <w:rFonts w:asciiTheme="minorHAnsi" w:hAnsiTheme="minorHAnsi"/>
          <w:i/>
          <w:color w:val="000000"/>
          <w:sz w:val="22"/>
          <w:szCs w:val="22"/>
          <w:shd w:val="clear" w:color="auto" w:fill="FFFFFF"/>
        </w:rPr>
        <w:t>. AÇÃO PARCIALMENTE PROCEDENTE, NA PARTE EM QUE CONHECIDA.</w:t>
      </w:r>
    </w:p>
    <w:p w:rsidR="008D4956" w:rsidRPr="00226098" w:rsidP="008D4956">
      <w:pPr>
        <w:spacing w:after="0" w:line="240" w:lineRule="auto"/>
        <w:ind w:left="2268"/>
        <w:jc w:val="both"/>
        <w:rPr>
          <w:rFonts w:asciiTheme="minorHAnsi" w:hAnsiTheme="minorHAnsi"/>
          <w:i/>
          <w:color w:val="000000"/>
          <w:sz w:val="20"/>
          <w:shd w:val="clear" w:color="auto" w:fill="FFFFFF"/>
        </w:rPr>
      </w:pPr>
      <w:r w:rsidRPr="00226098">
        <w:rPr>
          <w:rFonts w:asciiTheme="minorHAnsi" w:hAnsiTheme="minorHAnsi"/>
          <w:i/>
          <w:color w:val="000000"/>
          <w:sz w:val="20"/>
          <w:shd w:val="clear" w:color="auto" w:fill="FFFFFF"/>
        </w:rPr>
        <w:t>(TJSP;</w:t>
      </w:r>
      <w:r w:rsidRPr="00226098">
        <w:rPr>
          <w:rFonts w:asciiTheme="minorHAnsi" w:hAnsiTheme="minorHAnsi"/>
          <w:i/>
          <w:color w:val="000000"/>
          <w:sz w:val="20"/>
          <w:shd w:val="clear" w:color="auto" w:fill="FFFFFF"/>
        </w:rPr>
        <w:t xml:space="preserve">  </w:t>
      </w:r>
      <w:r w:rsidRPr="00226098">
        <w:rPr>
          <w:rFonts w:asciiTheme="minorHAnsi" w:hAnsiTheme="minorHAnsi"/>
          <w:i/>
          <w:color w:val="000000"/>
          <w:sz w:val="20"/>
          <w:shd w:val="clear" w:color="auto" w:fill="FFFFFF"/>
        </w:rPr>
        <w:t>Direta de Inconstitucionalidade 2138826-16.2016.8.26.0000; Relator (a): Amorim Cantuária; Órgão Julgador: Órgão Especial; Tribunal de Justiça de São Paulo - N/A; Data do Julgamento: 01/02/2017; Data de Registro: 02/02/2017)</w:t>
      </w:r>
    </w:p>
    <w:p w:rsidR="00D76229" w:rsidRPr="003B5E71" w:rsidP="00D76229">
      <w:pPr>
        <w:spacing w:after="240" w:line="360" w:lineRule="auto"/>
        <w:ind w:firstLine="1701"/>
        <w:jc w:val="both"/>
        <w:rPr>
          <w:rFonts w:asciiTheme="minorHAnsi" w:hAnsiTheme="minorHAnsi" w:cs="Calibri"/>
          <w:color w:val="FF0000"/>
          <w:sz w:val="4"/>
          <w:szCs w:val="4"/>
        </w:rPr>
      </w:pPr>
    </w:p>
    <w:p w:rsidR="008D4956" w:rsidRPr="00491F87" w:rsidP="00C14149">
      <w:pPr>
        <w:pStyle w:val="NormalWeb"/>
        <w:spacing w:line="360" w:lineRule="auto"/>
        <w:ind w:firstLine="1701"/>
        <w:jc w:val="both"/>
        <w:rPr>
          <w:rFonts w:asciiTheme="minorHAnsi" w:hAnsiTheme="minorHAnsi" w:cstheme="minorHAnsi"/>
          <w:b/>
        </w:rPr>
      </w:pPr>
      <w:r w:rsidRPr="00491F87">
        <w:rPr>
          <w:rFonts w:asciiTheme="minorHAnsi" w:hAnsiTheme="minorHAnsi" w:cstheme="minorHAnsi"/>
          <w:b/>
        </w:rPr>
        <w:t>Deste modo, sugerimos a supressão do art. 10 por vulnerar a iniciativa privativa do Executivo</w:t>
      </w:r>
      <w:r w:rsidRPr="00491F87" w:rsidR="00B30329">
        <w:rPr>
          <w:rFonts w:asciiTheme="minorHAnsi" w:hAnsiTheme="minorHAnsi" w:cstheme="minorHAnsi"/>
          <w:b/>
        </w:rPr>
        <w:t xml:space="preserve"> (art. 80, inc. </w:t>
      </w:r>
      <w:r w:rsidRPr="00491F87" w:rsidR="00B30329">
        <w:rPr>
          <w:rFonts w:asciiTheme="minorHAnsi" w:hAnsiTheme="minorHAnsi" w:cstheme="minorHAnsi"/>
          <w:b/>
        </w:rPr>
        <w:t>XXI, LOM</w:t>
      </w:r>
      <w:r w:rsidRPr="00491F87" w:rsidR="00B30329">
        <w:rPr>
          <w:rFonts w:asciiTheme="minorHAnsi" w:hAnsiTheme="minorHAnsi" w:cstheme="minorHAnsi"/>
          <w:b/>
        </w:rPr>
        <w:t>)</w:t>
      </w:r>
      <w:r w:rsidRPr="00491F87">
        <w:rPr>
          <w:rFonts w:asciiTheme="minorHAnsi" w:hAnsiTheme="minorHAnsi" w:cstheme="minorHAnsi"/>
          <w:b/>
        </w:rPr>
        <w:t>.</w:t>
      </w:r>
    </w:p>
    <w:p w:rsidR="00795895" w:rsidRPr="003B5E71" w:rsidP="00C14149">
      <w:pPr>
        <w:pStyle w:val="NormalWeb"/>
        <w:spacing w:line="360" w:lineRule="auto"/>
        <w:ind w:firstLine="1701"/>
        <w:jc w:val="both"/>
        <w:rPr>
          <w:rFonts w:asciiTheme="minorHAnsi" w:hAnsiTheme="minorHAnsi" w:cstheme="minorHAnsi"/>
        </w:rPr>
      </w:pPr>
      <w:r w:rsidRPr="003B5E71">
        <w:rPr>
          <w:rFonts w:asciiTheme="minorHAnsi" w:hAnsiTheme="minorHAnsi" w:cstheme="minorHAnsi"/>
        </w:rPr>
        <w:t>Em seguimento, n</w:t>
      </w:r>
      <w:r w:rsidRPr="003B5E71">
        <w:rPr>
          <w:rFonts w:asciiTheme="minorHAnsi" w:hAnsiTheme="minorHAnsi" w:cstheme="minorHAnsi"/>
        </w:rPr>
        <w:t>o concernente à política urbana a Constituição Federal estabelece:</w:t>
      </w:r>
    </w:p>
    <w:p w:rsidR="00795895" w:rsidRPr="003B5E71" w:rsidP="00E17660">
      <w:pPr>
        <w:spacing w:after="0" w:line="240" w:lineRule="auto"/>
        <w:ind w:left="2268"/>
        <w:jc w:val="both"/>
        <w:rPr>
          <w:rFonts w:eastAsia="Calibri" w:asciiTheme="minorHAnsi" w:hAnsiTheme="minorHAnsi" w:cstheme="minorHAnsi"/>
          <w:i/>
          <w:sz w:val="22"/>
          <w:szCs w:val="22"/>
        </w:rPr>
      </w:pPr>
      <w:bookmarkStart w:id="9" w:name="cf-88-parte-1-titulo-7-capitulo-2-artigo"/>
      <w:bookmarkStart w:id="10" w:name="art182"/>
      <w:bookmarkEnd w:id="9"/>
      <w:bookmarkEnd w:id="10"/>
      <w:r w:rsidRPr="003B5E71">
        <w:rPr>
          <w:rFonts w:eastAsia="Calibri" w:asciiTheme="minorHAnsi" w:hAnsiTheme="minorHAnsi" w:cstheme="minorHAnsi"/>
          <w:i/>
          <w:sz w:val="22"/>
          <w:szCs w:val="22"/>
        </w:rPr>
        <w:t>Art. 182. A política de desenvolvimento urbano, executada pelo Poder Público municipal, conforme diretrizes gerais fixadas em lei</w:t>
      </w:r>
      <w:r w:rsidRPr="003B5E71">
        <w:rPr>
          <w:rFonts w:eastAsia="Calibri" w:asciiTheme="minorHAnsi" w:hAnsiTheme="minorHAnsi" w:cstheme="minorHAnsi"/>
          <w:i/>
          <w:sz w:val="22"/>
          <w:szCs w:val="22"/>
        </w:rPr>
        <w:t>, tem</w:t>
      </w:r>
      <w:r w:rsidRPr="003B5E71">
        <w:rPr>
          <w:rFonts w:eastAsia="Calibri" w:asciiTheme="minorHAnsi" w:hAnsiTheme="minorHAnsi" w:cstheme="minorHAnsi"/>
          <w:i/>
          <w:sz w:val="22"/>
          <w:szCs w:val="22"/>
        </w:rPr>
        <w:t xml:space="preserve"> por objetivo ordenar o pleno desenvolvimento das funções sociais da cidade e garantir o bem- estar de seus habitantes.         </w:t>
      </w:r>
      <w:hyperlink r:id="rId26" w:history="1">
        <w:r w:rsidRPr="003B5E71">
          <w:rPr>
            <w:rFonts w:eastAsia="Calibri" w:asciiTheme="minorHAnsi" w:hAnsiTheme="minorHAnsi" w:cstheme="minorHAnsi"/>
            <w:i/>
            <w:sz w:val="22"/>
            <w:szCs w:val="22"/>
          </w:rPr>
          <w:t>(Regulamento) </w:t>
        </w:r>
      </w:hyperlink>
      <w:r w:rsidRPr="003B5E71">
        <w:rPr>
          <w:rFonts w:eastAsia="Calibri" w:asciiTheme="minorHAnsi" w:hAnsiTheme="minorHAnsi" w:cstheme="minorHAnsi"/>
          <w:i/>
          <w:sz w:val="22"/>
          <w:szCs w:val="22"/>
        </w:rPr>
        <w:t>        (</w:t>
      </w:r>
      <w:hyperlink r:id="rId27" w:history="1">
        <w:r w:rsidRPr="003B5E71">
          <w:rPr>
            <w:rFonts w:eastAsia="Calibri" w:asciiTheme="minorHAnsi" w:hAnsiTheme="minorHAnsi" w:cstheme="minorHAnsi"/>
            <w:i/>
            <w:sz w:val="22"/>
            <w:szCs w:val="22"/>
          </w:rPr>
          <w:t>Vide Lei nº 13.311, de 11 de julho de 2016</w:t>
        </w:r>
      </w:hyperlink>
      <w:r w:rsidRPr="003B5E71">
        <w:rPr>
          <w:rFonts w:eastAsia="Calibri" w:asciiTheme="minorHAnsi" w:hAnsiTheme="minorHAnsi" w:cstheme="minorHAnsi"/>
          <w:i/>
          <w:sz w:val="22"/>
          <w:szCs w:val="22"/>
        </w:rPr>
        <w:t>)</w:t>
      </w:r>
    </w:p>
    <w:p w:rsidR="00333B5F" w:rsidRPr="003B5E71" w:rsidP="00C14149">
      <w:pPr>
        <w:pStyle w:val="NormalWeb"/>
        <w:spacing w:line="360" w:lineRule="auto"/>
        <w:ind w:firstLine="1701"/>
        <w:jc w:val="both"/>
        <w:rPr>
          <w:rFonts w:asciiTheme="minorHAnsi" w:hAnsiTheme="minorHAnsi" w:cstheme="minorHAnsi"/>
        </w:rPr>
      </w:pPr>
      <w:r w:rsidRPr="003B5E71">
        <w:rPr>
          <w:rFonts w:asciiTheme="minorHAnsi" w:hAnsiTheme="minorHAnsi" w:cstheme="minorHAnsi"/>
        </w:rPr>
        <w:t>N</w:t>
      </w:r>
      <w:r w:rsidRPr="003B5E71" w:rsidR="00DF00FE">
        <w:rPr>
          <w:rFonts w:asciiTheme="minorHAnsi" w:hAnsiTheme="minorHAnsi" w:cstheme="minorHAnsi"/>
        </w:rPr>
        <w:t>o mesmo</w:t>
      </w:r>
      <w:r w:rsidRPr="003B5E71">
        <w:rPr>
          <w:rFonts w:asciiTheme="minorHAnsi" w:hAnsiTheme="minorHAnsi" w:cstheme="minorHAnsi"/>
        </w:rPr>
        <w:t xml:space="preserve"> diapasão a</w:t>
      </w:r>
      <w:r w:rsidRPr="003B5E71" w:rsidR="004F157F">
        <w:rPr>
          <w:rFonts w:asciiTheme="minorHAnsi" w:hAnsiTheme="minorHAnsi" w:cstheme="minorHAnsi"/>
        </w:rPr>
        <w:t xml:space="preserve"> Constituição do Estado de São Paulo</w:t>
      </w:r>
      <w:r w:rsidRPr="003B5E71">
        <w:rPr>
          <w:rFonts w:asciiTheme="minorHAnsi" w:hAnsiTheme="minorHAnsi" w:cstheme="minorHAnsi"/>
        </w:rPr>
        <w:t xml:space="preserve"> dispõe</w:t>
      </w:r>
      <w:r w:rsidRPr="003B5E71" w:rsidR="004F157F">
        <w:rPr>
          <w:rFonts w:asciiTheme="minorHAnsi" w:hAnsiTheme="minorHAnsi" w:cstheme="minorHAnsi"/>
        </w:rPr>
        <w:t>:</w:t>
      </w:r>
    </w:p>
    <w:p w:rsidR="00C511EA" w:rsidRPr="00B5747D" w:rsidP="00B5747D">
      <w:pPr>
        <w:spacing w:after="120" w:line="240" w:lineRule="auto"/>
        <w:ind w:left="2268"/>
        <w:jc w:val="both"/>
        <w:rPr>
          <w:rFonts w:asciiTheme="minorHAnsi" w:hAnsiTheme="minorHAnsi" w:cs="Arial"/>
          <w:i/>
          <w:color w:val="000000"/>
          <w:sz w:val="22"/>
          <w:szCs w:val="22"/>
        </w:rPr>
      </w:pPr>
      <w:r w:rsidRPr="00B5747D">
        <w:rPr>
          <w:rFonts w:asciiTheme="minorHAnsi" w:hAnsiTheme="minorHAnsi" w:cs="Arial"/>
          <w:b/>
          <w:bCs/>
          <w:i/>
          <w:color w:val="000000"/>
          <w:sz w:val="22"/>
          <w:szCs w:val="22"/>
        </w:rPr>
        <w:t>Artigo 180 -</w:t>
      </w:r>
      <w:r w:rsidRPr="00B5747D">
        <w:rPr>
          <w:rFonts w:asciiTheme="minorHAnsi" w:hAnsiTheme="minorHAnsi" w:cs="Arial"/>
          <w:i/>
          <w:color w:val="000000"/>
          <w:sz w:val="22"/>
          <w:szCs w:val="22"/>
        </w:rPr>
        <w:t> No estabelecimento de diretrizes e normas relativas ao desenvolvimento urbano, o Estado e os Municípios assegurarão:</w:t>
      </w:r>
    </w:p>
    <w:p w:rsidR="00C511EA" w:rsidRPr="00B5747D" w:rsidP="00B5747D">
      <w:pPr>
        <w:spacing w:after="120" w:line="240" w:lineRule="auto"/>
        <w:ind w:left="2268"/>
        <w:jc w:val="both"/>
        <w:rPr>
          <w:rFonts w:asciiTheme="minorHAnsi" w:hAnsiTheme="minorHAnsi" w:cs="Arial"/>
          <w:i/>
          <w:color w:val="000000"/>
          <w:sz w:val="22"/>
          <w:szCs w:val="22"/>
        </w:rPr>
      </w:pPr>
      <w:r w:rsidRPr="00B5747D">
        <w:rPr>
          <w:rFonts w:asciiTheme="minorHAnsi" w:hAnsiTheme="minorHAnsi" w:cs="Arial"/>
          <w:b/>
          <w:bCs/>
          <w:i/>
          <w:color w:val="000000"/>
          <w:sz w:val="22"/>
          <w:szCs w:val="22"/>
        </w:rPr>
        <w:t>I - </w:t>
      </w:r>
      <w:r w:rsidRPr="00B5747D">
        <w:rPr>
          <w:rFonts w:asciiTheme="minorHAnsi" w:hAnsiTheme="minorHAnsi" w:cs="Arial"/>
          <w:i/>
          <w:color w:val="000000"/>
          <w:sz w:val="22"/>
          <w:szCs w:val="22"/>
        </w:rPr>
        <w:t>o pleno desenvolvimento das funções sociais da cidade e a garantia do bem-estar de seus habitantes;</w:t>
      </w:r>
    </w:p>
    <w:p w:rsidR="00C511EA" w:rsidRPr="00B5747D" w:rsidP="00B5747D">
      <w:pPr>
        <w:spacing w:after="120" w:line="240" w:lineRule="auto"/>
        <w:ind w:left="2268"/>
        <w:jc w:val="both"/>
        <w:rPr>
          <w:rFonts w:asciiTheme="minorHAnsi" w:hAnsiTheme="minorHAnsi" w:cs="Arial"/>
          <w:i/>
          <w:color w:val="000000"/>
          <w:sz w:val="22"/>
          <w:szCs w:val="22"/>
        </w:rPr>
      </w:pPr>
      <w:r w:rsidRPr="00B5747D">
        <w:rPr>
          <w:rFonts w:asciiTheme="minorHAnsi" w:hAnsiTheme="minorHAnsi" w:cs="Arial"/>
          <w:b/>
          <w:bCs/>
          <w:i/>
          <w:color w:val="000000"/>
          <w:sz w:val="22"/>
          <w:szCs w:val="22"/>
        </w:rPr>
        <w:t>II - </w:t>
      </w:r>
      <w:r w:rsidRPr="00B5747D">
        <w:rPr>
          <w:rFonts w:asciiTheme="minorHAnsi" w:hAnsiTheme="minorHAnsi" w:cs="Arial"/>
          <w:i/>
          <w:color w:val="000000"/>
          <w:sz w:val="22"/>
          <w:szCs w:val="22"/>
        </w:rPr>
        <w:t>a participação das respectivas entidades comunitárias no estudo, encaminhamento e solução dos problemas, planos, programas e projetos que lhes sejam concernentes;</w:t>
      </w:r>
    </w:p>
    <w:p w:rsidR="00C511EA" w:rsidRPr="00B5747D" w:rsidP="00B5747D">
      <w:pPr>
        <w:spacing w:after="120" w:line="240" w:lineRule="auto"/>
        <w:ind w:left="2268"/>
        <w:jc w:val="both"/>
        <w:rPr>
          <w:rFonts w:asciiTheme="minorHAnsi" w:hAnsiTheme="minorHAnsi" w:cs="Arial"/>
          <w:i/>
          <w:color w:val="000000"/>
          <w:sz w:val="22"/>
          <w:szCs w:val="22"/>
        </w:rPr>
      </w:pPr>
      <w:r w:rsidRPr="00B5747D">
        <w:rPr>
          <w:rFonts w:asciiTheme="minorHAnsi" w:hAnsiTheme="minorHAnsi" w:cs="Arial"/>
          <w:b/>
          <w:bCs/>
          <w:i/>
          <w:color w:val="000000"/>
          <w:sz w:val="22"/>
          <w:szCs w:val="22"/>
        </w:rPr>
        <w:t>III -</w:t>
      </w:r>
      <w:r w:rsidRPr="00B5747D">
        <w:rPr>
          <w:rFonts w:asciiTheme="minorHAnsi" w:hAnsiTheme="minorHAnsi" w:cs="Arial"/>
          <w:i/>
          <w:color w:val="000000"/>
          <w:sz w:val="22"/>
          <w:szCs w:val="22"/>
        </w:rPr>
        <w:t> a preservação, proteção e recuperação do meio ambiente urbano e cultural;</w:t>
      </w:r>
    </w:p>
    <w:p w:rsidR="00C511EA" w:rsidRPr="00B5747D" w:rsidP="00B5747D">
      <w:pPr>
        <w:spacing w:after="120" w:line="240" w:lineRule="auto"/>
        <w:ind w:left="2268"/>
        <w:jc w:val="both"/>
        <w:rPr>
          <w:rFonts w:asciiTheme="minorHAnsi" w:hAnsiTheme="minorHAnsi" w:cs="Arial"/>
          <w:i/>
          <w:color w:val="000000"/>
          <w:sz w:val="22"/>
          <w:szCs w:val="22"/>
        </w:rPr>
      </w:pPr>
      <w:r w:rsidRPr="00B5747D">
        <w:rPr>
          <w:rFonts w:asciiTheme="minorHAnsi" w:hAnsiTheme="minorHAnsi" w:cs="Arial"/>
          <w:b/>
          <w:bCs/>
          <w:i/>
          <w:color w:val="000000"/>
          <w:sz w:val="22"/>
          <w:szCs w:val="22"/>
        </w:rPr>
        <w:t>IV - </w:t>
      </w:r>
      <w:r w:rsidRPr="00B5747D">
        <w:rPr>
          <w:rFonts w:asciiTheme="minorHAnsi" w:hAnsiTheme="minorHAnsi" w:cs="Arial"/>
          <w:i/>
          <w:color w:val="000000"/>
          <w:sz w:val="22"/>
          <w:szCs w:val="22"/>
        </w:rPr>
        <w:t>a criação e manutenção de áreas de especial interesse histórico, urbanístico, ambiental, turístico e de utilização pública;</w:t>
      </w:r>
      <w:r w:rsidRPr="00B5747D">
        <w:rPr>
          <w:rFonts w:asciiTheme="minorHAnsi" w:hAnsiTheme="minorHAnsi" w:cs="Arial"/>
          <w:i/>
          <w:color w:val="000000"/>
          <w:sz w:val="22"/>
          <w:szCs w:val="22"/>
        </w:rPr>
        <w:br/>
      </w:r>
      <w:r w:rsidRPr="00B5747D">
        <w:rPr>
          <w:rFonts w:asciiTheme="minorHAnsi" w:hAnsiTheme="minorHAnsi" w:cs="Arial"/>
          <w:b/>
          <w:bCs/>
          <w:i/>
          <w:color w:val="000000"/>
          <w:sz w:val="22"/>
          <w:szCs w:val="22"/>
        </w:rPr>
        <w:t>V - </w:t>
      </w:r>
      <w:r w:rsidRPr="00B5747D">
        <w:rPr>
          <w:rFonts w:asciiTheme="minorHAnsi" w:hAnsiTheme="minorHAnsi" w:cs="Arial"/>
          <w:i/>
          <w:color w:val="000000"/>
          <w:sz w:val="22"/>
          <w:szCs w:val="22"/>
        </w:rPr>
        <w:t>a observância das normas urbanísticas, de segurança, higiene e qualidade de vida;</w:t>
      </w:r>
    </w:p>
    <w:p w:rsidR="00795895" w:rsidRPr="00B5747D" w:rsidP="00B5747D">
      <w:pPr>
        <w:spacing w:after="120" w:line="240" w:lineRule="auto"/>
        <w:ind w:left="2268"/>
        <w:jc w:val="both"/>
        <w:rPr>
          <w:rFonts w:asciiTheme="minorHAnsi" w:hAnsiTheme="minorHAnsi" w:cs="Arial"/>
          <w:i/>
          <w:color w:val="000000"/>
          <w:sz w:val="22"/>
          <w:szCs w:val="22"/>
        </w:rPr>
      </w:pPr>
      <w:r w:rsidRPr="00B5747D">
        <w:rPr>
          <w:rFonts w:asciiTheme="minorHAnsi" w:hAnsiTheme="minorHAnsi" w:cs="Arial"/>
          <w:b/>
          <w:bCs/>
          <w:i/>
          <w:color w:val="000000"/>
          <w:sz w:val="22"/>
          <w:szCs w:val="22"/>
        </w:rPr>
        <w:t>VI - </w:t>
      </w:r>
      <w:r w:rsidRPr="00B5747D">
        <w:rPr>
          <w:rFonts w:asciiTheme="minorHAnsi" w:hAnsiTheme="minorHAnsi" w:cs="Arial"/>
          <w:i/>
          <w:color w:val="000000"/>
          <w:sz w:val="22"/>
          <w:szCs w:val="22"/>
        </w:rPr>
        <w:t>a restrição à utilização de áreas de riscos geológicos;</w:t>
      </w:r>
    </w:p>
    <w:p w:rsidR="00795895" w:rsidRPr="00B5747D" w:rsidP="00B5747D">
      <w:pPr>
        <w:spacing w:after="120" w:line="240" w:lineRule="auto"/>
        <w:ind w:left="2268"/>
        <w:jc w:val="both"/>
        <w:rPr>
          <w:rFonts w:asciiTheme="minorHAnsi" w:hAnsiTheme="minorHAnsi" w:cs="Arial"/>
          <w:i/>
          <w:iCs/>
          <w:color w:val="0000FF"/>
          <w:sz w:val="22"/>
          <w:szCs w:val="22"/>
        </w:rPr>
      </w:pPr>
      <w:r w:rsidRPr="00B5747D">
        <w:rPr>
          <w:rFonts w:asciiTheme="minorHAnsi" w:hAnsiTheme="minorHAnsi" w:cs="Arial"/>
          <w:b/>
          <w:bCs/>
          <w:i/>
          <w:color w:val="000000"/>
          <w:sz w:val="22"/>
          <w:szCs w:val="22"/>
        </w:rPr>
        <w:t>(...)</w:t>
      </w:r>
    </w:p>
    <w:p w:rsidR="00795895" w:rsidRPr="00B5747D" w:rsidP="00B5747D">
      <w:pPr>
        <w:spacing w:after="120" w:line="240" w:lineRule="auto"/>
        <w:ind w:left="2268"/>
        <w:jc w:val="both"/>
        <w:rPr>
          <w:rFonts w:asciiTheme="minorHAnsi" w:hAnsiTheme="minorHAnsi" w:cs="Arial"/>
          <w:b/>
          <w:i/>
          <w:color w:val="000000"/>
          <w:sz w:val="22"/>
          <w:szCs w:val="22"/>
        </w:rPr>
      </w:pPr>
      <w:r w:rsidRPr="00B5747D">
        <w:rPr>
          <w:rFonts w:asciiTheme="minorHAnsi" w:hAnsiTheme="minorHAnsi" w:cs="Arial"/>
          <w:b/>
          <w:bCs/>
          <w:i/>
          <w:color w:val="000000"/>
          <w:sz w:val="22"/>
          <w:szCs w:val="22"/>
        </w:rPr>
        <w:t>Artigo 181 -</w:t>
      </w:r>
      <w:r w:rsidRPr="00B5747D">
        <w:rPr>
          <w:rFonts w:asciiTheme="minorHAnsi" w:hAnsiTheme="minorHAnsi" w:cs="Arial"/>
          <w:i/>
          <w:color w:val="000000"/>
          <w:sz w:val="22"/>
          <w:szCs w:val="22"/>
        </w:rPr>
        <w:t> </w:t>
      </w:r>
      <w:r w:rsidRPr="00B5747D">
        <w:rPr>
          <w:rFonts w:asciiTheme="minorHAnsi" w:hAnsiTheme="minorHAnsi" w:cs="Arial"/>
          <w:b/>
          <w:i/>
          <w:color w:val="000000"/>
          <w:sz w:val="22"/>
          <w:szCs w:val="22"/>
        </w:rPr>
        <w:t>Lei municipal estabelecerá em conformidade com as diretrizes do plano diretor, normas sobre zoneamento, loteamento, parcelamento, uso e ocupação do solo, índices urbanísticos, proteção ambiental e demais limitações administrativas pertinentes.</w:t>
      </w:r>
    </w:p>
    <w:p w:rsidR="00C511EA" w:rsidRPr="00B5747D" w:rsidP="00B5747D">
      <w:pPr>
        <w:spacing w:after="120" w:line="240" w:lineRule="auto"/>
        <w:ind w:left="2268"/>
        <w:jc w:val="both"/>
        <w:rPr>
          <w:rFonts w:asciiTheme="minorHAnsi" w:hAnsiTheme="minorHAnsi" w:cs="Arial"/>
          <w:i/>
          <w:color w:val="000000"/>
          <w:sz w:val="22"/>
          <w:szCs w:val="22"/>
        </w:rPr>
      </w:pPr>
      <w:r w:rsidRPr="00B5747D">
        <w:rPr>
          <w:rFonts w:asciiTheme="minorHAnsi" w:hAnsiTheme="minorHAnsi" w:cs="Arial"/>
          <w:b/>
          <w:bCs/>
          <w:i/>
          <w:color w:val="000000"/>
          <w:sz w:val="22"/>
          <w:szCs w:val="22"/>
        </w:rPr>
        <w:t>§1º - </w:t>
      </w:r>
      <w:r w:rsidRPr="00B5747D">
        <w:rPr>
          <w:rFonts w:asciiTheme="minorHAnsi" w:hAnsiTheme="minorHAnsi" w:cs="Arial"/>
          <w:i/>
          <w:color w:val="000000"/>
          <w:sz w:val="22"/>
          <w:szCs w:val="22"/>
        </w:rPr>
        <w:t>Os planos diretores, obrigatórios a todos os Municípios, deverão considerar a totalidade de seu território municipal.</w:t>
      </w:r>
    </w:p>
    <w:p w:rsidR="00C511EA" w:rsidRPr="00B5747D" w:rsidP="00B5747D">
      <w:pPr>
        <w:spacing w:after="120" w:line="240" w:lineRule="auto"/>
        <w:ind w:left="2268"/>
        <w:jc w:val="both"/>
        <w:rPr>
          <w:rFonts w:asciiTheme="minorHAnsi" w:hAnsiTheme="minorHAnsi" w:cs="Arial"/>
          <w:i/>
          <w:color w:val="000000"/>
          <w:sz w:val="22"/>
          <w:szCs w:val="22"/>
        </w:rPr>
      </w:pPr>
      <w:r w:rsidRPr="00B5747D">
        <w:rPr>
          <w:rFonts w:asciiTheme="minorHAnsi" w:hAnsiTheme="minorHAnsi" w:cs="Arial"/>
          <w:b/>
          <w:bCs/>
          <w:i/>
          <w:color w:val="000000"/>
          <w:sz w:val="22"/>
          <w:szCs w:val="22"/>
        </w:rPr>
        <w:t>§2º - </w:t>
      </w:r>
      <w:r w:rsidRPr="00B5747D">
        <w:rPr>
          <w:rFonts w:asciiTheme="minorHAnsi" w:hAnsiTheme="minorHAnsi" w:cs="Arial"/>
          <w:i/>
          <w:color w:val="000000"/>
          <w:sz w:val="22"/>
          <w:szCs w:val="22"/>
        </w:rPr>
        <w:t xml:space="preserve">Os Municípios observarão, quando for o caso, os parâmetros urbanísticos de interesse regional, fixados em lei estadual, prevalecendo, quando houver conflito, a norma de caráter mais </w:t>
      </w:r>
      <w:r w:rsidRPr="00B5747D">
        <w:rPr>
          <w:rFonts w:asciiTheme="minorHAnsi" w:hAnsiTheme="minorHAnsi" w:cs="Arial"/>
          <w:i/>
          <w:color w:val="000000"/>
          <w:sz w:val="22"/>
          <w:szCs w:val="22"/>
        </w:rPr>
        <w:t>restritivo, respeitadas</w:t>
      </w:r>
      <w:r w:rsidRPr="00B5747D">
        <w:rPr>
          <w:rFonts w:asciiTheme="minorHAnsi" w:hAnsiTheme="minorHAnsi" w:cs="Arial"/>
          <w:i/>
          <w:color w:val="000000"/>
          <w:sz w:val="22"/>
          <w:szCs w:val="22"/>
        </w:rPr>
        <w:t xml:space="preserve"> as respectivas autonomias.</w:t>
      </w:r>
    </w:p>
    <w:p w:rsidR="00C511EA" w:rsidRPr="00B5747D" w:rsidP="00B5747D">
      <w:pPr>
        <w:spacing w:after="120" w:line="240" w:lineRule="auto"/>
        <w:ind w:left="2268"/>
        <w:jc w:val="both"/>
        <w:rPr>
          <w:rFonts w:asciiTheme="minorHAnsi" w:hAnsiTheme="minorHAnsi" w:cs="Arial"/>
          <w:i/>
          <w:color w:val="000000"/>
          <w:sz w:val="22"/>
          <w:szCs w:val="22"/>
        </w:rPr>
      </w:pPr>
      <w:r w:rsidRPr="00B5747D">
        <w:rPr>
          <w:rFonts w:asciiTheme="minorHAnsi" w:hAnsiTheme="minorHAnsi" w:cs="Arial"/>
          <w:b/>
          <w:bCs/>
          <w:i/>
          <w:color w:val="000000"/>
          <w:sz w:val="22"/>
          <w:szCs w:val="22"/>
        </w:rPr>
        <w:t>§3º - </w:t>
      </w:r>
      <w:r w:rsidRPr="00B5747D">
        <w:rPr>
          <w:rFonts w:asciiTheme="minorHAnsi" w:hAnsiTheme="minorHAnsi" w:cs="Arial"/>
          <w:i/>
          <w:color w:val="000000"/>
          <w:sz w:val="22"/>
          <w:szCs w:val="22"/>
        </w:rPr>
        <w:t>Os Municípios estabelecerão, observadas as diretrizes fixadas para as regiões metropolitanas, microrregiões e aglomerações urbanas, critérios para regularização e urbanização, assentamentos e loteamentos irregulares.</w:t>
      </w:r>
    </w:p>
    <w:p w:rsidR="00C511EA" w:rsidRPr="00B5747D" w:rsidP="00B5747D">
      <w:pPr>
        <w:spacing w:after="120" w:line="240" w:lineRule="auto"/>
        <w:ind w:left="2268"/>
        <w:jc w:val="both"/>
        <w:rPr>
          <w:rFonts w:asciiTheme="minorHAnsi" w:hAnsiTheme="minorHAnsi" w:cs="Arial"/>
          <w:i/>
          <w:color w:val="000000"/>
          <w:sz w:val="22"/>
          <w:szCs w:val="22"/>
        </w:rPr>
      </w:pPr>
      <w:r w:rsidRPr="00B5747D">
        <w:rPr>
          <w:rFonts w:asciiTheme="minorHAnsi" w:hAnsiTheme="minorHAnsi" w:cs="Arial"/>
          <w:b/>
          <w:bCs/>
          <w:i/>
          <w:color w:val="000000"/>
          <w:sz w:val="22"/>
          <w:szCs w:val="22"/>
        </w:rPr>
        <w:t>§4º - </w:t>
      </w:r>
      <w:r w:rsidRPr="00B5747D">
        <w:rPr>
          <w:rFonts w:asciiTheme="minorHAnsi" w:hAnsiTheme="minorHAnsi" w:cs="Arial"/>
          <w:i/>
          <w:color w:val="000000"/>
          <w:sz w:val="22"/>
          <w:szCs w:val="22"/>
        </w:rPr>
        <w:t xml:space="preserve">É </w:t>
      </w:r>
      <w:r w:rsidRPr="00B5747D">
        <w:rPr>
          <w:rFonts w:asciiTheme="minorHAnsi" w:hAnsiTheme="minorHAnsi" w:cs="Arial"/>
          <w:i/>
          <w:color w:val="000000"/>
          <w:sz w:val="22"/>
          <w:szCs w:val="22"/>
        </w:rPr>
        <w:t>vedado</w:t>
      </w:r>
      <w:r w:rsidRPr="00B5747D">
        <w:rPr>
          <w:rFonts w:asciiTheme="minorHAnsi" w:hAnsiTheme="minorHAnsi" w:cs="Arial"/>
          <w:i/>
          <w:color w:val="000000"/>
          <w:sz w:val="22"/>
          <w:szCs w:val="22"/>
        </w:rPr>
        <w:t xml:space="preserve"> aos Municípios, nas suas legislações edilícias, a exigência de apresentação da planta interna para edificações unifamiliares. No caso de reformas, é </w:t>
      </w:r>
      <w:r w:rsidRPr="00B5747D">
        <w:rPr>
          <w:rFonts w:asciiTheme="minorHAnsi" w:hAnsiTheme="minorHAnsi" w:cs="Arial"/>
          <w:i/>
          <w:color w:val="000000"/>
          <w:sz w:val="22"/>
          <w:szCs w:val="22"/>
        </w:rPr>
        <w:t>vedado a exigência de qualquer tipo de autorização administrativa e apresentação da planta interna</w:t>
      </w:r>
      <w:r w:rsidRPr="00B5747D">
        <w:rPr>
          <w:rFonts w:asciiTheme="minorHAnsi" w:hAnsiTheme="minorHAnsi" w:cs="Arial"/>
          <w:i/>
          <w:color w:val="000000"/>
          <w:sz w:val="22"/>
          <w:szCs w:val="22"/>
        </w:rPr>
        <w:t xml:space="preserve"> para todas as edificações residenciais, desde que assistidas por profissionais habilitados. (NR)</w:t>
      </w:r>
    </w:p>
    <w:p w:rsidR="00C511EA" w:rsidRPr="00B5747D" w:rsidP="00B5747D">
      <w:pPr>
        <w:spacing w:after="120" w:line="240" w:lineRule="auto"/>
        <w:ind w:left="2268"/>
        <w:jc w:val="both"/>
        <w:rPr>
          <w:rFonts w:asciiTheme="minorHAnsi" w:hAnsiTheme="minorHAnsi" w:cs="Arial"/>
          <w:i/>
          <w:iCs/>
          <w:color w:val="0000FF"/>
          <w:sz w:val="22"/>
          <w:szCs w:val="22"/>
        </w:rPr>
      </w:pPr>
      <w:r w:rsidRPr="00B5747D">
        <w:rPr>
          <w:rFonts w:asciiTheme="minorHAnsi" w:hAnsiTheme="minorHAnsi" w:cs="Arial"/>
          <w:i/>
          <w:iCs/>
          <w:color w:val="0000FF"/>
          <w:sz w:val="22"/>
          <w:szCs w:val="22"/>
        </w:rPr>
        <w:t>- § 4º acrescentado pela </w:t>
      </w:r>
      <w:hyperlink r:id="rId28" w:tgtFrame="_top" w:history="1">
        <w:r w:rsidRPr="00B5747D">
          <w:rPr>
            <w:rFonts w:asciiTheme="minorHAnsi" w:hAnsiTheme="minorHAnsi" w:cs="Arial"/>
            <w:i/>
            <w:iCs/>
            <w:color w:val="0000FF"/>
            <w:sz w:val="22"/>
            <w:szCs w:val="22"/>
            <w:u w:val="single"/>
          </w:rPr>
          <w:t>Emenda Constitucional nº 16, de 25/11/2002</w:t>
        </w:r>
      </w:hyperlink>
      <w:r w:rsidRPr="00B5747D">
        <w:rPr>
          <w:rFonts w:asciiTheme="minorHAnsi" w:hAnsiTheme="minorHAnsi" w:cs="Arial"/>
          <w:i/>
          <w:iCs/>
          <w:color w:val="0000FF"/>
          <w:sz w:val="22"/>
          <w:szCs w:val="22"/>
        </w:rPr>
        <w:t>.</w:t>
      </w:r>
    </w:p>
    <w:p w:rsidR="00E17660" w:rsidRPr="00B5747D" w:rsidP="00B5747D">
      <w:pPr>
        <w:spacing w:after="120" w:line="240" w:lineRule="auto"/>
        <w:ind w:left="2268"/>
        <w:jc w:val="both"/>
        <w:rPr>
          <w:rFonts w:asciiTheme="minorHAnsi" w:hAnsiTheme="minorHAnsi" w:cs="Arial"/>
          <w:i/>
          <w:color w:val="000000"/>
          <w:sz w:val="22"/>
          <w:szCs w:val="22"/>
        </w:rPr>
      </w:pPr>
    </w:p>
    <w:p w:rsidR="00C511EA" w:rsidP="00B5747D">
      <w:pPr>
        <w:spacing w:after="120" w:line="240" w:lineRule="auto"/>
        <w:ind w:left="2268"/>
        <w:jc w:val="both"/>
        <w:rPr>
          <w:rFonts w:asciiTheme="minorHAnsi" w:hAnsiTheme="minorHAnsi" w:cs="Arial"/>
          <w:i/>
          <w:color w:val="000000"/>
          <w:sz w:val="22"/>
          <w:szCs w:val="22"/>
        </w:rPr>
      </w:pPr>
      <w:r w:rsidRPr="00B5747D">
        <w:rPr>
          <w:rFonts w:asciiTheme="minorHAnsi" w:hAnsiTheme="minorHAnsi" w:cs="Arial"/>
          <w:b/>
          <w:bCs/>
          <w:i/>
          <w:color w:val="000000"/>
          <w:sz w:val="22"/>
          <w:szCs w:val="22"/>
        </w:rPr>
        <w:t>Artigo 182 - </w:t>
      </w:r>
      <w:r w:rsidRPr="00B5747D">
        <w:rPr>
          <w:rFonts w:asciiTheme="minorHAnsi" w:hAnsiTheme="minorHAnsi" w:cs="Arial"/>
          <w:i/>
          <w:color w:val="000000"/>
          <w:sz w:val="22"/>
          <w:szCs w:val="22"/>
        </w:rPr>
        <w:t>Incumbe ao Estado e aos Municípios promover programas de construção de moradias populares, de melhoria das condições habitacionais e de saneamento básico.</w:t>
      </w:r>
    </w:p>
    <w:p w:rsidR="00B5747D" w:rsidRPr="00B5747D" w:rsidP="00B5747D">
      <w:pPr>
        <w:spacing w:after="120" w:line="240" w:lineRule="auto"/>
        <w:ind w:left="2268"/>
        <w:jc w:val="both"/>
        <w:rPr>
          <w:rFonts w:asciiTheme="minorHAnsi" w:hAnsiTheme="minorHAnsi" w:cs="Arial"/>
          <w:i/>
          <w:color w:val="000000"/>
          <w:sz w:val="22"/>
          <w:szCs w:val="22"/>
        </w:rPr>
      </w:pPr>
    </w:p>
    <w:p w:rsidR="00C511EA" w:rsidRPr="00B5747D" w:rsidP="00B5747D">
      <w:pPr>
        <w:spacing w:after="120" w:line="240" w:lineRule="auto"/>
        <w:ind w:left="2268"/>
        <w:jc w:val="both"/>
        <w:rPr>
          <w:rFonts w:asciiTheme="minorHAnsi" w:hAnsiTheme="minorHAnsi" w:cs="Arial"/>
          <w:i/>
          <w:color w:val="000000"/>
          <w:sz w:val="22"/>
          <w:szCs w:val="22"/>
        </w:rPr>
      </w:pPr>
      <w:r w:rsidRPr="00B5747D">
        <w:rPr>
          <w:rFonts w:asciiTheme="minorHAnsi" w:hAnsiTheme="minorHAnsi" w:cs="Arial"/>
          <w:b/>
          <w:bCs/>
          <w:i/>
          <w:color w:val="000000"/>
          <w:sz w:val="22"/>
          <w:szCs w:val="22"/>
        </w:rPr>
        <w:t>Artigo 183 - </w:t>
      </w:r>
      <w:r w:rsidRPr="00B5747D">
        <w:rPr>
          <w:rFonts w:asciiTheme="minorHAnsi" w:hAnsiTheme="minorHAnsi" w:cs="Arial"/>
          <w:i/>
          <w:color w:val="000000"/>
          <w:sz w:val="22"/>
          <w:szCs w:val="22"/>
        </w:rPr>
        <w:t>Ao Estado, em consonância com seus objetivos de desenvolvimento econômico e social, cabe estabelecer, mediante lei, diretrizes para localização e integração das atividades industriais, considerando os aspectos ambientais, locacionais, sociais, econômicos e estratégicos, e atendendo ao melhor aproveitamento das condições naturais urbanas e de organização especial.</w:t>
      </w:r>
    </w:p>
    <w:p w:rsidR="00795895" w:rsidRPr="00B5747D" w:rsidP="00B5747D">
      <w:pPr>
        <w:spacing w:after="120" w:line="240" w:lineRule="auto"/>
        <w:ind w:left="2268"/>
        <w:jc w:val="both"/>
        <w:rPr>
          <w:rFonts w:asciiTheme="minorHAnsi" w:hAnsiTheme="minorHAnsi" w:cs="Arial"/>
          <w:b/>
          <w:i/>
          <w:color w:val="000000"/>
          <w:sz w:val="22"/>
          <w:szCs w:val="22"/>
        </w:rPr>
      </w:pPr>
      <w:r w:rsidRPr="00B5747D">
        <w:rPr>
          <w:rFonts w:asciiTheme="minorHAnsi" w:hAnsiTheme="minorHAnsi" w:cs="Arial"/>
          <w:b/>
          <w:bCs/>
          <w:i/>
          <w:color w:val="000000"/>
          <w:sz w:val="22"/>
          <w:szCs w:val="22"/>
        </w:rPr>
        <w:t>Parágrafo único -</w:t>
      </w:r>
      <w:r w:rsidRPr="00B5747D">
        <w:rPr>
          <w:rFonts w:asciiTheme="minorHAnsi" w:hAnsiTheme="minorHAnsi" w:cs="Arial"/>
          <w:i/>
          <w:color w:val="000000"/>
          <w:sz w:val="22"/>
          <w:szCs w:val="22"/>
        </w:rPr>
        <w:t> </w:t>
      </w:r>
      <w:r w:rsidRPr="00B5747D">
        <w:rPr>
          <w:rFonts w:asciiTheme="minorHAnsi" w:hAnsiTheme="minorHAnsi" w:cs="Arial"/>
          <w:b/>
          <w:i/>
          <w:color w:val="000000"/>
          <w:sz w:val="22"/>
          <w:szCs w:val="22"/>
        </w:rPr>
        <w:t xml:space="preserve">Competem aos Municípios, de acordo com as respectivas diretrizes de desenvolvimento urbano, a criação e a regulamentação de zonas industriais, obedecidos os critérios </w:t>
      </w:r>
      <w:r w:rsidRPr="00B5747D">
        <w:rPr>
          <w:rFonts w:asciiTheme="minorHAnsi" w:hAnsiTheme="minorHAnsi" w:cs="Arial"/>
          <w:b/>
          <w:i/>
          <w:color w:val="000000"/>
          <w:sz w:val="22"/>
          <w:szCs w:val="22"/>
        </w:rPr>
        <w:t xml:space="preserve">estabelecidos pelo Estado, mediante lei, e respeitadas </w:t>
      </w:r>
      <w:r w:rsidRPr="00B5747D">
        <w:rPr>
          <w:rFonts w:asciiTheme="minorHAnsi" w:hAnsiTheme="minorHAnsi" w:cs="Arial"/>
          <w:b/>
          <w:i/>
          <w:color w:val="000000"/>
          <w:sz w:val="22"/>
          <w:szCs w:val="22"/>
        </w:rPr>
        <w:t>as</w:t>
      </w:r>
      <w:r w:rsidRPr="00B5747D">
        <w:rPr>
          <w:rFonts w:asciiTheme="minorHAnsi" w:hAnsiTheme="minorHAnsi" w:cs="Arial"/>
          <w:b/>
          <w:i/>
          <w:color w:val="000000"/>
          <w:sz w:val="22"/>
          <w:szCs w:val="22"/>
        </w:rPr>
        <w:t xml:space="preserve"> normas relacionadas ao uso e ocupação do solo e ao meio ambiente urbano e natural.</w:t>
      </w:r>
    </w:p>
    <w:p w:rsidR="00795895" w:rsidRPr="00B5747D" w:rsidP="00B5747D">
      <w:pPr>
        <w:spacing w:after="120" w:line="240" w:lineRule="auto"/>
        <w:ind w:left="2268"/>
        <w:jc w:val="both"/>
        <w:rPr>
          <w:rFonts w:asciiTheme="minorHAnsi" w:hAnsiTheme="minorHAnsi" w:cs="Arial"/>
          <w:i/>
          <w:color w:val="000000"/>
          <w:sz w:val="22"/>
          <w:szCs w:val="22"/>
        </w:rPr>
      </w:pPr>
      <w:r w:rsidRPr="00B5747D">
        <w:rPr>
          <w:rFonts w:asciiTheme="minorHAnsi" w:hAnsiTheme="minorHAnsi" w:cs="Arial"/>
          <w:i/>
          <w:color w:val="000000"/>
          <w:sz w:val="22"/>
          <w:szCs w:val="22"/>
        </w:rPr>
        <w:t>(...)</w:t>
      </w:r>
    </w:p>
    <w:p w:rsidR="00795895" w:rsidRPr="00B5747D" w:rsidP="00B5747D">
      <w:pPr>
        <w:spacing w:after="120" w:line="240" w:lineRule="auto"/>
        <w:ind w:left="2268"/>
        <w:jc w:val="both"/>
        <w:rPr>
          <w:rFonts w:asciiTheme="minorHAnsi" w:hAnsiTheme="minorHAnsi" w:cs="Arial"/>
          <w:b/>
          <w:i/>
          <w:color w:val="000000"/>
          <w:sz w:val="22"/>
          <w:szCs w:val="22"/>
        </w:rPr>
      </w:pPr>
      <w:r w:rsidRPr="00B5747D">
        <w:rPr>
          <w:rStyle w:val="Strong"/>
          <w:rFonts w:asciiTheme="minorHAnsi" w:hAnsiTheme="minorHAnsi" w:cs="Arial"/>
          <w:i/>
          <w:color w:val="000000"/>
          <w:sz w:val="22"/>
          <w:szCs w:val="22"/>
        </w:rPr>
        <w:t>Artigo 191 -</w:t>
      </w:r>
      <w:r w:rsidRPr="00B5747D">
        <w:rPr>
          <w:rFonts w:asciiTheme="minorHAnsi" w:hAnsiTheme="minorHAnsi" w:cs="Arial"/>
          <w:i/>
          <w:color w:val="000000"/>
          <w:sz w:val="22"/>
          <w:szCs w:val="22"/>
        </w:rPr>
        <w:t xml:space="preserve"> O Estado e os </w:t>
      </w:r>
      <w:r w:rsidRPr="00B5747D">
        <w:rPr>
          <w:rFonts w:asciiTheme="minorHAnsi" w:hAnsiTheme="minorHAnsi" w:cs="Arial"/>
          <w:b/>
          <w:i/>
          <w:color w:val="000000"/>
          <w:sz w:val="22"/>
          <w:szCs w:val="22"/>
        </w:rPr>
        <w:t xml:space="preserve">Municípios providenciarão, com a participação da coletividade, a preservação, conservação, defesa, recuperação e melhoria do meio ambiente natural, artificial e do trabalho, </w:t>
      </w:r>
      <w:r w:rsidRPr="00B5747D">
        <w:rPr>
          <w:rFonts w:asciiTheme="minorHAnsi" w:hAnsiTheme="minorHAnsi" w:cs="Arial"/>
          <w:b/>
          <w:i/>
          <w:color w:val="000000"/>
          <w:sz w:val="22"/>
          <w:szCs w:val="22"/>
        </w:rPr>
        <w:t>atendidas</w:t>
      </w:r>
      <w:r w:rsidRPr="00B5747D">
        <w:rPr>
          <w:rFonts w:asciiTheme="minorHAnsi" w:hAnsiTheme="minorHAnsi" w:cs="Arial"/>
          <w:b/>
          <w:i/>
          <w:color w:val="000000"/>
          <w:sz w:val="22"/>
          <w:szCs w:val="22"/>
        </w:rPr>
        <w:t xml:space="preserve"> as peculiaridades regionais e locais e em harmonia com o desenvolvimento social e econômico.</w:t>
      </w:r>
    </w:p>
    <w:p w:rsidR="00795895" w:rsidRPr="00B5747D" w:rsidP="00B5747D">
      <w:pPr>
        <w:spacing w:after="120" w:line="240" w:lineRule="auto"/>
        <w:ind w:left="2268"/>
        <w:jc w:val="both"/>
        <w:rPr>
          <w:rFonts w:asciiTheme="minorHAnsi" w:hAnsiTheme="minorHAnsi" w:cstheme="minorHAnsi"/>
          <w:i/>
          <w:sz w:val="22"/>
          <w:szCs w:val="22"/>
        </w:rPr>
      </w:pPr>
      <w:r w:rsidRPr="00B5747D">
        <w:rPr>
          <w:rStyle w:val="Strong"/>
          <w:rFonts w:asciiTheme="minorHAnsi" w:hAnsiTheme="minorHAnsi" w:cs="Arial"/>
          <w:i/>
          <w:color w:val="000000"/>
          <w:sz w:val="22"/>
          <w:szCs w:val="22"/>
        </w:rPr>
        <w:t>Artigo 192 -</w:t>
      </w:r>
      <w:r w:rsidRPr="00B5747D">
        <w:rPr>
          <w:rFonts w:asciiTheme="minorHAnsi" w:hAnsiTheme="minorHAnsi" w:cs="Arial"/>
          <w:i/>
          <w:color w:val="000000"/>
          <w:sz w:val="22"/>
          <w:szCs w:val="22"/>
        </w:rPr>
        <w:t xml:space="preserve"> A execução de obras, atividades, processos produtivos e empreendimentos e a exploração de recursos naturais de qualquer espécie, quer pelo setor público, quer pelo privado, serão admitidas se houver resguardo do meio ambiente </w:t>
      </w:r>
      <w:r w:rsidRPr="00B5747D">
        <w:rPr>
          <w:rFonts w:asciiTheme="minorHAnsi" w:hAnsiTheme="minorHAnsi" w:cstheme="minorHAnsi"/>
          <w:i/>
          <w:sz w:val="22"/>
          <w:szCs w:val="22"/>
        </w:rPr>
        <w:t>ecologicamente equilibrado.</w:t>
      </w:r>
    </w:p>
    <w:p w:rsidR="00DF00FE" w:rsidRPr="003B5E71" w:rsidP="00DF00FE">
      <w:pPr>
        <w:pStyle w:val="NormalWeb"/>
        <w:spacing w:before="120" w:beforeAutospacing="0" w:after="120" w:afterAutospacing="0" w:line="360" w:lineRule="auto"/>
        <w:ind w:firstLine="1701"/>
        <w:jc w:val="both"/>
        <w:rPr>
          <w:rFonts w:asciiTheme="minorHAnsi" w:hAnsiTheme="minorHAnsi" w:cstheme="minorHAnsi"/>
          <w:sz w:val="12"/>
          <w:szCs w:val="12"/>
        </w:rPr>
      </w:pPr>
    </w:p>
    <w:p w:rsidR="00333B5F" w:rsidRPr="003B5E71" w:rsidP="00DF00FE">
      <w:pPr>
        <w:pStyle w:val="NormalWeb"/>
        <w:spacing w:before="120" w:beforeAutospacing="0" w:after="120" w:afterAutospacing="0" w:line="360" w:lineRule="auto"/>
        <w:ind w:firstLine="1701"/>
        <w:jc w:val="both"/>
        <w:rPr>
          <w:rFonts w:asciiTheme="minorHAnsi" w:hAnsiTheme="minorHAnsi" w:cstheme="minorHAnsi"/>
        </w:rPr>
      </w:pPr>
      <w:r>
        <w:rPr>
          <w:rFonts w:asciiTheme="minorHAnsi" w:hAnsiTheme="minorHAnsi" w:cstheme="minorHAnsi"/>
        </w:rPr>
        <w:t>A esse respeito, urge ressaltar</w:t>
      </w:r>
      <w:r w:rsidRPr="003B5E71" w:rsidR="00DF00FE">
        <w:rPr>
          <w:rFonts w:asciiTheme="minorHAnsi" w:hAnsiTheme="minorHAnsi" w:cstheme="minorHAnsi"/>
        </w:rPr>
        <w:t xml:space="preserve"> entendimento da E. Corte Paulista</w:t>
      </w:r>
      <w:r>
        <w:rPr>
          <w:rFonts w:asciiTheme="minorHAnsi" w:hAnsiTheme="minorHAnsi" w:cstheme="minorHAnsi"/>
        </w:rPr>
        <w:t xml:space="preserve"> acerca da </w:t>
      </w:r>
      <w:r w:rsidRPr="005B622B">
        <w:rPr>
          <w:rFonts w:asciiTheme="minorHAnsi" w:hAnsiTheme="minorHAnsi" w:cstheme="minorHAnsi"/>
          <w:b/>
          <w:u w:val="single"/>
        </w:rPr>
        <w:t>imprescindibilidade</w:t>
      </w:r>
      <w:r w:rsidRPr="005B622B" w:rsidR="00DF00FE">
        <w:rPr>
          <w:rFonts w:asciiTheme="minorHAnsi" w:hAnsiTheme="minorHAnsi" w:cstheme="minorHAnsi"/>
          <w:b/>
          <w:u w:val="single"/>
        </w:rPr>
        <w:t xml:space="preserve"> </w:t>
      </w:r>
      <w:r w:rsidRPr="005B622B">
        <w:rPr>
          <w:rFonts w:asciiTheme="minorHAnsi" w:hAnsiTheme="minorHAnsi" w:cstheme="minorHAnsi"/>
          <w:b/>
          <w:u w:val="single"/>
        </w:rPr>
        <w:t>de</w:t>
      </w:r>
      <w:r w:rsidRPr="005B622B" w:rsidR="00DF00FE">
        <w:rPr>
          <w:rFonts w:asciiTheme="minorHAnsi" w:hAnsiTheme="minorHAnsi" w:cstheme="minorHAnsi"/>
          <w:b/>
          <w:u w:val="single"/>
        </w:rPr>
        <w:t xml:space="preserve"> participação p</w:t>
      </w:r>
      <w:r w:rsidRPr="005B622B" w:rsidR="00151AF8">
        <w:rPr>
          <w:rFonts w:asciiTheme="minorHAnsi" w:hAnsiTheme="minorHAnsi" w:cstheme="minorHAnsi"/>
          <w:b/>
          <w:u w:val="single"/>
        </w:rPr>
        <w:t xml:space="preserve">opular e comunitária, bem como </w:t>
      </w:r>
      <w:r w:rsidRPr="005B622B">
        <w:rPr>
          <w:rFonts w:asciiTheme="minorHAnsi" w:hAnsiTheme="minorHAnsi" w:cstheme="minorHAnsi"/>
          <w:b/>
          <w:u w:val="single"/>
        </w:rPr>
        <w:t>d</w:t>
      </w:r>
      <w:r w:rsidRPr="005B622B" w:rsidR="00DF00FE">
        <w:rPr>
          <w:rFonts w:asciiTheme="minorHAnsi" w:hAnsiTheme="minorHAnsi" w:cstheme="minorHAnsi"/>
          <w:b/>
          <w:u w:val="single"/>
        </w:rPr>
        <w:t>a</w:t>
      </w:r>
      <w:r w:rsidR="00603ECF">
        <w:rPr>
          <w:rFonts w:asciiTheme="minorHAnsi" w:hAnsiTheme="minorHAnsi" w:cstheme="minorHAnsi"/>
          <w:b/>
          <w:u w:val="single"/>
        </w:rPr>
        <w:t xml:space="preserve"> realização de estudos técnicos</w:t>
      </w:r>
      <w:r w:rsidRPr="005B622B" w:rsidR="00DF00FE">
        <w:rPr>
          <w:rFonts w:asciiTheme="minorHAnsi" w:hAnsiTheme="minorHAnsi" w:cstheme="minorHAnsi"/>
          <w:b/>
          <w:u w:val="single"/>
        </w:rPr>
        <w:t xml:space="preserve"> durante o processo legiferante em matérias urbanísticas,</w:t>
      </w:r>
      <w:r w:rsidRPr="003B5E71" w:rsidR="00DF00FE">
        <w:rPr>
          <w:rFonts w:asciiTheme="minorHAnsi" w:hAnsiTheme="minorHAnsi" w:cstheme="minorHAnsi"/>
        </w:rPr>
        <w:t xml:space="preserve"> vejamos:</w:t>
      </w:r>
    </w:p>
    <w:p w:rsidR="003B5E71" w:rsidRPr="003B5E71" w:rsidP="003B5E71">
      <w:pPr>
        <w:pStyle w:val="NormalWeb"/>
        <w:pBdr>
          <w:bottom w:val="single" w:sz="12" w:space="1" w:color="auto"/>
        </w:pBdr>
        <w:spacing w:before="120" w:beforeAutospacing="0" w:after="120" w:afterAutospacing="0"/>
        <w:ind w:left="2268"/>
        <w:jc w:val="both"/>
        <w:rPr>
          <w:rFonts w:asciiTheme="minorHAnsi" w:hAnsiTheme="minorHAnsi" w:cs="Arial"/>
          <w:i/>
          <w:color w:val="000000"/>
          <w:sz w:val="20"/>
          <w:szCs w:val="20"/>
        </w:rPr>
      </w:pPr>
      <w:r w:rsidRPr="003B5E71">
        <w:rPr>
          <w:rFonts w:asciiTheme="minorHAnsi" w:hAnsiTheme="minorHAnsi"/>
          <w:i/>
          <w:color w:val="000000"/>
          <w:sz w:val="22"/>
          <w:szCs w:val="22"/>
          <w:shd w:val="clear" w:color="auto" w:fill="FFFFFF"/>
        </w:rPr>
        <w:t xml:space="preserve">1. Ação direta de inconstitucionalidade proposta pelo Procurador-Geral de Justiça do Estado de São Paulo, contra a Lei n. 4.454/2020 do Município de Itapeva. 2. </w:t>
      </w:r>
      <w:r w:rsidRPr="003B5E71">
        <w:rPr>
          <w:rFonts w:asciiTheme="minorHAnsi" w:hAnsiTheme="minorHAnsi"/>
          <w:b/>
          <w:i/>
          <w:color w:val="000000"/>
          <w:sz w:val="22"/>
          <w:szCs w:val="22"/>
          <w:shd w:val="clear" w:color="auto" w:fill="FFFFFF"/>
        </w:rPr>
        <w:t xml:space="preserve">Lei que trata de matéria urbanística. </w:t>
      </w:r>
      <w:r w:rsidRPr="003B5E71">
        <w:rPr>
          <w:rFonts w:asciiTheme="minorHAnsi" w:hAnsiTheme="minorHAnsi" w:cs="Arial"/>
          <w:b/>
          <w:i/>
          <w:color w:val="000000"/>
          <w:sz w:val="22"/>
          <w:szCs w:val="22"/>
        </w:rPr>
        <w:t xml:space="preserve">Necessidade de observância dos arts. 180, II, da Constituição do Estado de São Paulo, e. </w:t>
      </w:r>
      <w:r w:rsidRPr="003B5E71">
        <w:rPr>
          <w:rFonts w:asciiTheme="minorHAnsi" w:hAnsiTheme="minorHAnsi" w:cs="Arial"/>
          <w:b/>
          <w:i/>
          <w:color w:val="000000"/>
          <w:sz w:val="22"/>
          <w:szCs w:val="22"/>
        </w:rPr>
        <w:t>29, XII</w:t>
      </w:r>
      <w:r w:rsidRPr="003B5E71">
        <w:rPr>
          <w:rFonts w:asciiTheme="minorHAnsi" w:hAnsiTheme="minorHAnsi" w:cs="Arial"/>
          <w:b/>
          <w:i/>
          <w:color w:val="000000"/>
          <w:sz w:val="22"/>
          <w:szCs w:val="22"/>
        </w:rPr>
        <w:t xml:space="preserve"> da Constituição Federal. 3. Participação popular não evidenciada no caso em tela</w:t>
      </w:r>
      <w:r w:rsidRPr="003B5E71">
        <w:rPr>
          <w:rFonts w:asciiTheme="minorHAnsi" w:hAnsiTheme="minorHAnsi" w:cs="Arial"/>
          <w:i/>
          <w:color w:val="000000"/>
          <w:sz w:val="22"/>
          <w:szCs w:val="22"/>
        </w:rPr>
        <w:t xml:space="preserve">, visto que dos autos do processo legislativo consta apenas edital de convocação de audiência virtual. Inexistência de qualquer espécie de registro ou ata que demonstre a efetiva participação no caso em tela. 4. Inexistência de planejamento e estudos técnicos prévios em relação ao objeto da lei. Insuficiência de mero parecer de Comissão Municipal que se limitou a aprovar contrapartida proposta por interessado na alteração do zoneamento, sem examinar concretamente o impacto da alteração e a contrapartida ofertada. 5. PROCEDÊNCIA, INDEFERIDO O REQUERIMENTO DE INGRESSO DE AMICUS CUARIAE. </w:t>
      </w:r>
      <w:r w:rsidRPr="003B5E71">
        <w:rPr>
          <w:rFonts w:asciiTheme="minorHAnsi" w:hAnsiTheme="minorHAnsi" w:cs="Arial"/>
          <w:i/>
          <w:color w:val="000000"/>
          <w:sz w:val="20"/>
          <w:szCs w:val="20"/>
        </w:rPr>
        <w:t>(TJSP;</w:t>
      </w:r>
      <w:r w:rsidRPr="003B5E71">
        <w:rPr>
          <w:rFonts w:asciiTheme="minorHAnsi" w:hAnsiTheme="minorHAnsi" w:cs="Arial"/>
          <w:i/>
          <w:color w:val="000000"/>
          <w:sz w:val="20"/>
          <w:szCs w:val="20"/>
        </w:rPr>
        <w:t xml:space="preserve">  </w:t>
      </w:r>
      <w:r w:rsidRPr="003B5E71">
        <w:rPr>
          <w:rFonts w:asciiTheme="minorHAnsi" w:hAnsiTheme="minorHAnsi" w:cs="Arial"/>
          <w:i/>
          <w:color w:val="000000"/>
          <w:sz w:val="20"/>
          <w:szCs w:val="20"/>
        </w:rPr>
        <w:t>Direta de Inconstitucionalidade 2293754-75.2023.8.26.0000; Relator (a): Campos Mello; Órgão Julgador: Órgão Especial; Tribunal de Justiça de São Paulo - N/A; Data do Julgamento: 08/05/2024; Data de Registro: 09/05/2024)</w:t>
      </w:r>
    </w:p>
    <w:p w:rsidR="003B5E71" w:rsidRPr="003B5E71" w:rsidP="00333B5F">
      <w:pPr>
        <w:pStyle w:val="NormalWeb"/>
        <w:spacing w:before="120" w:beforeAutospacing="0" w:after="120" w:afterAutospacing="0"/>
        <w:ind w:left="2268"/>
        <w:jc w:val="both"/>
        <w:rPr>
          <w:rFonts w:asciiTheme="minorHAnsi" w:hAnsiTheme="minorHAnsi" w:cstheme="minorHAnsi"/>
          <w:i/>
          <w:sz w:val="12"/>
          <w:szCs w:val="12"/>
        </w:rPr>
      </w:pPr>
    </w:p>
    <w:p w:rsidR="003B5E71" w:rsidP="00B5747D">
      <w:pPr>
        <w:pStyle w:val="NormalWeb"/>
        <w:pBdr>
          <w:bottom w:val="single" w:sz="12" w:space="1" w:color="auto"/>
        </w:pBdr>
        <w:spacing w:before="120" w:beforeAutospacing="0" w:after="120" w:afterAutospacing="0"/>
        <w:ind w:left="2268"/>
        <w:jc w:val="both"/>
        <w:rPr>
          <w:rFonts w:asciiTheme="minorHAnsi" w:hAnsiTheme="minorHAnsi" w:cs="Arial"/>
          <w:i/>
          <w:color w:val="000000"/>
          <w:sz w:val="20"/>
          <w:szCs w:val="20"/>
        </w:rPr>
      </w:pPr>
      <w:r w:rsidRPr="003B5E71">
        <w:rPr>
          <w:rFonts w:asciiTheme="minorHAnsi" w:hAnsiTheme="minorHAnsi" w:cs="Arial"/>
          <w:i/>
          <w:color w:val="000000"/>
          <w:sz w:val="22"/>
          <w:szCs w:val="22"/>
        </w:rPr>
        <w:t xml:space="preserve">Ação Direta de Inconstitucionalidade. Município de Araçatuba. Ação proposta pelo Procurador-Geral da Justiça em face da Lei nº 8.450, de 24 de fevereiro de 2022, do Município de Araçatuba, que "altera, </w:t>
      </w:r>
      <w:r w:rsidRPr="003B5E71">
        <w:rPr>
          <w:rFonts w:asciiTheme="minorHAnsi" w:hAnsiTheme="minorHAnsi" w:cs="Arial"/>
          <w:i/>
          <w:color w:val="000000"/>
          <w:sz w:val="22"/>
          <w:szCs w:val="22"/>
        </w:rPr>
        <w:t xml:space="preserve">revoga e inclui dispositivos na Lei nº 2.913, de </w:t>
      </w:r>
      <w:r w:rsidRPr="003B5E71">
        <w:rPr>
          <w:rFonts w:asciiTheme="minorHAnsi" w:hAnsiTheme="minorHAnsi" w:cs="Arial"/>
          <w:i/>
          <w:color w:val="000000"/>
          <w:sz w:val="22"/>
          <w:szCs w:val="22"/>
        </w:rPr>
        <w:t>4</w:t>
      </w:r>
      <w:r w:rsidRPr="003B5E71">
        <w:rPr>
          <w:rFonts w:asciiTheme="minorHAnsi" w:hAnsiTheme="minorHAnsi" w:cs="Arial"/>
          <w:i/>
          <w:color w:val="000000"/>
          <w:sz w:val="22"/>
          <w:szCs w:val="22"/>
        </w:rPr>
        <w:t xml:space="preserve"> de março de 1988". </w:t>
      </w:r>
      <w:r w:rsidRPr="003B5E71">
        <w:rPr>
          <w:rFonts w:asciiTheme="minorHAnsi" w:hAnsiTheme="minorHAnsi" w:cs="Arial"/>
          <w:b/>
          <w:i/>
          <w:color w:val="000000"/>
          <w:sz w:val="22"/>
          <w:szCs w:val="22"/>
        </w:rPr>
        <w:t>Arguição de violação ao princípio da participação popular e do Planejamento Prévio.</w:t>
      </w:r>
      <w:r w:rsidRPr="003B5E71">
        <w:rPr>
          <w:rFonts w:asciiTheme="minorHAnsi" w:hAnsiTheme="minorHAnsi" w:cs="Arial"/>
          <w:i/>
          <w:color w:val="000000"/>
          <w:sz w:val="22"/>
          <w:szCs w:val="22"/>
        </w:rPr>
        <w:t xml:space="preserve"> Alegação de proibição de criação de normas urbanísticas alheadas ao Plano Diretor. </w:t>
      </w:r>
      <w:r w:rsidRPr="003B5E71">
        <w:rPr>
          <w:rFonts w:asciiTheme="minorHAnsi" w:hAnsiTheme="minorHAnsi" w:cs="Arial"/>
          <w:b/>
          <w:i/>
          <w:color w:val="000000"/>
          <w:sz w:val="22"/>
          <w:szCs w:val="22"/>
          <w:u w:val="single"/>
        </w:rPr>
        <w:t>Afronta aos artigos 144, 180, I, II e V, 181, § 1º, da Constituição do Estado de São Paulo. Disposições legais relativas ao parcelamento e uso do solo urbano, consistindo em matéria urbanística a demandar a participação popular e planejamento prévio.</w:t>
      </w:r>
      <w:r w:rsidRPr="003B5E71">
        <w:rPr>
          <w:rFonts w:asciiTheme="minorHAnsi" w:hAnsiTheme="minorHAnsi" w:cs="Arial"/>
          <w:i/>
          <w:color w:val="000000"/>
          <w:sz w:val="22"/>
          <w:szCs w:val="22"/>
        </w:rPr>
        <w:t xml:space="preserve"> Ação procedente. </w:t>
      </w:r>
      <w:r w:rsidRPr="003B5E71">
        <w:rPr>
          <w:rFonts w:asciiTheme="minorHAnsi" w:hAnsiTheme="minorHAnsi" w:cs="Arial"/>
          <w:i/>
          <w:color w:val="000000"/>
          <w:sz w:val="20"/>
          <w:szCs w:val="20"/>
        </w:rPr>
        <w:t>(TJSP;</w:t>
      </w:r>
      <w:r w:rsidRPr="003B5E71">
        <w:rPr>
          <w:rFonts w:asciiTheme="minorHAnsi" w:hAnsiTheme="minorHAnsi" w:cs="Arial"/>
          <w:i/>
          <w:color w:val="000000"/>
          <w:sz w:val="20"/>
          <w:szCs w:val="20"/>
        </w:rPr>
        <w:t xml:space="preserve">  </w:t>
      </w:r>
      <w:r w:rsidRPr="003B5E71">
        <w:rPr>
          <w:rFonts w:asciiTheme="minorHAnsi" w:hAnsiTheme="minorHAnsi" w:cs="Arial"/>
          <w:i/>
          <w:color w:val="000000"/>
          <w:sz w:val="20"/>
          <w:szCs w:val="20"/>
        </w:rPr>
        <w:t xml:space="preserve">Direta de Inconstitucionalidade 3001962-07.2023.8.26.0000; Relator (a): Damião </w:t>
      </w:r>
      <w:r w:rsidRPr="003B5E71">
        <w:rPr>
          <w:rFonts w:asciiTheme="minorHAnsi" w:hAnsiTheme="minorHAnsi" w:cs="Arial"/>
          <w:i/>
          <w:color w:val="000000"/>
          <w:sz w:val="20"/>
          <w:szCs w:val="20"/>
        </w:rPr>
        <w:t>Cogan</w:t>
      </w:r>
      <w:r w:rsidRPr="003B5E71">
        <w:rPr>
          <w:rFonts w:asciiTheme="minorHAnsi" w:hAnsiTheme="minorHAnsi" w:cs="Arial"/>
          <w:i/>
          <w:color w:val="000000"/>
          <w:sz w:val="20"/>
          <w:szCs w:val="20"/>
        </w:rPr>
        <w:t>; Órgão Julgador: Órgão Especial; Tribunal de Justiça de São Paulo - N/A; Data do Julgamento: 06/12/2023; Data de Registro: 07/12/2023)</w:t>
      </w:r>
    </w:p>
    <w:p w:rsidR="00B5747D" w:rsidRPr="003B5E71" w:rsidP="00B5747D">
      <w:pPr>
        <w:pStyle w:val="NormalWeb"/>
        <w:spacing w:before="120" w:beforeAutospacing="0" w:after="120" w:afterAutospacing="0"/>
        <w:ind w:left="2268"/>
        <w:jc w:val="both"/>
        <w:rPr>
          <w:rFonts w:asciiTheme="minorHAnsi" w:hAnsiTheme="minorHAnsi" w:cs="Arial"/>
          <w:i/>
          <w:color w:val="000000"/>
          <w:sz w:val="20"/>
          <w:szCs w:val="20"/>
        </w:rPr>
      </w:pPr>
    </w:p>
    <w:p w:rsidR="00B5747D" w:rsidRPr="00B5747D" w:rsidP="00B5747D">
      <w:pPr>
        <w:pBdr>
          <w:bottom w:val="single" w:sz="12" w:space="1" w:color="auto"/>
        </w:pBdr>
        <w:spacing w:after="120" w:line="240" w:lineRule="auto"/>
        <w:ind w:left="2268"/>
        <w:jc w:val="both"/>
        <w:rPr>
          <w:rFonts w:asciiTheme="minorHAnsi" w:hAnsiTheme="minorHAnsi" w:cstheme="minorHAnsi"/>
          <w:i/>
          <w:sz w:val="20"/>
          <w:shd w:val="clear" w:color="auto" w:fill="FFFFFF"/>
        </w:rPr>
      </w:pPr>
      <w:r w:rsidRPr="003B5E71">
        <w:rPr>
          <w:rFonts w:asciiTheme="minorHAnsi" w:hAnsiTheme="minorHAnsi" w:cstheme="minorHAnsi"/>
          <w:i/>
          <w:sz w:val="22"/>
          <w:szCs w:val="22"/>
          <w:shd w:val="clear" w:color="auto" w:fill="FFFFFF"/>
        </w:rPr>
        <w:t xml:space="preserve">AÇÃO DIRETA DE INCONSTITUCIONALIDADE Lei Complementar Municipal nº 280, de 17.07.2020, de iniciativa parlamentar, </w:t>
      </w:r>
      <w:r w:rsidRPr="003B5E71">
        <w:rPr>
          <w:rFonts w:asciiTheme="minorHAnsi" w:hAnsiTheme="minorHAnsi" w:cstheme="minorHAnsi"/>
          <w:i/>
          <w:sz w:val="22"/>
          <w:szCs w:val="22"/>
          <w:u w:val="single"/>
          <w:shd w:val="clear" w:color="auto" w:fill="FFFFFF"/>
        </w:rPr>
        <w:t>dispondo sobre o direito de permanência de edificações na faixa não edificável contígua às faixas de domínio público de rodovias e redução da extensão da faixa não edificável.</w:t>
      </w:r>
      <w:r w:rsidRPr="003B5E71">
        <w:rPr>
          <w:rFonts w:asciiTheme="minorHAnsi" w:hAnsiTheme="minorHAnsi" w:cstheme="minorHAnsi"/>
          <w:i/>
          <w:sz w:val="22"/>
          <w:szCs w:val="22"/>
          <w:shd w:val="clear" w:color="auto" w:fill="FFFFFF"/>
        </w:rPr>
        <w:t xml:space="preserve"> </w:t>
      </w:r>
      <w:r w:rsidRPr="00B5747D">
        <w:rPr>
          <w:rFonts w:asciiTheme="minorHAnsi" w:hAnsiTheme="minorHAnsi" w:cstheme="minorHAnsi"/>
          <w:i/>
          <w:sz w:val="22"/>
          <w:szCs w:val="22"/>
          <w:shd w:val="clear" w:color="auto" w:fill="FFFFFF"/>
        </w:rPr>
        <w:t>Vício de iniciativa. Inocorrência. Iniciativa legislativa comum.</w:t>
      </w:r>
      <w:r w:rsidRPr="003B5E71">
        <w:rPr>
          <w:rFonts w:asciiTheme="minorHAnsi" w:hAnsiTheme="minorHAnsi" w:cstheme="minorHAnsi"/>
          <w:i/>
          <w:sz w:val="22"/>
          <w:szCs w:val="22"/>
          <w:shd w:val="clear" w:color="auto" w:fill="FFFFFF"/>
        </w:rPr>
        <w:t xml:space="preserve"> Recente orientação do </w:t>
      </w:r>
      <w:r w:rsidRPr="003B5E71">
        <w:rPr>
          <w:rFonts w:asciiTheme="minorHAnsi" w:hAnsiTheme="minorHAnsi" w:cstheme="minorHAnsi"/>
          <w:i/>
          <w:sz w:val="22"/>
          <w:szCs w:val="22"/>
          <w:shd w:val="clear" w:color="auto" w:fill="FFFFFF"/>
        </w:rPr>
        <w:t>Eg</w:t>
      </w:r>
      <w:r w:rsidRPr="003B5E71">
        <w:rPr>
          <w:rFonts w:asciiTheme="minorHAnsi" w:hAnsiTheme="minorHAnsi" w:cstheme="minorHAnsi"/>
          <w:i/>
          <w:sz w:val="22"/>
          <w:szCs w:val="22"/>
          <w:shd w:val="clear" w:color="auto" w:fill="FFFFFF"/>
        </w:rPr>
        <w:t xml:space="preserve">. Supremo Tribunal Federal. Falta de participação popular. Imprescindível </w:t>
      </w:r>
      <w:r w:rsidRPr="003B5E71">
        <w:rPr>
          <w:rFonts w:asciiTheme="minorHAnsi" w:hAnsiTheme="minorHAnsi" w:cstheme="minorHAnsi"/>
          <w:i/>
          <w:sz w:val="22"/>
          <w:szCs w:val="22"/>
          <w:shd w:val="clear" w:color="auto" w:fill="FFFFFF"/>
        </w:rPr>
        <w:t>a</w:t>
      </w:r>
      <w:r w:rsidRPr="003B5E71">
        <w:rPr>
          <w:rFonts w:asciiTheme="minorHAnsi" w:hAnsiTheme="minorHAnsi" w:cstheme="minorHAnsi"/>
          <w:i/>
          <w:sz w:val="22"/>
          <w:szCs w:val="22"/>
          <w:shd w:val="clear" w:color="auto" w:fill="FFFFFF"/>
        </w:rPr>
        <w:t xml:space="preserve"> efetiva participação da comunidade, por suas entidades representativas. </w:t>
      </w:r>
      <w:r w:rsidRPr="003B5E71">
        <w:rPr>
          <w:rFonts w:asciiTheme="minorHAnsi" w:hAnsiTheme="minorHAnsi" w:cstheme="minorHAnsi"/>
          <w:b/>
          <w:i/>
          <w:sz w:val="22"/>
          <w:szCs w:val="22"/>
          <w:shd w:val="clear" w:color="auto" w:fill="FFFFFF"/>
        </w:rPr>
        <w:t>A Constituição Estadual prevê a necessidade de participação comunitária em matéria urbanística</w:t>
      </w:r>
      <w:r w:rsidRPr="003B5E71">
        <w:rPr>
          <w:rFonts w:asciiTheme="minorHAnsi" w:hAnsiTheme="minorHAnsi" w:cstheme="minorHAnsi"/>
          <w:i/>
          <w:sz w:val="22"/>
          <w:szCs w:val="22"/>
          <w:shd w:val="clear" w:color="auto" w:fill="FFFFFF"/>
        </w:rPr>
        <w:t xml:space="preserve">. </w:t>
      </w:r>
      <w:r w:rsidRPr="00B5747D">
        <w:rPr>
          <w:rFonts w:asciiTheme="minorHAnsi" w:hAnsiTheme="minorHAnsi" w:cstheme="minorHAnsi"/>
          <w:b/>
          <w:i/>
          <w:sz w:val="22"/>
          <w:szCs w:val="22"/>
          <w:shd w:val="clear" w:color="auto" w:fill="FFFFFF"/>
        </w:rPr>
        <w:t>Precedentes deste C. Órgão Especial. Inconstitucional o ato normativo impugnado. Estudo prévio. Necessidade.</w:t>
      </w:r>
      <w:r w:rsidRPr="003B5E71">
        <w:rPr>
          <w:rFonts w:asciiTheme="minorHAnsi" w:hAnsiTheme="minorHAnsi" w:cstheme="minorHAnsi"/>
          <w:i/>
          <w:sz w:val="22"/>
          <w:szCs w:val="22"/>
          <w:shd w:val="clear" w:color="auto" w:fill="FFFFFF"/>
        </w:rPr>
        <w:t xml:space="preserve"> Se no âmbito do Executivo esse planejamento ou prévios estudos se fazem necessários, de igual forma se justificam idênticas medidas para modificar a regra original. Precedentes. Procedente a ação. </w:t>
      </w:r>
      <w:r w:rsidRPr="00B5747D">
        <w:rPr>
          <w:rFonts w:asciiTheme="minorHAnsi" w:hAnsiTheme="minorHAnsi" w:cstheme="minorHAnsi"/>
          <w:i/>
          <w:sz w:val="20"/>
          <w:shd w:val="clear" w:color="auto" w:fill="FFFFFF"/>
        </w:rPr>
        <w:t>(TJSP;</w:t>
      </w:r>
      <w:r w:rsidRPr="00B5747D">
        <w:rPr>
          <w:rFonts w:asciiTheme="minorHAnsi" w:hAnsiTheme="minorHAnsi" w:cstheme="minorHAnsi"/>
          <w:i/>
          <w:sz w:val="20"/>
          <w:shd w:val="clear" w:color="auto" w:fill="FFFFFF"/>
        </w:rPr>
        <w:t xml:space="preserve">  </w:t>
      </w:r>
      <w:r w:rsidRPr="00B5747D">
        <w:rPr>
          <w:rFonts w:asciiTheme="minorHAnsi" w:hAnsiTheme="minorHAnsi" w:cstheme="minorHAnsi"/>
          <w:i/>
          <w:sz w:val="20"/>
          <w:shd w:val="clear" w:color="auto" w:fill="FFFFFF"/>
        </w:rPr>
        <w:t>Direta de Inconstitucionalidade 2188536-63.2020.8.26.0000; Relator (a): Evaristo dos Santos; Órgão Julgador: Órgão Especial; Tribunal de Justiça de São Paulo - N/A; Data do Julgamento: 03/03/2021; Data de Registro: 04/03/2021)</w:t>
      </w:r>
    </w:p>
    <w:p w:rsidR="000F00F2" w:rsidRPr="00B5747D" w:rsidP="00333B5F">
      <w:pPr>
        <w:spacing w:line="240" w:lineRule="auto"/>
        <w:ind w:left="2268"/>
        <w:jc w:val="both"/>
        <w:rPr>
          <w:rFonts w:asciiTheme="minorHAnsi" w:hAnsiTheme="minorHAnsi" w:cstheme="minorHAnsi"/>
          <w:b/>
          <w:sz w:val="4"/>
          <w:szCs w:val="4"/>
        </w:rPr>
      </w:pPr>
    </w:p>
    <w:p w:rsidR="000F00F2" w:rsidRPr="003B5E71" w:rsidP="00794A21">
      <w:pPr>
        <w:pBdr>
          <w:bottom w:val="single" w:sz="12" w:space="1" w:color="auto"/>
        </w:pBdr>
        <w:spacing w:after="40" w:line="240" w:lineRule="auto"/>
        <w:ind w:left="2268"/>
        <w:jc w:val="both"/>
        <w:rPr>
          <w:rFonts w:asciiTheme="minorHAnsi" w:hAnsiTheme="minorHAnsi" w:cstheme="minorHAnsi"/>
          <w:i/>
          <w:sz w:val="20"/>
          <w:shd w:val="clear" w:color="auto" w:fill="FFFFFF"/>
        </w:rPr>
      </w:pPr>
      <w:r w:rsidRPr="003B5E71">
        <w:rPr>
          <w:rFonts w:asciiTheme="minorHAnsi" w:hAnsiTheme="minorHAnsi" w:cstheme="minorHAnsi"/>
          <w:i/>
          <w:sz w:val="22"/>
          <w:szCs w:val="22"/>
          <w:shd w:val="clear" w:color="auto" w:fill="FFFFFF"/>
        </w:rPr>
        <w:t xml:space="preserve">"AÇÃO DIRETA DE INCONSTITUCIONALIDADE – Lei nº 5.122, de 9-1-2016, do Município de Mauá, que </w:t>
      </w:r>
      <w:r w:rsidRPr="003B5E71">
        <w:rPr>
          <w:rFonts w:asciiTheme="minorHAnsi" w:hAnsiTheme="minorHAnsi" w:cstheme="minorHAnsi"/>
          <w:b/>
          <w:i/>
          <w:sz w:val="22"/>
          <w:szCs w:val="22"/>
          <w:shd w:val="clear" w:color="auto" w:fill="FFFFFF"/>
        </w:rPr>
        <w:t>fixa prazo de sessenta dias para a emissão de alvará de construção, alvará de conservação e habite-se de obras particulares, sob pena de autorização tácita e emissão de alvará definitivo em trinta dias</w:t>
      </w:r>
      <w:r w:rsidRPr="003B5E71">
        <w:rPr>
          <w:rFonts w:asciiTheme="minorHAnsi" w:hAnsiTheme="minorHAnsi" w:cstheme="minorHAnsi"/>
          <w:i/>
          <w:sz w:val="22"/>
          <w:szCs w:val="22"/>
          <w:shd w:val="clear" w:color="auto" w:fill="FFFFFF"/>
        </w:rPr>
        <w:t xml:space="preserve"> – Poder de polícia administrativa e desenvolvimento urbano. </w:t>
      </w:r>
      <w:r w:rsidRPr="003B5E71">
        <w:rPr>
          <w:rFonts w:asciiTheme="minorHAnsi" w:hAnsiTheme="minorHAnsi" w:cstheme="minorHAnsi"/>
          <w:i/>
          <w:sz w:val="22"/>
          <w:szCs w:val="22"/>
          <w:shd w:val="clear" w:color="auto" w:fill="FFFFFF"/>
        </w:rPr>
        <w:t>1</w:t>
      </w:r>
      <w:r w:rsidRPr="003B5E71">
        <w:rPr>
          <w:rFonts w:asciiTheme="minorHAnsi" w:hAnsiTheme="minorHAnsi" w:cstheme="minorHAnsi"/>
          <w:i/>
          <w:sz w:val="22"/>
          <w:szCs w:val="22"/>
          <w:shd w:val="clear" w:color="auto" w:fill="FFFFFF"/>
        </w:rPr>
        <w:t>. Violação ao princípio da separação entre os Poderes: vício de iniciativa e reserva da Administração. Inocorrência. Poder de polícia e desenvolvimento urbano. Inaplicabilidade do Tema 917 de Repercussão Geral do STF. Norma não trata de estrutura ou de atribuição de órgão nem de reg</w:t>
      </w:r>
      <w:r w:rsidRPr="00B5747D">
        <w:rPr>
          <w:rFonts w:asciiTheme="minorHAnsi" w:hAnsiTheme="minorHAnsi" w:cstheme="minorHAnsi"/>
          <w:i/>
          <w:sz w:val="22"/>
          <w:szCs w:val="22"/>
          <w:shd w:val="clear" w:color="auto" w:fill="FFFFFF"/>
        </w:rPr>
        <w:t xml:space="preserve">ime jurídico de servidores públicos. Competência legislativa concorrente. Matéria que não está inserida </w:t>
      </w:r>
      <w:r w:rsidRPr="003B5E71">
        <w:rPr>
          <w:rFonts w:asciiTheme="minorHAnsi" w:hAnsiTheme="minorHAnsi" w:cstheme="minorHAnsi"/>
          <w:i/>
          <w:sz w:val="22"/>
          <w:szCs w:val="22"/>
          <w:shd w:val="clear" w:color="auto" w:fill="FFFFFF"/>
        </w:rPr>
        <w:t xml:space="preserve">na reserva da Administração. 2. Princípio da causa de pedir aberta. Não vinculação aos fundamentos constantes da petição inicial. </w:t>
      </w:r>
      <w:r w:rsidRPr="003B5E71">
        <w:rPr>
          <w:rFonts w:asciiTheme="minorHAnsi" w:hAnsiTheme="minorHAnsi" w:cstheme="minorHAnsi"/>
          <w:b/>
          <w:i/>
          <w:sz w:val="22"/>
          <w:szCs w:val="22"/>
          <w:shd w:val="clear" w:color="auto" w:fill="FFFFFF"/>
        </w:rPr>
        <w:t xml:space="preserve">2.1. Parcelamento, uso e ocupação do solo urbano. Inexistência de participação de entidades comunitárias </w:t>
      </w:r>
      <w:r w:rsidRPr="003B5E71">
        <w:rPr>
          <w:rFonts w:asciiTheme="minorHAnsi" w:hAnsiTheme="minorHAnsi" w:cstheme="minorHAnsi"/>
          <w:b/>
          <w:i/>
          <w:sz w:val="22"/>
          <w:szCs w:val="22"/>
          <w:shd w:val="clear" w:color="auto" w:fill="FFFFFF"/>
        </w:rPr>
        <w:t>no processo legislativo e de estudos prévios. Incompatibilidade com os arts. 180, II e 191, da CE/89, e arts. 24, I, 29, XII, 30, VIII e 182 da CF/88. Ocorrência.</w:t>
      </w:r>
      <w:r w:rsidRPr="003B5E71">
        <w:rPr>
          <w:rFonts w:asciiTheme="minorHAnsi" w:hAnsiTheme="minorHAnsi" w:cstheme="minorHAnsi"/>
          <w:i/>
          <w:sz w:val="22"/>
          <w:szCs w:val="22"/>
          <w:shd w:val="clear" w:color="auto" w:fill="FFFFFF"/>
        </w:rPr>
        <w:t xml:space="preserve"> 2.2. Expedição de alvará de construção, de conservação e de habite-se. Decurso do prazo estabelecido para a prática de ato administrativo. Silêncio da administração. Aprovação tácita. Lei que, em última análise, dispensa o estudo prévio de impacto ambiental e isenta o proprietário do imóvel de aplicação de multas e embargos em decorrência de condutas e atividades lesivas ao meio ambiente. Ofensa ao princípio da razoabilidade e ao direito fundamental à proteção ao meio ambiente. Incompatibilidade com os arts. 225 da CF/88 e 192 e 195 da CE/89. Ocorrência. 3. </w:t>
      </w:r>
      <w:r w:rsidRPr="003B5E71">
        <w:rPr>
          <w:rFonts w:asciiTheme="minorHAnsi" w:hAnsiTheme="minorHAnsi" w:cstheme="minorHAnsi"/>
          <w:b/>
          <w:i/>
          <w:sz w:val="22"/>
          <w:szCs w:val="22"/>
          <w:shd w:val="clear" w:color="auto" w:fill="FFFFFF"/>
        </w:rPr>
        <w:t>Ação procedente." </w:t>
      </w:r>
      <w:r w:rsidRPr="003B5E71">
        <w:rPr>
          <w:rFonts w:asciiTheme="minorHAnsi" w:hAnsiTheme="minorHAnsi" w:cstheme="minorHAnsi"/>
          <w:i/>
          <w:sz w:val="20"/>
          <w:shd w:val="clear" w:color="auto" w:fill="FFFFFF"/>
        </w:rPr>
        <w:t>(TJSP;  Direta de Inconstitucionalidade 2299687-34.2020.8.26.0000; Relator (a): Carlos Bueno; Órgão Julgador: Órgão Especial; Tribunal de Justiça de São Paulo - N/A; Data do Julgamento: 28/07/2021; Data de Registro: 30/07/2021)</w:t>
      </w:r>
    </w:p>
    <w:p w:rsidR="00F20B73" w:rsidRPr="003B5E71" w:rsidP="007E5948">
      <w:pPr>
        <w:pStyle w:val="BodyText"/>
        <w:spacing w:after="240" w:line="240" w:lineRule="auto"/>
        <w:ind w:left="2268"/>
        <w:jc w:val="both"/>
        <w:rPr>
          <w:rFonts w:asciiTheme="minorHAnsi" w:hAnsiTheme="minorHAnsi"/>
          <w:i/>
          <w:sz w:val="22"/>
          <w:szCs w:val="22"/>
          <w:shd w:val="clear" w:color="auto" w:fill="FFFFFF"/>
        </w:rPr>
      </w:pPr>
    </w:p>
    <w:p w:rsidR="00B5747D" w:rsidP="00B5747D">
      <w:pPr>
        <w:pStyle w:val="NormalWeb"/>
        <w:pBdr>
          <w:bottom w:val="single" w:sz="12" w:space="1" w:color="auto"/>
        </w:pBdr>
        <w:spacing w:before="120" w:beforeAutospacing="0" w:after="120" w:afterAutospacing="0"/>
        <w:ind w:left="2268"/>
        <w:jc w:val="both"/>
        <w:rPr>
          <w:rFonts w:asciiTheme="minorHAnsi" w:hAnsiTheme="minorHAnsi" w:cstheme="minorHAnsi"/>
          <w:i/>
          <w:sz w:val="22"/>
          <w:szCs w:val="22"/>
        </w:rPr>
      </w:pPr>
      <w:r w:rsidRPr="003B5E71">
        <w:rPr>
          <w:rFonts w:asciiTheme="minorHAnsi" w:hAnsiTheme="minorHAnsi" w:cstheme="minorHAnsi"/>
          <w:i/>
          <w:sz w:val="22"/>
          <w:szCs w:val="22"/>
        </w:rPr>
        <w:t xml:space="preserve">AÇÃO DIRETA DE INCONSTITUCIONALIDADE. Lei municipal nº 5.882, de 14 de agosto de 2019, do Município de Valinhos, que altera a redação do artigo 18 da Lei nº 4.186, de 10 de outubro de 2007, a qual, por sua vez, dispõe sobre a ordenação do uso e ocupação do solo no Município e dá outras providências. Questão prejudicial suscitada. Lei que, embora de efeitos concretos, não teve a eficácia exaurida. Preliminar rechaçada. Matéria de interesse local, inserida no âmbito do poder de polícia administrativa. Atuação da Câmara Municipal dentro de sua regular esfera de competência legislativa. Desrespeito ao pacto federativo não caracterizado. </w:t>
      </w:r>
      <w:r w:rsidRPr="003B5E71">
        <w:rPr>
          <w:rFonts w:asciiTheme="minorHAnsi" w:hAnsiTheme="minorHAnsi" w:cstheme="minorHAnsi"/>
          <w:b/>
          <w:i/>
          <w:sz w:val="22"/>
          <w:szCs w:val="22"/>
          <w:u w:val="single"/>
        </w:rPr>
        <w:t>Configurado vício formal, porém, no que se refere à necessidade de participação popular e comunitária, bem como de realização de estudos técnicos, durante o processo legiferante respectivo. Norma que versa matéria urbanística. Ofensa ao artigo 180, inciso II, da Constituição do Estado de São Paulo. Precedente</w:t>
      </w:r>
      <w:r w:rsidRPr="003B5E71">
        <w:rPr>
          <w:rFonts w:asciiTheme="minorHAnsi" w:hAnsiTheme="minorHAnsi" w:cstheme="minorHAnsi"/>
          <w:i/>
          <w:sz w:val="22"/>
          <w:szCs w:val="22"/>
          <w:u w:val="single"/>
        </w:rPr>
        <w:t xml:space="preserve">. </w:t>
      </w:r>
      <w:r w:rsidRPr="003B5E71">
        <w:rPr>
          <w:rFonts w:asciiTheme="minorHAnsi" w:hAnsiTheme="minorHAnsi" w:cstheme="minorHAnsi"/>
          <w:i/>
          <w:sz w:val="22"/>
          <w:szCs w:val="22"/>
        </w:rPr>
        <w:t xml:space="preserve">Não conhecimento de alegações do requerente baseadas na Lei Orgânica da citada urbe e na Lei Complementar nº 101/2000, porquanto no âmbito da presente ação a norma deve ser contrastada somente com dispositivos da Constituição do Estado. Eventual afronta a legislação federal ou municipal consubstanciaria mera ilegalidade. Ação procedente na parte </w:t>
      </w:r>
      <w:r w:rsidRPr="003B5E71">
        <w:rPr>
          <w:rFonts w:asciiTheme="minorHAnsi" w:hAnsiTheme="minorHAnsi" w:cstheme="minorHAnsi"/>
          <w:i/>
          <w:sz w:val="22"/>
          <w:szCs w:val="22"/>
        </w:rPr>
        <w:t>conhecida.</w:t>
      </w:r>
      <w:r w:rsidRPr="003B5E71">
        <w:rPr>
          <w:rFonts w:asciiTheme="minorHAnsi" w:hAnsiTheme="minorHAnsi" w:cstheme="minorHAnsi"/>
          <w:i/>
          <w:sz w:val="22"/>
          <w:szCs w:val="22"/>
        </w:rPr>
        <w:t xml:space="preserve">(TJSP. Adin nº 2188461-58.2019.8.26.0000. Relator Des. Geraldo </w:t>
      </w:r>
      <w:r w:rsidRPr="003B5E71">
        <w:rPr>
          <w:rFonts w:asciiTheme="minorHAnsi" w:hAnsiTheme="minorHAnsi" w:cstheme="minorHAnsi"/>
          <w:i/>
          <w:sz w:val="22"/>
          <w:szCs w:val="22"/>
        </w:rPr>
        <w:t>Wohlers</w:t>
      </w:r>
      <w:r w:rsidRPr="003B5E71">
        <w:rPr>
          <w:rFonts w:asciiTheme="minorHAnsi" w:hAnsiTheme="minorHAnsi" w:cstheme="minorHAnsi"/>
          <w:i/>
          <w:sz w:val="22"/>
          <w:szCs w:val="22"/>
        </w:rPr>
        <w:t>. Data de julgamento: 19/08/2020)</w:t>
      </w:r>
    </w:p>
    <w:p w:rsidR="00B5747D" w:rsidRPr="00B5747D" w:rsidP="00B5747D">
      <w:pPr>
        <w:pStyle w:val="NormalWeb"/>
        <w:spacing w:before="120" w:beforeAutospacing="0" w:after="120" w:afterAutospacing="0"/>
        <w:ind w:left="2268"/>
        <w:jc w:val="both"/>
        <w:rPr>
          <w:rFonts w:asciiTheme="minorHAnsi" w:hAnsiTheme="minorHAnsi" w:cstheme="minorHAnsi"/>
          <w:i/>
          <w:sz w:val="4"/>
          <w:szCs w:val="4"/>
        </w:rPr>
      </w:pPr>
    </w:p>
    <w:p w:rsidR="00B5747D" w:rsidRPr="003B5E71" w:rsidP="00B5747D">
      <w:pPr>
        <w:pBdr>
          <w:bottom w:val="single" w:sz="12" w:space="1" w:color="auto"/>
        </w:pBdr>
        <w:spacing w:after="0" w:line="240" w:lineRule="auto"/>
        <w:ind w:left="2268"/>
        <w:jc w:val="both"/>
        <w:rPr>
          <w:rFonts w:asciiTheme="minorHAnsi" w:hAnsiTheme="minorHAnsi" w:cstheme="minorHAnsi"/>
          <w:i/>
          <w:sz w:val="22"/>
          <w:szCs w:val="22"/>
          <w:shd w:val="clear" w:color="auto" w:fill="FFFFFF"/>
        </w:rPr>
      </w:pPr>
      <w:r w:rsidRPr="003B5E71">
        <w:rPr>
          <w:rFonts w:asciiTheme="minorHAnsi" w:hAnsiTheme="minorHAnsi" w:cstheme="minorHAnsi"/>
          <w:i/>
          <w:sz w:val="22"/>
          <w:szCs w:val="22"/>
          <w:shd w:val="clear" w:color="auto" w:fill="FFFFFF"/>
        </w:rPr>
        <w:t>AÇÃO DIRETA DE INCONSTITUCIONALIDADE. Lei Complementar nº 714, de 05 de agosto de 2015, do Município de Atibaia, com redação dada pela Lei Complementar nº 796, de 29 de janeiro de 2019, do mesmo Município que "</w:t>
      </w:r>
      <w:r w:rsidRPr="003B5E71">
        <w:rPr>
          <w:rFonts w:asciiTheme="minorHAnsi" w:hAnsiTheme="minorHAnsi" w:cstheme="minorHAnsi"/>
          <w:b/>
          <w:i/>
          <w:sz w:val="22"/>
          <w:szCs w:val="22"/>
          <w:u w:val="single"/>
          <w:shd w:val="clear" w:color="auto" w:fill="FFFFFF"/>
        </w:rPr>
        <w:t>institui a legislação de uso e ocupação do solo da Estância de Atibaia, e dá outras providências.".</w:t>
      </w:r>
      <w:r w:rsidRPr="003B5E71">
        <w:rPr>
          <w:rFonts w:asciiTheme="minorHAnsi" w:hAnsiTheme="minorHAnsi" w:cstheme="minorHAnsi"/>
          <w:b/>
          <w:i/>
          <w:sz w:val="22"/>
          <w:szCs w:val="22"/>
          <w:shd w:val="clear" w:color="auto" w:fill="FFFFFF"/>
        </w:rPr>
        <w:t xml:space="preserve"> Apontada inconstitucionalidade da norma por ausência de planejamento da política de ocupação e uso do solo, em afronta ao art. 180. I e II e </w:t>
      </w:r>
      <w:r w:rsidRPr="003B5E71">
        <w:rPr>
          <w:rFonts w:asciiTheme="minorHAnsi" w:hAnsiTheme="minorHAnsi" w:cstheme="minorHAnsi"/>
          <w:b/>
          <w:i/>
          <w:sz w:val="22"/>
          <w:szCs w:val="22"/>
          <w:shd w:val="clear" w:color="auto" w:fill="FFFFFF"/>
        </w:rPr>
        <w:t>181, § da Constituição Estadual. Inocorrência. Comprovação de realização de estudos de impacto ambiental e de tráfego. Projeto de Lei Complementar precedido de estudos e pareceres sobre sua viabilidade.</w:t>
      </w:r>
      <w:r w:rsidRPr="003B5E71">
        <w:rPr>
          <w:rFonts w:asciiTheme="minorHAnsi" w:hAnsiTheme="minorHAnsi" w:cstheme="minorHAnsi"/>
          <w:i/>
          <w:sz w:val="22"/>
          <w:szCs w:val="22"/>
          <w:shd w:val="clear" w:color="auto" w:fill="FFFFFF"/>
        </w:rPr>
        <w:t xml:space="preserve"> AÇÃO DIRETA DE INCONSTITUCIONALIDADE. Lei Complementar nº 714, de 05 de agosto de 2015, do Município de Atibaia, com redação dada pela Lei Complementar nº 796, de 29 de janeiro de 2019, do mesmo Município que "institui a legislação de uso e ocupação do solo da Estância de Atibaia". </w:t>
      </w:r>
      <w:r w:rsidRPr="003B5E71">
        <w:rPr>
          <w:rFonts w:asciiTheme="minorHAnsi" w:hAnsiTheme="minorHAnsi" w:cstheme="minorHAnsi"/>
          <w:b/>
          <w:i/>
          <w:sz w:val="22"/>
          <w:szCs w:val="22"/>
          <w:shd w:val="clear" w:color="auto" w:fill="FFFFFF"/>
        </w:rPr>
        <w:t xml:space="preserve">Apontada ausência de participação popular. Inocorrência. Audiências Públicas que se realizaram em mais de uma oportunidade, todas precedidas de convocação por Diário da região. Oferta de Emendas ao </w:t>
      </w:r>
      <w:r w:rsidRPr="003B5E71">
        <w:rPr>
          <w:rFonts w:asciiTheme="minorHAnsi" w:hAnsiTheme="minorHAnsi" w:cstheme="minorHAnsi"/>
          <w:b/>
          <w:i/>
          <w:sz w:val="22"/>
          <w:szCs w:val="22"/>
          <w:shd w:val="clear" w:color="auto" w:fill="FFFFFF"/>
        </w:rPr>
        <w:t>Projeto de Lei posteriores</w:t>
      </w:r>
      <w:r w:rsidRPr="003B5E71">
        <w:rPr>
          <w:rFonts w:asciiTheme="minorHAnsi" w:hAnsiTheme="minorHAnsi" w:cstheme="minorHAnsi"/>
          <w:b/>
          <w:i/>
          <w:sz w:val="22"/>
          <w:szCs w:val="22"/>
          <w:shd w:val="clear" w:color="auto" w:fill="FFFFFF"/>
        </w:rPr>
        <w:t xml:space="preserve"> à realização das audiências públicas que não as invalida</w:t>
      </w:r>
      <w:r w:rsidRPr="003B5E71">
        <w:rPr>
          <w:rFonts w:asciiTheme="minorHAnsi" w:hAnsiTheme="minorHAnsi" w:cstheme="minorHAnsi"/>
          <w:i/>
          <w:sz w:val="22"/>
          <w:szCs w:val="22"/>
          <w:shd w:val="clear" w:color="auto" w:fill="FFFFFF"/>
        </w:rPr>
        <w:t xml:space="preserve">. Audiências Públicas que tem por escopo o debate de </w:t>
      </w:r>
      <w:r w:rsidRPr="003B5E71">
        <w:rPr>
          <w:rFonts w:asciiTheme="minorHAnsi" w:hAnsiTheme="minorHAnsi" w:cstheme="minorHAnsi"/>
          <w:i/>
          <w:sz w:val="22"/>
          <w:szCs w:val="22"/>
          <w:shd w:val="clear" w:color="auto" w:fill="FFFFFF"/>
        </w:rPr>
        <w:t>idéias</w:t>
      </w:r>
      <w:r w:rsidRPr="003B5E71">
        <w:rPr>
          <w:rFonts w:asciiTheme="minorHAnsi" w:hAnsiTheme="minorHAnsi" w:cstheme="minorHAnsi"/>
          <w:i/>
          <w:sz w:val="22"/>
          <w:szCs w:val="22"/>
          <w:shd w:val="clear" w:color="auto" w:fill="FFFFFF"/>
        </w:rPr>
        <w:t xml:space="preserve"> sobre o projeto pré-estabelecido para eventual alteração, suplementação ou até mesmo aperfeiçoamento da ideia original, sem caráter vinculante. Precedentes do C. Órgão Especial neste sentido. AÇÃO DIRETA DE INCONSTITUCIONALIDADE. Lei Complementar nº 714, de 05 de agosto de 2015, do Município de Atibaia, com redação dada pela Lei Complementar nº 796, de 29 de janeiro de 2019, do mesmo Município que "institui a legislação de uso e ocupação do solo da Estância de Atibaia". </w:t>
      </w:r>
      <w:r w:rsidRPr="003B5E71">
        <w:rPr>
          <w:rFonts w:asciiTheme="minorHAnsi" w:hAnsiTheme="minorHAnsi" w:cstheme="minorHAnsi"/>
          <w:b/>
          <w:i/>
          <w:sz w:val="22"/>
          <w:szCs w:val="22"/>
          <w:shd w:val="clear" w:color="auto" w:fill="FFFFFF"/>
        </w:rPr>
        <w:t>Alegada supressão de dispositivo de norma anterior, limitador da altura das edificações.</w:t>
      </w:r>
      <w:r w:rsidRPr="003B5E71">
        <w:rPr>
          <w:rFonts w:asciiTheme="minorHAnsi" w:hAnsiTheme="minorHAnsi" w:cstheme="minorHAnsi"/>
          <w:i/>
          <w:sz w:val="22"/>
          <w:szCs w:val="22"/>
          <w:shd w:val="clear" w:color="auto" w:fill="FFFFFF"/>
        </w:rPr>
        <w:t xml:space="preserve"> Inconstitucionalidade não verificada. Autoridade municipal que pode dispor sobre a harmonia arquitetônica dos edifícios, alinhamento e altura. Lei que disciplina o uso e ocupação do solo tendo como diretriz o Plano Diretor do Município que considera o território urbano em sua totalidade ou integralidade. </w:t>
      </w:r>
      <w:r w:rsidRPr="003B5E71">
        <w:rPr>
          <w:rFonts w:asciiTheme="minorHAnsi" w:hAnsiTheme="minorHAnsi" w:cstheme="minorHAnsi"/>
          <w:i/>
          <w:sz w:val="22"/>
          <w:szCs w:val="22"/>
          <w:shd w:val="clear" w:color="auto" w:fill="FFFFFF"/>
        </w:rPr>
        <w:t>Tema 348 da Suprema Corte que estabelece que Os municípios com mais de vinte mil habitantes e o Distrito Federal podem legislar sobre programas e projetos específicos de ordenamento do espaço urbano por meio de leis que sejam compatíveis com as diretrizes fixadas no plano diretor."</w:t>
      </w:r>
      <w:r w:rsidRPr="003B5E71">
        <w:rPr>
          <w:rFonts w:asciiTheme="minorHAnsi" w:hAnsiTheme="minorHAnsi" w:cstheme="minorHAnsi"/>
          <w:i/>
          <w:sz w:val="22"/>
          <w:szCs w:val="22"/>
          <w:shd w:val="clear" w:color="auto" w:fill="FFFFFF"/>
        </w:rPr>
        <w:t>. Ação improcedente. </w:t>
      </w:r>
    </w:p>
    <w:p w:rsidR="00B5747D" w:rsidRPr="003B5E71" w:rsidP="00B5747D">
      <w:pPr>
        <w:pBdr>
          <w:bottom w:val="single" w:sz="12" w:space="1" w:color="auto"/>
        </w:pBdr>
        <w:spacing w:after="0" w:line="240" w:lineRule="auto"/>
        <w:ind w:left="2268"/>
        <w:jc w:val="both"/>
        <w:rPr>
          <w:rFonts w:asciiTheme="minorHAnsi" w:hAnsiTheme="minorHAnsi" w:cstheme="minorHAnsi"/>
          <w:i/>
          <w:sz w:val="20"/>
          <w:shd w:val="clear" w:color="auto" w:fill="FFFFFF"/>
        </w:rPr>
      </w:pPr>
      <w:r w:rsidRPr="003B5E71">
        <w:rPr>
          <w:rFonts w:asciiTheme="minorHAnsi" w:hAnsiTheme="minorHAnsi" w:cstheme="minorHAnsi"/>
          <w:i/>
          <w:sz w:val="20"/>
          <w:shd w:val="clear" w:color="auto" w:fill="FFFFFF"/>
        </w:rPr>
        <w:t>(TJSP;</w:t>
      </w:r>
      <w:r w:rsidRPr="003B5E71">
        <w:rPr>
          <w:rFonts w:asciiTheme="minorHAnsi" w:hAnsiTheme="minorHAnsi" w:cstheme="minorHAnsi"/>
          <w:i/>
          <w:sz w:val="20"/>
          <w:shd w:val="clear" w:color="auto" w:fill="FFFFFF"/>
        </w:rPr>
        <w:t xml:space="preserve">  </w:t>
      </w:r>
      <w:r w:rsidRPr="003B5E71">
        <w:rPr>
          <w:rFonts w:asciiTheme="minorHAnsi" w:hAnsiTheme="minorHAnsi" w:cstheme="minorHAnsi"/>
          <w:i/>
          <w:sz w:val="20"/>
          <w:shd w:val="clear" w:color="auto" w:fill="FFFFFF"/>
        </w:rPr>
        <w:t>Direta de Inconstitucionalidade 2146956-87.2019.8.26.0000; Relator (a): Xavier de Aquino; Órgão Julgador: Órgão Especial; Tribunal de Justiça de São Paulo - N/A; Data do Julgamento: 11/12/2019; Data de Registro: 16/12/2019</w:t>
      </w:r>
    </w:p>
    <w:p w:rsidR="00151AF8" w:rsidRPr="007E6546" w:rsidP="008819B6">
      <w:pPr>
        <w:pStyle w:val="BodyText"/>
        <w:spacing w:after="240" w:line="360" w:lineRule="auto"/>
        <w:ind w:firstLine="1701"/>
        <w:jc w:val="both"/>
        <w:rPr>
          <w:rFonts w:asciiTheme="minorHAnsi" w:hAnsiTheme="minorHAnsi" w:cstheme="minorHAnsi"/>
          <w:color w:val="00B0F0"/>
          <w:sz w:val="12"/>
          <w:szCs w:val="12"/>
        </w:rPr>
      </w:pPr>
    </w:p>
    <w:p w:rsidR="00C76C04" w:rsidRPr="00C64B7E" w:rsidP="00C64B7E">
      <w:pPr>
        <w:pStyle w:val="BodyText"/>
        <w:spacing w:after="240" w:line="360" w:lineRule="auto"/>
        <w:ind w:firstLine="1701"/>
        <w:jc w:val="both"/>
        <w:rPr>
          <w:rFonts w:asciiTheme="minorHAnsi" w:hAnsiTheme="minorHAnsi" w:cstheme="minorHAnsi"/>
          <w:b/>
          <w:szCs w:val="24"/>
        </w:rPr>
      </w:pPr>
      <w:r w:rsidRPr="00C64B7E">
        <w:rPr>
          <w:rFonts w:asciiTheme="minorHAnsi" w:hAnsiTheme="minorHAnsi" w:cstheme="minorHAnsi"/>
          <w:b/>
          <w:szCs w:val="24"/>
        </w:rPr>
        <w:t xml:space="preserve">Noutro aspecto, </w:t>
      </w:r>
      <w:r w:rsidRPr="00C64B7E" w:rsidR="00C64B7E">
        <w:rPr>
          <w:rFonts w:asciiTheme="minorHAnsi" w:hAnsiTheme="minorHAnsi" w:cstheme="minorHAnsi"/>
          <w:b/>
          <w:szCs w:val="24"/>
        </w:rPr>
        <w:t>i</w:t>
      </w:r>
      <w:r w:rsidRPr="00C64B7E">
        <w:rPr>
          <w:rFonts w:asciiTheme="minorHAnsi" w:hAnsiTheme="minorHAnsi" w:cstheme="minorHAnsi"/>
          <w:b/>
          <w:szCs w:val="24"/>
        </w:rPr>
        <w:t>nsta ressaltar que está pendente de análise pelo C</w:t>
      </w:r>
      <w:r w:rsidR="0058552F">
        <w:rPr>
          <w:rFonts w:asciiTheme="minorHAnsi" w:hAnsiTheme="minorHAnsi" w:cstheme="minorHAnsi"/>
          <w:b/>
          <w:szCs w:val="24"/>
        </w:rPr>
        <w:t>entro de Apoio à Execução (</w:t>
      </w:r>
      <w:r w:rsidR="0058552F">
        <w:rPr>
          <w:rFonts w:asciiTheme="minorHAnsi" w:hAnsiTheme="minorHAnsi" w:cstheme="minorHAnsi"/>
          <w:b/>
          <w:szCs w:val="24"/>
        </w:rPr>
        <w:t>CAEx</w:t>
      </w:r>
      <w:r w:rsidR="0058552F">
        <w:rPr>
          <w:rFonts w:asciiTheme="minorHAnsi" w:hAnsiTheme="minorHAnsi" w:cstheme="minorHAnsi"/>
          <w:b/>
          <w:szCs w:val="24"/>
        </w:rPr>
        <w:t>)</w:t>
      </w:r>
      <w:r w:rsidRPr="00C64B7E">
        <w:rPr>
          <w:rFonts w:asciiTheme="minorHAnsi" w:hAnsiTheme="minorHAnsi" w:cstheme="minorHAnsi"/>
          <w:b/>
          <w:szCs w:val="24"/>
        </w:rPr>
        <w:t>, órgão técnico do D.</w:t>
      </w:r>
      <w:r w:rsidRPr="00C64B7E" w:rsidR="00C64B7E">
        <w:rPr>
          <w:rFonts w:asciiTheme="minorHAnsi" w:hAnsiTheme="minorHAnsi" w:cstheme="minorHAnsi"/>
          <w:b/>
          <w:szCs w:val="24"/>
        </w:rPr>
        <w:t xml:space="preserve"> </w:t>
      </w:r>
      <w:r w:rsidRPr="00C64B7E">
        <w:rPr>
          <w:rFonts w:asciiTheme="minorHAnsi" w:hAnsiTheme="minorHAnsi" w:cstheme="minorHAnsi"/>
          <w:b/>
          <w:szCs w:val="24"/>
        </w:rPr>
        <w:t>MP/SP</w:t>
      </w:r>
      <w:r w:rsidRPr="00C64B7E" w:rsidR="00C64B7E">
        <w:rPr>
          <w:rFonts w:asciiTheme="minorHAnsi" w:hAnsiTheme="minorHAnsi" w:cstheme="minorHAnsi"/>
          <w:b/>
          <w:szCs w:val="24"/>
        </w:rPr>
        <w:t>, nos</w:t>
      </w:r>
      <w:r w:rsidRPr="00C64B7E">
        <w:rPr>
          <w:rFonts w:asciiTheme="minorHAnsi" w:hAnsiTheme="minorHAnsi" w:cstheme="minorHAnsi"/>
          <w:b/>
          <w:szCs w:val="24"/>
        </w:rPr>
        <w:t xml:space="preserve"> </w:t>
      </w:r>
      <w:r w:rsidRPr="00C64B7E" w:rsidR="00C64B7E">
        <w:rPr>
          <w:rFonts w:asciiTheme="minorHAnsi" w:hAnsiTheme="minorHAnsi" w:cstheme="minorHAnsi"/>
          <w:b/>
          <w:szCs w:val="24"/>
        </w:rPr>
        <w:t>autos do Procedimento Administrativo de Acompanhamento</w:t>
      </w:r>
      <w:r w:rsidR="00494A84">
        <w:rPr>
          <w:rFonts w:asciiTheme="minorHAnsi" w:hAnsiTheme="minorHAnsi" w:cstheme="minorHAnsi"/>
          <w:b/>
          <w:szCs w:val="24"/>
        </w:rPr>
        <w:t xml:space="preserve"> (PAA) </w:t>
      </w:r>
      <w:r w:rsidR="00C521FB">
        <w:rPr>
          <w:rFonts w:asciiTheme="minorHAnsi" w:hAnsiTheme="minorHAnsi" w:cstheme="minorHAnsi"/>
          <w:b/>
          <w:szCs w:val="24"/>
        </w:rPr>
        <w:t>n. 0466.0000432/2019</w:t>
      </w:r>
      <w:r w:rsidRPr="00C64B7E" w:rsidR="00C64B7E">
        <w:rPr>
          <w:rFonts w:asciiTheme="minorHAnsi" w:hAnsiTheme="minorHAnsi" w:cstheme="minorHAnsi"/>
          <w:b/>
          <w:szCs w:val="24"/>
        </w:rPr>
        <w:t xml:space="preserve"> </w:t>
      </w:r>
      <w:r w:rsidRPr="00C64B7E">
        <w:rPr>
          <w:rFonts w:asciiTheme="minorHAnsi" w:hAnsiTheme="minorHAnsi" w:cstheme="minorHAnsi"/>
          <w:b/>
          <w:szCs w:val="24"/>
        </w:rPr>
        <w:t>poss</w:t>
      </w:r>
      <w:r w:rsidRPr="00C64B7E" w:rsidR="00261347">
        <w:rPr>
          <w:rFonts w:asciiTheme="minorHAnsi" w:hAnsiTheme="minorHAnsi" w:cstheme="minorHAnsi"/>
          <w:b/>
          <w:szCs w:val="24"/>
        </w:rPr>
        <w:t xml:space="preserve">ível retrocesso ambiental </w:t>
      </w:r>
      <w:r w:rsidR="00C50F85">
        <w:rPr>
          <w:rFonts w:asciiTheme="minorHAnsi" w:hAnsiTheme="minorHAnsi" w:cstheme="minorHAnsi"/>
          <w:b/>
          <w:szCs w:val="24"/>
        </w:rPr>
        <w:t xml:space="preserve">ocasionado </w:t>
      </w:r>
      <w:r w:rsidRPr="00C64B7E" w:rsidR="00261347">
        <w:rPr>
          <w:rFonts w:asciiTheme="minorHAnsi" w:hAnsiTheme="minorHAnsi" w:cstheme="minorHAnsi"/>
          <w:b/>
          <w:szCs w:val="24"/>
        </w:rPr>
        <w:t>pela</w:t>
      </w:r>
      <w:r w:rsidRPr="00C64B7E">
        <w:rPr>
          <w:rFonts w:asciiTheme="minorHAnsi" w:hAnsiTheme="minorHAnsi" w:cstheme="minorHAnsi"/>
          <w:b/>
          <w:szCs w:val="24"/>
        </w:rPr>
        <w:t xml:space="preserve"> LM nº </w:t>
      </w:r>
      <w:r w:rsidRPr="00C64B7E" w:rsidR="00C64B7E">
        <w:rPr>
          <w:rFonts w:asciiTheme="minorHAnsi" w:hAnsiTheme="minorHAnsi" w:cstheme="minorHAnsi"/>
          <w:b/>
          <w:szCs w:val="24"/>
        </w:rPr>
        <w:t>6.573/2023 (</w:t>
      </w:r>
      <w:r w:rsidRPr="00C64B7E">
        <w:rPr>
          <w:rFonts w:asciiTheme="minorHAnsi" w:hAnsiTheme="minorHAnsi" w:cstheme="minorHAnsi"/>
          <w:b/>
          <w:szCs w:val="24"/>
        </w:rPr>
        <w:t>Plano Diretor</w:t>
      </w:r>
      <w:r w:rsidRPr="00C64B7E" w:rsidR="00C64B7E">
        <w:rPr>
          <w:rFonts w:asciiTheme="minorHAnsi" w:hAnsiTheme="minorHAnsi" w:cstheme="minorHAnsi"/>
          <w:b/>
          <w:szCs w:val="24"/>
        </w:rPr>
        <w:t>)</w:t>
      </w:r>
      <w:r w:rsidRPr="00C64B7E">
        <w:rPr>
          <w:rFonts w:asciiTheme="minorHAnsi" w:hAnsiTheme="minorHAnsi" w:cstheme="minorHAnsi"/>
          <w:b/>
          <w:szCs w:val="24"/>
        </w:rPr>
        <w:t xml:space="preserve"> </w:t>
      </w:r>
      <w:r w:rsidRPr="00C64B7E" w:rsidR="00C64B7E">
        <w:rPr>
          <w:rFonts w:asciiTheme="minorHAnsi" w:hAnsiTheme="minorHAnsi" w:cstheme="minorHAnsi"/>
          <w:b/>
          <w:szCs w:val="24"/>
        </w:rPr>
        <w:t>e LM nº 6.574/2023 (LOUS).</w:t>
      </w:r>
    </w:p>
    <w:p w:rsidR="00C64B7E" w:rsidRPr="00610C36" w:rsidP="00C64B7E">
      <w:pPr>
        <w:pStyle w:val="NormalWeb"/>
        <w:spacing w:line="360" w:lineRule="auto"/>
        <w:ind w:firstLine="1701"/>
        <w:jc w:val="both"/>
        <w:rPr>
          <w:rFonts w:asciiTheme="minorHAnsi" w:hAnsiTheme="minorHAnsi" w:cstheme="minorHAnsi"/>
          <w:u w:val="single"/>
        </w:rPr>
      </w:pPr>
      <w:r>
        <w:rPr>
          <w:rFonts w:asciiTheme="minorHAnsi" w:hAnsiTheme="minorHAnsi" w:cstheme="minorHAnsi"/>
        </w:rPr>
        <w:t>Por derradeiro, quanto aos aspectos gramatical e lógico,</w:t>
      </w:r>
      <w:r w:rsidRPr="003B5E71" w:rsidR="00C14149">
        <w:rPr>
          <w:rFonts w:asciiTheme="minorHAnsi" w:hAnsiTheme="minorHAnsi" w:cstheme="minorHAnsi"/>
        </w:rPr>
        <w:t xml:space="preserve"> </w:t>
      </w:r>
      <w:r>
        <w:rPr>
          <w:rFonts w:asciiTheme="minorHAnsi" w:hAnsiTheme="minorHAnsi" w:cstheme="minorHAnsi"/>
        </w:rPr>
        <w:t>em atenção</w:t>
      </w:r>
      <w:r w:rsidRPr="003B5E71" w:rsidR="00C14149">
        <w:rPr>
          <w:rFonts w:asciiTheme="minorHAnsi" w:hAnsiTheme="minorHAnsi" w:cstheme="minorHAnsi"/>
        </w:rPr>
        <w:t xml:space="preserve"> aos preceitos da Lei Complementar nº 95/98 que dispõe sobre a elaboração, a redação, a alteração e a consolidação das leis, conforme determina o parágrafo único do art. 59 da Constituição Federal</w:t>
      </w:r>
      <w:r>
        <w:rPr>
          <w:rFonts w:asciiTheme="minorHAnsi" w:hAnsiTheme="minorHAnsi" w:cstheme="minorHAnsi"/>
        </w:rPr>
        <w:t xml:space="preserve">, </w:t>
      </w:r>
      <w:r w:rsidRPr="00610C36">
        <w:rPr>
          <w:rFonts w:asciiTheme="minorHAnsi" w:hAnsiTheme="minorHAnsi" w:cstheme="minorHAnsi"/>
          <w:u w:val="single"/>
        </w:rPr>
        <w:t xml:space="preserve">cumpre observar </w:t>
      </w:r>
      <w:r w:rsidR="00610C36">
        <w:rPr>
          <w:rFonts w:asciiTheme="minorHAnsi" w:hAnsiTheme="minorHAnsi" w:cstheme="minorHAnsi"/>
          <w:u w:val="single"/>
        </w:rPr>
        <w:t xml:space="preserve">ausência do art. 3º e que </w:t>
      </w:r>
      <w:r w:rsidRPr="00610C36" w:rsidR="00610C36">
        <w:rPr>
          <w:rFonts w:asciiTheme="minorHAnsi" w:hAnsiTheme="minorHAnsi" w:cstheme="minorHAnsi"/>
          <w:u w:val="single"/>
        </w:rPr>
        <w:t xml:space="preserve">não consta </w:t>
      </w:r>
      <w:r w:rsidRPr="00610C36">
        <w:rPr>
          <w:rFonts w:asciiTheme="minorHAnsi" w:hAnsiTheme="minorHAnsi" w:cstheme="minorHAnsi"/>
          <w:u w:val="single"/>
        </w:rPr>
        <w:t>do quadro I do Anexo II-A a expressão “</w:t>
      </w:r>
      <w:r w:rsidRPr="00DE332C">
        <w:rPr>
          <w:rFonts w:asciiTheme="minorHAnsi" w:hAnsiTheme="minorHAnsi" w:cstheme="minorHAnsi"/>
          <w:i/>
          <w:u w:val="single"/>
        </w:rPr>
        <w:t>Alameda Itatiba</w:t>
      </w:r>
      <w:r w:rsidRPr="00610C36">
        <w:rPr>
          <w:rFonts w:asciiTheme="minorHAnsi" w:hAnsiTheme="minorHAnsi" w:cstheme="minorHAnsi"/>
          <w:u w:val="single"/>
        </w:rPr>
        <w:t xml:space="preserve">” </w:t>
      </w:r>
      <w:r w:rsidR="00610C36">
        <w:rPr>
          <w:rFonts w:asciiTheme="minorHAnsi" w:hAnsiTheme="minorHAnsi" w:cstheme="minorHAnsi"/>
          <w:u w:val="single"/>
        </w:rPr>
        <w:t>a que se refere o art. 4º do projeto.</w:t>
      </w:r>
    </w:p>
    <w:p w:rsidR="00A10CF3" w:rsidRPr="006247C3" w:rsidP="00C067BC">
      <w:pPr>
        <w:pStyle w:val="NormalWeb"/>
        <w:spacing w:before="0" w:beforeAutospacing="0" w:after="240" w:afterAutospacing="0" w:line="360" w:lineRule="auto"/>
        <w:ind w:firstLine="1701"/>
        <w:jc w:val="both"/>
        <w:rPr>
          <w:rFonts w:asciiTheme="minorHAnsi" w:hAnsiTheme="minorHAnsi" w:cstheme="minorHAnsi"/>
        </w:rPr>
      </w:pPr>
      <w:r w:rsidRPr="006247C3">
        <w:rPr>
          <w:rFonts w:asciiTheme="minorHAnsi" w:hAnsiTheme="minorHAnsi" w:cstheme="minorHAnsi"/>
        </w:rPr>
        <w:t>Ante todo o exposto,</w:t>
      </w:r>
      <w:r w:rsidRPr="006247C3" w:rsidR="00494A84">
        <w:rPr>
          <w:rFonts w:asciiTheme="minorHAnsi" w:hAnsiTheme="minorHAnsi" w:cstheme="minorHAnsi"/>
        </w:rPr>
        <w:t xml:space="preserve"> sem adentrar </w:t>
      </w:r>
      <w:r w:rsidRPr="006247C3" w:rsidR="00706F7D">
        <w:rPr>
          <w:rFonts w:asciiTheme="minorHAnsi" w:hAnsiTheme="minorHAnsi" w:cstheme="minorHAnsi"/>
        </w:rPr>
        <w:t>na análise de</w:t>
      </w:r>
      <w:r w:rsidRPr="006247C3" w:rsidR="00494A84">
        <w:rPr>
          <w:rFonts w:asciiTheme="minorHAnsi" w:hAnsiTheme="minorHAnsi" w:cstheme="minorHAnsi"/>
        </w:rPr>
        <w:t xml:space="preserve"> possível retrocesso ambiental</w:t>
      </w:r>
      <w:r w:rsidRPr="006247C3" w:rsidR="00706F7D">
        <w:rPr>
          <w:rFonts w:asciiTheme="minorHAnsi" w:hAnsiTheme="minorHAnsi" w:cstheme="minorHAnsi"/>
        </w:rPr>
        <w:t>,</w:t>
      </w:r>
      <w:r w:rsidRPr="006247C3" w:rsidR="00494A84">
        <w:rPr>
          <w:rFonts w:asciiTheme="minorHAnsi" w:hAnsiTheme="minorHAnsi" w:cstheme="minorHAnsi"/>
        </w:rPr>
        <w:t xml:space="preserve"> haja vista se tratar de </w:t>
      </w:r>
      <w:r w:rsidRPr="006247C3" w:rsidR="00706F7D">
        <w:rPr>
          <w:rFonts w:asciiTheme="minorHAnsi" w:hAnsiTheme="minorHAnsi" w:cstheme="minorHAnsi"/>
        </w:rPr>
        <w:t xml:space="preserve">tema complexo que demanda estudos técnicos </w:t>
      </w:r>
      <w:r w:rsidRPr="006247C3" w:rsidR="006247C3">
        <w:rPr>
          <w:rFonts w:asciiTheme="minorHAnsi" w:hAnsiTheme="minorHAnsi" w:cstheme="minorHAnsi"/>
        </w:rPr>
        <w:t xml:space="preserve">que ainda estão sendo realizados </w:t>
      </w:r>
      <w:r w:rsidR="003C0034">
        <w:rPr>
          <w:rFonts w:asciiTheme="minorHAnsi" w:hAnsiTheme="minorHAnsi" w:cstheme="minorHAnsi"/>
        </w:rPr>
        <w:t xml:space="preserve">pelo </w:t>
      </w:r>
      <w:r w:rsidR="003C0034">
        <w:rPr>
          <w:rFonts w:asciiTheme="minorHAnsi" w:hAnsiTheme="minorHAnsi" w:cstheme="minorHAnsi"/>
        </w:rPr>
        <w:t>CAEx</w:t>
      </w:r>
      <w:r w:rsidR="003C0034">
        <w:rPr>
          <w:rFonts w:asciiTheme="minorHAnsi" w:hAnsiTheme="minorHAnsi" w:cstheme="minorHAnsi"/>
        </w:rPr>
        <w:t>, e</w:t>
      </w:r>
      <w:r w:rsidRPr="006247C3" w:rsidR="00706F7D">
        <w:rPr>
          <w:rFonts w:asciiTheme="minorHAnsi" w:hAnsiTheme="minorHAnsi" w:cstheme="minorHAnsi"/>
        </w:rPr>
        <w:t xml:space="preserve"> considerando</w:t>
      </w:r>
      <w:r w:rsidRPr="006247C3" w:rsidR="00494A84">
        <w:rPr>
          <w:rFonts w:asciiTheme="minorHAnsi" w:hAnsiTheme="minorHAnsi" w:cstheme="minorHAnsi"/>
        </w:rPr>
        <w:t xml:space="preserve"> a presunção de constitucionalidade dos diplomas legais em questão, </w:t>
      </w:r>
      <w:r w:rsidRPr="006247C3">
        <w:rPr>
          <w:rFonts w:asciiTheme="minorHAnsi" w:hAnsiTheme="minorHAnsi" w:cstheme="minorHAnsi"/>
        </w:rPr>
        <w:t>conclui-se que o projeto poderá reunir condições de constitucionalidade, desde que observados os procedimentos formais em matéria urbanística estabelecidos pela Constituição Estadual, consoante os fundamentos acima articulados baseados no posicionamento jurisprudencial albergado</w:t>
      </w:r>
      <w:r w:rsidR="000A2BCB">
        <w:rPr>
          <w:rFonts w:asciiTheme="minorHAnsi" w:hAnsiTheme="minorHAnsi" w:cstheme="minorHAnsi"/>
        </w:rPr>
        <w:t>. Por fim,</w:t>
      </w:r>
      <w:r w:rsidRPr="006247C3" w:rsidR="007E6546">
        <w:rPr>
          <w:rFonts w:asciiTheme="minorHAnsi" w:hAnsiTheme="minorHAnsi" w:cstheme="minorHAnsi"/>
        </w:rPr>
        <w:t xml:space="preserve"> </w:t>
      </w:r>
      <w:r w:rsidR="00610C36">
        <w:rPr>
          <w:rFonts w:asciiTheme="minorHAnsi" w:hAnsiTheme="minorHAnsi" w:cstheme="minorHAnsi"/>
        </w:rPr>
        <w:t>r</w:t>
      </w:r>
      <w:r w:rsidRPr="006247C3" w:rsidR="007E6546">
        <w:rPr>
          <w:rFonts w:asciiTheme="minorHAnsi" w:hAnsiTheme="minorHAnsi" w:cstheme="minorHAnsi"/>
        </w:rPr>
        <w:t>essalta</w:t>
      </w:r>
      <w:r w:rsidR="000A2BCB">
        <w:rPr>
          <w:rFonts w:asciiTheme="minorHAnsi" w:hAnsiTheme="minorHAnsi" w:cstheme="minorHAnsi"/>
        </w:rPr>
        <w:t xml:space="preserve">-se </w:t>
      </w:r>
      <w:r w:rsidRPr="006247C3" w:rsidR="007E6546">
        <w:rPr>
          <w:rFonts w:asciiTheme="minorHAnsi" w:hAnsiTheme="minorHAnsi" w:cstheme="minorHAnsi"/>
        </w:rPr>
        <w:t>sugestão de supressão do artigo 10</w:t>
      </w:r>
      <w:r w:rsidRPr="006247C3" w:rsidR="006247C3">
        <w:rPr>
          <w:rFonts w:asciiTheme="minorHAnsi" w:hAnsiTheme="minorHAnsi" w:cstheme="minorHAnsi"/>
        </w:rPr>
        <w:t>,</w:t>
      </w:r>
      <w:r w:rsidRPr="006247C3" w:rsidR="007E6546">
        <w:rPr>
          <w:rFonts w:asciiTheme="minorHAnsi" w:hAnsiTheme="minorHAnsi" w:cstheme="minorHAnsi"/>
        </w:rPr>
        <w:t xml:space="preserve"> por tratar de matéria de iniciativa privativa</w:t>
      </w:r>
      <w:r w:rsidR="000A2BCB">
        <w:rPr>
          <w:rFonts w:asciiTheme="minorHAnsi" w:hAnsiTheme="minorHAnsi" w:cstheme="minorHAnsi"/>
        </w:rPr>
        <w:t>, bem como as</w:t>
      </w:r>
      <w:r w:rsidR="00610C36">
        <w:rPr>
          <w:rFonts w:asciiTheme="minorHAnsi" w:hAnsiTheme="minorHAnsi" w:cstheme="minorHAnsi"/>
        </w:rPr>
        <w:t xml:space="preserve"> ressalvas atinentes aos aspectos </w:t>
      </w:r>
      <w:r w:rsidR="006D3967">
        <w:rPr>
          <w:rFonts w:asciiTheme="minorHAnsi" w:hAnsiTheme="minorHAnsi" w:cstheme="minorHAnsi"/>
        </w:rPr>
        <w:t>da LC nº95/98</w:t>
      </w:r>
      <w:r w:rsidR="00AF4053">
        <w:rPr>
          <w:rFonts w:asciiTheme="minorHAnsi" w:hAnsiTheme="minorHAnsi" w:cstheme="minorHAnsi"/>
        </w:rPr>
        <w:t>.</w:t>
      </w:r>
      <w:r w:rsidRPr="006247C3" w:rsidR="00AF4053">
        <w:rPr>
          <w:rFonts w:asciiTheme="minorHAnsi" w:hAnsiTheme="minorHAnsi" w:cstheme="minorHAnsi"/>
        </w:rPr>
        <w:t xml:space="preserve"> </w:t>
      </w:r>
      <w:r w:rsidRPr="006247C3">
        <w:rPr>
          <w:rFonts w:asciiTheme="minorHAnsi" w:hAnsiTheme="minorHAnsi" w:cstheme="minorHAnsi"/>
        </w:rPr>
        <w:t>Sobre o mérito, manifestar-se-á o Plenário de forma soberana.</w:t>
      </w:r>
    </w:p>
    <w:p w:rsidR="00C14149" w:rsidRPr="003B5E71" w:rsidP="00C067BC">
      <w:pPr>
        <w:pStyle w:val="BodyText"/>
        <w:spacing w:after="240" w:line="360" w:lineRule="auto"/>
        <w:ind w:firstLine="1701"/>
        <w:jc w:val="both"/>
        <w:rPr>
          <w:rFonts w:asciiTheme="minorHAnsi" w:hAnsiTheme="minorHAnsi" w:cstheme="minorHAnsi"/>
          <w:szCs w:val="24"/>
        </w:rPr>
      </w:pPr>
      <w:r w:rsidRPr="003B5E71">
        <w:rPr>
          <w:rFonts w:asciiTheme="minorHAnsi" w:hAnsiTheme="minorHAnsi" w:cstheme="minorHAnsi"/>
          <w:color w:val="000000"/>
          <w:szCs w:val="24"/>
        </w:rPr>
        <w:t>É o parecer, a superior consideração.</w:t>
      </w:r>
    </w:p>
    <w:p w:rsidR="00C14149" w:rsidRPr="003B5E71" w:rsidP="00C067BC">
      <w:pPr>
        <w:pStyle w:val="BodyText"/>
        <w:spacing w:after="240" w:line="360" w:lineRule="auto"/>
        <w:ind w:firstLine="1701"/>
        <w:jc w:val="both"/>
        <w:rPr>
          <w:rFonts w:asciiTheme="minorHAnsi" w:hAnsiTheme="minorHAnsi" w:cstheme="minorHAnsi"/>
          <w:iCs/>
          <w:color w:val="FF0000"/>
          <w:szCs w:val="24"/>
        </w:rPr>
      </w:pPr>
      <w:r w:rsidRPr="003B5E71">
        <w:rPr>
          <w:rFonts w:asciiTheme="minorHAnsi" w:hAnsiTheme="minorHAnsi" w:cstheme="minorHAnsi"/>
          <w:iCs/>
          <w:szCs w:val="24"/>
        </w:rPr>
        <w:t xml:space="preserve">Procuradoria, aos </w:t>
      </w:r>
      <w:r w:rsidRPr="003B5E71" w:rsidR="00AB168C">
        <w:rPr>
          <w:rFonts w:asciiTheme="minorHAnsi" w:hAnsiTheme="minorHAnsi" w:cstheme="minorHAnsi"/>
          <w:iCs/>
          <w:szCs w:val="24"/>
        </w:rPr>
        <w:t>1</w:t>
      </w:r>
      <w:r w:rsidRPr="003B5E71" w:rsidR="00BC46BA">
        <w:rPr>
          <w:rFonts w:asciiTheme="minorHAnsi" w:hAnsiTheme="minorHAnsi" w:cstheme="minorHAnsi"/>
          <w:iCs/>
          <w:szCs w:val="24"/>
        </w:rPr>
        <w:t>7</w:t>
      </w:r>
      <w:r w:rsidRPr="003B5E71">
        <w:rPr>
          <w:rFonts w:asciiTheme="minorHAnsi" w:hAnsiTheme="minorHAnsi" w:cstheme="minorHAnsi"/>
          <w:iCs/>
          <w:szCs w:val="24"/>
        </w:rPr>
        <w:t xml:space="preserve"> de </w:t>
      </w:r>
      <w:r w:rsidRPr="003B5E71" w:rsidR="00F20B73">
        <w:rPr>
          <w:rFonts w:asciiTheme="minorHAnsi" w:hAnsiTheme="minorHAnsi" w:cstheme="minorHAnsi"/>
          <w:iCs/>
          <w:szCs w:val="24"/>
        </w:rPr>
        <w:t>junho</w:t>
      </w:r>
      <w:r w:rsidRPr="003B5E71">
        <w:rPr>
          <w:rFonts w:asciiTheme="minorHAnsi" w:hAnsiTheme="minorHAnsi" w:cstheme="minorHAnsi"/>
          <w:iCs/>
          <w:szCs w:val="24"/>
        </w:rPr>
        <w:t xml:space="preserve"> de 202</w:t>
      </w:r>
      <w:r w:rsidRPr="003B5E71" w:rsidR="00F20B73">
        <w:rPr>
          <w:rFonts w:asciiTheme="minorHAnsi" w:hAnsiTheme="minorHAnsi" w:cstheme="minorHAnsi"/>
          <w:iCs/>
          <w:szCs w:val="24"/>
        </w:rPr>
        <w:t>4</w:t>
      </w:r>
      <w:r w:rsidRPr="003B5E71">
        <w:rPr>
          <w:rFonts w:asciiTheme="minorHAnsi" w:hAnsiTheme="minorHAnsi" w:cstheme="minorHAnsi"/>
          <w:iCs/>
          <w:szCs w:val="24"/>
        </w:rPr>
        <w:t>.</w:t>
      </w:r>
    </w:p>
    <w:p w:rsidR="00BF7AF2" w:rsidRPr="003B5E71" w:rsidP="00C14149">
      <w:pPr>
        <w:pStyle w:val="BodyText"/>
        <w:spacing w:line="360" w:lineRule="auto"/>
        <w:ind w:firstLine="1701"/>
        <w:jc w:val="both"/>
        <w:rPr>
          <w:rFonts w:asciiTheme="minorHAnsi" w:hAnsiTheme="minorHAnsi" w:cstheme="minorHAnsi"/>
          <w:iCs/>
          <w:szCs w:val="24"/>
        </w:rPr>
      </w:pPr>
    </w:p>
    <w:p w:rsidR="00333B5F" w:rsidRPr="003B5E71" w:rsidP="00333B5F">
      <w:pPr>
        <w:spacing w:after="0" w:line="360" w:lineRule="auto"/>
        <w:ind w:firstLine="1701"/>
        <w:jc w:val="both"/>
        <w:rPr>
          <w:rFonts w:asciiTheme="minorHAnsi" w:hAnsiTheme="minorHAnsi" w:cstheme="minorHAnsi"/>
          <w:szCs w:val="24"/>
        </w:rPr>
      </w:pPr>
    </w:p>
    <w:p w:rsidR="00333B5F" w:rsidRPr="003B5E71" w:rsidP="00333B5F">
      <w:pPr>
        <w:tabs>
          <w:tab w:val="left" w:pos="2880"/>
        </w:tabs>
        <w:spacing w:after="0" w:line="240" w:lineRule="auto"/>
        <w:rPr>
          <w:rFonts w:asciiTheme="minorHAnsi" w:hAnsiTheme="minorHAnsi" w:cstheme="minorHAnsi"/>
          <w:b/>
          <w:szCs w:val="24"/>
        </w:rPr>
      </w:pPr>
      <w:r w:rsidRPr="003B5E71">
        <w:rPr>
          <w:rFonts w:asciiTheme="minorHAnsi" w:hAnsiTheme="minorHAnsi" w:cstheme="minorHAnsi"/>
          <w:b/>
          <w:szCs w:val="24"/>
        </w:rPr>
        <w:t>Rosemeire de Souza Cardoso Barbosa                                 Tiago Fadel Malghosian</w:t>
      </w:r>
    </w:p>
    <w:p w:rsidR="00333B5F" w:rsidRPr="003B5E71" w:rsidP="00333B5F">
      <w:pPr>
        <w:tabs>
          <w:tab w:val="left" w:pos="2880"/>
        </w:tabs>
        <w:spacing w:after="0" w:line="240" w:lineRule="auto"/>
        <w:jc w:val="center"/>
        <w:rPr>
          <w:rFonts w:asciiTheme="minorHAnsi" w:hAnsiTheme="minorHAnsi" w:cstheme="minorHAnsi"/>
          <w:b/>
          <w:szCs w:val="24"/>
        </w:rPr>
      </w:pPr>
      <w:r w:rsidRPr="003B5E71">
        <w:rPr>
          <w:rFonts w:asciiTheme="minorHAnsi" w:hAnsiTheme="minorHAnsi" w:cstheme="minorHAnsi"/>
          <w:b/>
          <w:szCs w:val="24"/>
        </w:rPr>
        <w:t>Procuradora – OAB/SP 308.298                               Procurador- OAB/SP 319.159</w:t>
      </w:r>
    </w:p>
    <w:p w:rsidR="00333B5F" w:rsidRPr="003B5E71" w:rsidP="00333B5F">
      <w:pPr>
        <w:pStyle w:val="BodyText"/>
        <w:spacing w:after="0" w:line="240" w:lineRule="auto"/>
        <w:jc w:val="center"/>
        <w:rPr>
          <w:rFonts w:asciiTheme="minorHAnsi" w:hAnsiTheme="minorHAnsi" w:cs="Calibri"/>
        </w:rPr>
      </w:pPr>
      <w:r w:rsidRPr="003B5E71">
        <w:rPr>
          <w:rFonts w:asciiTheme="minorHAnsi" w:hAnsiTheme="minorHAnsi" w:cstheme="minorHAnsi"/>
          <w:szCs w:val="24"/>
        </w:rPr>
        <w:t>Assinatura eletrônica                                                 Assinatura eletrônica</w:t>
      </w:r>
    </w:p>
    <w:p w:rsidR="00C14149" w:rsidRPr="003B5E71" w:rsidP="00C14149">
      <w:pPr>
        <w:rPr>
          <w:rFonts w:asciiTheme="minorHAnsi" w:hAnsiTheme="minorHAnsi" w:cstheme="minorHAnsi"/>
          <w:color w:val="000000"/>
          <w:szCs w:val="24"/>
        </w:rPr>
      </w:pPr>
    </w:p>
    <w:sectPr w:rsidSect="00113529">
      <w:headerReference w:type="default" r:id="rId29"/>
      <w:footerReference w:type="default" r:id="rId30"/>
      <w:pgSz w:w="11906" w:h="16838"/>
      <w:pgMar w:top="2381" w:right="1701" w:bottom="1418" w:left="1701" w:header="426"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570025704"/>
      <w:docPartObj>
        <w:docPartGallery w:val="Page Numbers (Bottom of Page)"/>
        <w:docPartUnique/>
      </w:docPartObj>
    </w:sdtPr>
    <w:sdtContent>
      <w:sdt>
        <w:sdtPr>
          <w:id w:val="-1852948018"/>
          <w:docPartObj>
            <w:docPartGallery w:val="Page Numbers (Top of Page)"/>
            <w:docPartUnique/>
          </w:docPartObj>
        </w:sdtPr>
        <w:sdtContent>
          <w:p w:rsidR="00C1146C" w:rsidP="00DF4D61">
            <w:pPr>
              <w:pStyle w:val="Footer"/>
              <w:jc w:val="right"/>
              <w:rPr>
                <w:sz w:val="18"/>
                <w:lang w:val="pt-PT"/>
              </w:rPr>
            </w:pPr>
          </w:p>
          <w:p w:rsidR="00C1146C" w:rsidP="00DF4D61">
            <w:pPr>
              <w:pStyle w:val="Footer"/>
              <w:ind w:right="-313"/>
              <w:jc w:val="center"/>
              <w:rPr>
                <w:sz w:val="18"/>
                <w:lang w:val="pt-PT"/>
              </w:rPr>
            </w:pPr>
            <w:r>
              <w:rPr>
                <w:sz w:val="18"/>
                <w:lang w:val="pt-PT"/>
              </w:rPr>
              <w:t>________________________________________________________________________________________</w:t>
            </w:r>
          </w:p>
          <w:p w:rsidR="00C1146C" w:rsidP="00DF4D61">
            <w:pPr>
              <w:pStyle w:val="Footer"/>
              <w:ind w:right="-313"/>
              <w:rPr>
                <w:sz w:val="18"/>
                <w:lang w:val="pt-PT"/>
              </w:rPr>
            </w:pPr>
            <w:r>
              <w:rPr>
                <w:sz w:val="18"/>
                <w:lang w:val="pt-PT"/>
              </w:rPr>
              <w:t xml:space="preserve">          Rua Antônio Schiavinato, 59, Residencial São Luis - Tel: (19) 3829.5310 - CEP: 13270-</w:t>
            </w:r>
            <w:r>
              <w:rPr>
                <w:sz w:val="18"/>
                <w:lang w:val="pt-PT"/>
              </w:rPr>
              <w:t>470</w:t>
            </w:r>
          </w:p>
          <w:p w:rsidR="00C1146C" w:rsidP="00DF4D61">
            <w:pPr>
              <w:pStyle w:val="Footer"/>
              <w:ind w:left="-1985" w:right="-313"/>
              <w:jc w:val="center"/>
            </w:pPr>
            <w:r>
              <w:rPr>
                <w:sz w:val="18"/>
                <w:lang w:val="pt-PT"/>
              </w:rPr>
              <w:t xml:space="preserve">    </w:t>
            </w:r>
            <w:r>
              <w:rPr>
                <w:sz w:val="18"/>
                <w:lang w:val="pt-PT"/>
              </w:rPr>
              <w:t>site</w:t>
            </w:r>
            <w:r>
              <w:rPr>
                <w:sz w:val="18"/>
                <w:lang w:val="pt-PT"/>
              </w:rPr>
              <w:t xml:space="preserve">: www.camaravalinhos.sp.gov.br   </w:t>
            </w:r>
          </w:p>
          <w:p w:rsidR="00C1146C" w:rsidP="00DF4D61">
            <w:pPr>
              <w:pStyle w:val="Footer"/>
              <w:jc w:val="right"/>
            </w:pPr>
            <w:r w:rsidRPr="00F53BEF">
              <w:rPr>
                <w:sz w:val="18"/>
                <w:szCs w:val="18"/>
              </w:rPr>
              <w:t xml:space="preserve">Página </w:t>
            </w:r>
            <w:r w:rsidRPr="00F53BEF">
              <w:rPr>
                <w:b/>
                <w:bCs/>
                <w:sz w:val="18"/>
                <w:szCs w:val="18"/>
              </w:rPr>
              <w:fldChar w:fldCharType="begin"/>
            </w:r>
            <w:r w:rsidRPr="00F53BEF">
              <w:rPr>
                <w:b/>
                <w:bCs/>
                <w:sz w:val="18"/>
                <w:szCs w:val="18"/>
              </w:rPr>
              <w:instrText>PAGE</w:instrText>
            </w:r>
            <w:r w:rsidRPr="00F53BEF">
              <w:rPr>
                <w:b/>
                <w:bCs/>
                <w:sz w:val="18"/>
                <w:szCs w:val="18"/>
              </w:rPr>
              <w:fldChar w:fldCharType="separate"/>
            </w:r>
            <w:r w:rsidR="007207D3">
              <w:rPr>
                <w:b/>
                <w:bCs/>
                <w:noProof/>
                <w:sz w:val="18"/>
                <w:szCs w:val="18"/>
              </w:rPr>
              <w:t>24</w:t>
            </w:r>
            <w:r w:rsidRPr="00F53BEF">
              <w:rPr>
                <w:b/>
                <w:bCs/>
                <w:sz w:val="18"/>
                <w:szCs w:val="18"/>
              </w:rPr>
              <w:fldChar w:fldCharType="end"/>
            </w:r>
            <w:r w:rsidRPr="00F53BEF">
              <w:rPr>
                <w:sz w:val="18"/>
                <w:szCs w:val="18"/>
              </w:rPr>
              <w:t xml:space="preserve"> de </w:t>
            </w:r>
            <w:r w:rsidRPr="00F53BEF">
              <w:rPr>
                <w:b/>
                <w:bCs/>
                <w:sz w:val="18"/>
                <w:szCs w:val="18"/>
              </w:rPr>
              <w:fldChar w:fldCharType="begin"/>
            </w:r>
            <w:r w:rsidRPr="00F53BEF">
              <w:rPr>
                <w:b/>
                <w:bCs/>
                <w:sz w:val="18"/>
                <w:szCs w:val="18"/>
              </w:rPr>
              <w:instrText>NUMPAGES</w:instrText>
            </w:r>
            <w:r w:rsidRPr="00F53BEF">
              <w:rPr>
                <w:b/>
                <w:bCs/>
                <w:sz w:val="18"/>
                <w:szCs w:val="18"/>
              </w:rPr>
              <w:fldChar w:fldCharType="separate"/>
            </w:r>
            <w:r w:rsidR="007207D3">
              <w:rPr>
                <w:b/>
                <w:bCs/>
                <w:noProof/>
                <w:sz w:val="18"/>
                <w:szCs w:val="18"/>
              </w:rPr>
              <w:t>24</w:t>
            </w:r>
            <w:r w:rsidRPr="00F53BEF">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C1146C">
      <w:pPr>
        <w:spacing w:after="0" w:line="240" w:lineRule="auto"/>
      </w:pPr>
      <w:r>
        <w:separator/>
      </w:r>
    </w:p>
  </w:footnote>
  <w:footnote w:type="continuationSeparator" w:id="1">
    <w:p w:rsidR="00C1146C">
      <w:pPr>
        <w:spacing w:after="0" w:line="240" w:lineRule="auto"/>
      </w:pPr>
      <w:r>
        <w:continuationSeparator/>
      </w:r>
    </w:p>
  </w:footnote>
  <w:footnote w:id="2">
    <w:p w:rsidR="00C1146C" w:rsidRPr="00A50F78" w:rsidP="00A50F78">
      <w:pPr>
        <w:pStyle w:val="FootnoteText"/>
        <w:jc w:val="both"/>
        <w:rPr>
          <w:rFonts w:asciiTheme="minorHAnsi" w:hAnsiTheme="minorHAnsi"/>
          <w:sz w:val="18"/>
          <w:szCs w:val="18"/>
        </w:rPr>
      </w:pPr>
      <w:r w:rsidRPr="00A50F78">
        <w:rPr>
          <w:rStyle w:val="FootnoteReference"/>
          <w:rFonts w:asciiTheme="minorHAnsi" w:hAnsiTheme="minorHAnsi"/>
          <w:sz w:val="18"/>
          <w:szCs w:val="18"/>
        </w:rPr>
        <w:footnoteRef/>
      </w:r>
      <w:r w:rsidRPr="00A50F78">
        <w:rPr>
          <w:rFonts w:asciiTheme="minorHAnsi" w:hAnsiTheme="minorHAnsi"/>
          <w:sz w:val="18"/>
          <w:szCs w:val="18"/>
        </w:rPr>
        <w:t xml:space="preserve"> “</w:t>
      </w:r>
      <w:r w:rsidRPr="00A50F78">
        <w:rPr>
          <w:rFonts w:asciiTheme="minorHAnsi" w:hAnsiTheme="minorHAnsi"/>
          <w:i/>
          <w:iCs/>
          <w:sz w:val="18"/>
          <w:szCs w:val="18"/>
        </w:rPr>
        <w:t>Art. 38. Compete à Comissão de Justiça e Redação manifestar-se sobre todos os assuntos entregues à sua apreciação, quanto ao seu aspecto constitucional, legal ou jurídico e quanto ao seu aspecto gramatical e lógico, quando solicitado o seu parecer por imposição regimental ou deliberação de um terço dos Vereadores da Câmara. § 1º É obrigatória a audiência da Comissão sobre todos os projetos</w:t>
      </w:r>
      <w:r w:rsidRPr="00A50F78">
        <w:rPr>
          <w:rFonts w:asciiTheme="minorHAnsi" w:hAnsiTheme="minorHAnsi"/>
          <w:i/>
          <w:iCs/>
          <w:sz w:val="18"/>
          <w:szCs w:val="18"/>
        </w:rPr>
        <w:t xml:space="preserve">  </w:t>
      </w:r>
      <w:r w:rsidRPr="00A50F78">
        <w:rPr>
          <w:rFonts w:asciiTheme="minorHAnsi" w:hAnsiTheme="minorHAnsi"/>
          <w:i/>
          <w:iCs/>
          <w:sz w:val="18"/>
          <w:szCs w:val="18"/>
        </w:rPr>
        <w:t>que  tramitem  pela  Câmara, ressalvados os que explicitamente tiverem outro destino por este Regimento. § 2º Concluindo a Comissão de Justiça e Redação  pela  ilegalidade  ou  inconstitucionalidade  de  um projeto,  deve  o  parecer  vir  a  plenário  para  ser  discutido  e  somente  quando  rejeitado  prosseguirá  o processo</w:t>
      </w:r>
      <w:r w:rsidRPr="00A50F78">
        <w:rPr>
          <w:rFonts w:asciiTheme="minorHAnsi" w:hAnsiTheme="minorHAnsi"/>
          <w:sz w:val="18"/>
          <w:szCs w:val="18"/>
        </w:rPr>
        <w:t>.”</w:t>
      </w:r>
    </w:p>
  </w:footnote>
  <w:footnote w:id="3">
    <w:p w:rsidR="00C1146C" w:rsidRPr="00A50F78" w:rsidP="00C2495E">
      <w:pPr>
        <w:pStyle w:val="Default"/>
        <w:spacing w:after="120"/>
        <w:jc w:val="both"/>
        <w:rPr>
          <w:rFonts w:asciiTheme="minorHAnsi" w:hAnsiTheme="minorHAnsi" w:cstheme="minorHAnsi"/>
          <w:i/>
          <w:sz w:val="18"/>
          <w:szCs w:val="18"/>
        </w:rPr>
      </w:pPr>
      <w:r w:rsidRPr="00A50F78">
        <w:rPr>
          <w:rStyle w:val="FootnoteReference"/>
          <w:rFonts w:asciiTheme="minorHAnsi" w:hAnsiTheme="minorHAnsi"/>
          <w:sz w:val="18"/>
          <w:szCs w:val="18"/>
        </w:rPr>
        <w:footnoteRef/>
      </w:r>
      <w:r w:rsidRPr="00A50F78">
        <w:rPr>
          <w:rFonts w:asciiTheme="minorHAnsi" w:hAnsiTheme="minorHAnsi"/>
          <w:sz w:val="18"/>
          <w:szCs w:val="18"/>
        </w:rPr>
        <w:t xml:space="preserve"> </w:t>
      </w:r>
      <w:r w:rsidRPr="00A50F78">
        <w:rPr>
          <w:rFonts w:asciiTheme="minorHAnsi" w:hAnsiTheme="minorHAnsi" w:cstheme="minorHAnsi"/>
          <w:sz w:val="18"/>
          <w:szCs w:val="18"/>
        </w:rPr>
        <w:t xml:space="preserve">Nesse sentido é o entendimento do Supremo Tribunal Federal: </w:t>
      </w:r>
      <w:r w:rsidRPr="00A50F78">
        <w:rPr>
          <w:rFonts w:asciiTheme="minorHAnsi" w:hAnsiTheme="minorHAnsi" w:cstheme="minorHAnsi"/>
          <w:i/>
          <w:sz w:val="18"/>
          <w:szCs w:val="18"/>
        </w:rPr>
        <w:t xml:space="preserve">“O parecer emitido por procurador ou advogado de órgão da administração pública não é ato administrativo. Nada mais é do que a opinião emitida pelo operador do direito, opinião técnico-jurídica, que orientará o administrador na tomada da decisão, na prática do ato administrativo, que se constitui na execução </w:t>
      </w:r>
      <w:r w:rsidRPr="00A50F78">
        <w:rPr>
          <w:rFonts w:asciiTheme="minorHAnsi" w:hAnsiTheme="minorHAnsi" w:cstheme="minorHAnsi"/>
          <w:i/>
          <w:sz w:val="18"/>
          <w:szCs w:val="18"/>
        </w:rPr>
        <w:t>ex</w:t>
      </w:r>
      <w:r w:rsidRPr="00A50F78">
        <w:rPr>
          <w:rFonts w:asciiTheme="minorHAnsi" w:hAnsiTheme="minorHAnsi" w:cstheme="minorHAnsi"/>
          <w:i/>
          <w:sz w:val="18"/>
          <w:szCs w:val="18"/>
        </w:rPr>
        <w:t xml:space="preserve"> </w:t>
      </w:r>
      <w:r w:rsidRPr="00A50F78">
        <w:rPr>
          <w:rFonts w:asciiTheme="minorHAnsi" w:hAnsiTheme="minorHAnsi" w:cstheme="minorHAnsi"/>
          <w:i/>
          <w:sz w:val="18"/>
          <w:szCs w:val="18"/>
        </w:rPr>
        <w:t>oficio</w:t>
      </w:r>
      <w:r w:rsidRPr="00A50F78">
        <w:rPr>
          <w:rFonts w:asciiTheme="minorHAnsi" w:hAnsiTheme="minorHAnsi" w:cstheme="minorHAnsi"/>
          <w:i/>
          <w:sz w:val="18"/>
          <w:szCs w:val="18"/>
        </w:rPr>
        <w:t xml:space="preserve"> da lei. Na oportunidade do julgamento, porquanto envolvido na espécie simples parecer, ou seja, ato opinativo que poderia ser, ou não, considerado pelo administrador.” (Mandado de Segurança n° 24.584-1 - Distrito Federal - Relator: Min. Marco Aurélio de Mello – STF.) </w:t>
      </w:r>
    </w:p>
    <w:p w:rsidR="00C1146C">
      <w:pPr>
        <w:pStyle w:val="FootnoteText"/>
      </w:pPr>
    </w:p>
  </w:footnote>
  <w:footnote w:id="4">
    <w:p w:rsidR="00C1146C">
      <w:pPr>
        <w:pStyle w:val="FootnoteText"/>
        <w:rPr>
          <w:rFonts w:asciiTheme="minorHAnsi" w:hAnsiTheme="minorHAnsi" w:cstheme="minorHAnsi"/>
          <w:color w:val="000000" w:themeColor="text1"/>
        </w:rPr>
      </w:pPr>
    </w:p>
    <w:p w:rsidR="00C1146C" w:rsidRPr="009E1E85">
      <w:pPr>
        <w:pStyle w:val="FootnoteText"/>
        <w:rPr>
          <w:sz w:val="16"/>
          <w:szCs w:val="16"/>
        </w:rPr>
      </w:pPr>
      <w:r w:rsidRPr="009E1E85">
        <w:rPr>
          <w:rFonts w:asciiTheme="minorHAnsi" w:hAnsiTheme="minorHAnsi" w:cstheme="minorHAnsi"/>
          <w:color w:val="000000" w:themeColor="text1"/>
          <w:sz w:val="16"/>
          <w:szCs w:val="16"/>
        </w:rPr>
        <w:footnoteRef/>
      </w:r>
      <w:r w:rsidRPr="009E1E85">
        <w:rPr>
          <w:rFonts w:asciiTheme="minorHAnsi" w:hAnsiTheme="minorHAnsi" w:cstheme="minorHAnsi"/>
          <w:color w:val="000000" w:themeColor="text1"/>
          <w:sz w:val="16"/>
          <w:szCs w:val="16"/>
        </w:rPr>
        <w:t xml:space="preserve"> Direito Municipal Brasileiro. SP: Malheiros Editores, 17ª </w:t>
      </w:r>
      <w:r w:rsidRPr="009E1E85">
        <w:rPr>
          <w:rFonts w:asciiTheme="minorHAnsi" w:hAnsiTheme="minorHAnsi" w:cstheme="minorHAnsi"/>
          <w:color w:val="000000" w:themeColor="text1"/>
          <w:sz w:val="16"/>
          <w:szCs w:val="16"/>
        </w:rPr>
        <w:t>ed</w:t>
      </w:r>
      <w:r w:rsidRPr="009E1E85">
        <w:rPr>
          <w:rFonts w:asciiTheme="minorHAnsi" w:hAnsiTheme="minorHAnsi" w:cstheme="minorHAnsi"/>
          <w:color w:val="000000" w:themeColor="text1"/>
          <w:sz w:val="16"/>
          <w:szCs w:val="16"/>
        </w:rPr>
        <w:t>, pg. 567.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1146C" w:rsidP="00DF4D61">
    <w:pPr>
      <w:pStyle w:val="Header"/>
      <w:jc w:val="center"/>
      <w:rPr>
        <w:b/>
        <w:sz w:val="26"/>
        <w:lang w:val="pt-PT"/>
      </w:rPr>
    </w:pPr>
  </w:p>
  <w:p w:rsidR="00C1146C" w:rsidP="00DF4D61">
    <w:pPr>
      <w:pStyle w:val="Header"/>
      <w:jc w:val="center"/>
      <w:rPr>
        <w:b/>
        <w:sz w:val="26"/>
        <w:lang w:val="pt-PT"/>
      </w:rPr>
    </w:pPr>
    <w:r>
      <w:rPr>
        <w:noProof/>
        <w:sz w:val="20"/>
      </w:rPr>
      <mc:AlternateContent>
        <mc:Choice Requires="wps">
          <w:drawing>
            <wp:anchor distT="0" distB="0" distL="114300" distR="114300" simplePos="0" relativeHeight="251658240" behindDoc="0" locked="0" layoutInCell="1" allowOverlap="1">
              <wp:simplePos x="0" y="0"/>
              <wp:positionH relativeFrom="column">
                <wp:posOffset>-83185</wp:posOffset>
              </wp:positionH>
              <wp:positionV relativeFrom="paragraph">
                <wp:posOffset>41275</wp:posOffset>
              </wp:positionV>
              <wp:extent cx="1057910" cy="946150"/>
              <wp:effectExtent l="0" t="0" r="8890" b="6350"/>
              <wp:wrapSquare wrapText="bothSides"/>
              <wp:docPr id="3"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57910" cy="94615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C1146C" w:rsidP="00DF4D61">
                          <w:r>
                            <w:rPr>
                              <w:noProof/>
                            </w:rPr>
                            <w:drawing>
                              <wp:inline distT="0" distB="0" distL="0" distR="0">
                                <wp:extent cx="876300" cy="850900"/>
                                <wp:effectExtent l="19050" t="0" r="0" b="0"/>
                                <wp:docPr id="964467639" name="Imagem 1" descr="Logo Cam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55138" name="Picture 2" descr="Logo Camara"/>
                                        <pic:cNvPicPr>
                                          <a:picLocks noChangeAspect="1" noChangeArrowheads="1"/>
                                        </pic:cNvPicPr>
                                      </pic:nvPicPr>
                                      <pic:blipFill>
                                        <a:blip xmlns:r="http://schemas.openxmlformats.org/officeDocument/2006/relationships" r:embed="rId1"/>
                                        <a:stretch>
                                          <a:fillRect/>
                                        </a:stretch>
                                      </pic:blipFill>
                                      <pic:spPr bwMode="auto">
                                        <a:xfrm>
                                          <a:off x="0" y="0"/>
                                          <a:ext cx="876300" cy="850900"/>
                                        </a:xfrm>
                                        <a:prstGeom prst="rect">
                                          <a:avLst/>
                                        </a:prstGeom>
                                        <a:noFill/>
                                        <a:ln w="9525">
                                          <a:noFill/>
                                          <a:miter lim="800000"/>
                                          <a:headEnd/>
                                          <a:tailEnd/>
                                        </a:ln>
                                      </pic:spPr>
                                    </pic:pic>
                                  </a:graphicData>
                                </a:graphic>
                              </wp:inline>
                            </w:drawing>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2049" type="#_x0000_t202" style="width:83.3pt;height:74.5pt;margin-top:3.25pt;margin-left:-6.55pt;mso-height-percent:0;mso-height-relative:page;mso-width-percent:0;mso-width-relative:page;mso-wrap-distance-bottom:0;mso-wrap-distance-left:9pt;mso-wrap-distance-right:9pt;mso-wrap-distance-top:0;mso-wrap-style:square;position:absolute;visibility:visible;v-text-anchor:top;z-index:251659264" stroked="f">
              <v:textbox>
                <w:txbxContent>
                  <w:p w:rsidR="00424D62" w:rsidP="00DF4D61">
                    <w:drawing>
                      <wp:inline distT="0" distB="0" distL="0" distR="0">
                        <wp:extent cx="876300" cy="850900"/>
                        <wp:effectExtent l="19050" t="0" r="0" b="0"/>
                        <wp:docPr id="1" name="Imagem 1" descr="Logo Cam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89108" name="Picture 2" descr="Logo Camara"/>
                                <pic:cNvPicPr>
                                  <a:picLocks noChangeAspect="1" noChangeArrowheads="1"/>
                                </pic:cNvPicPr>
                              </pic:nvPicPr>
                              <pic:blipFill>
                                <a:blip xmlns:r="http://schemas.openxmlformats.org/officeDocument/2006/relationships" r:embed="rId1"/>
                                <a:stretch>
                                  <a:fillRect/>
                                </a:stretch>
                              </pic:blipFill>
                              <pic:spPr bwMode="auto">
                                <a:xfrm>
                                  <a:off x="0" y="0"/>
                                  <a:ext cx="876300" cy="850900"/>
                                </a:xfrm>
                                <a:prstGeom prst="rect">
                                  <a:avLst/>
                                </a:prstGeom>
                                <a:noFill/>
                                <a:ln w="9525">
                                  <a:noFill/>
                                  <a:miter lim="800000"/>
                                  <a:headEnd/>
                                  <a:tailEnd/>
                                </a:ln>
                              </pic:spPr>
                            </pic:pic>
                          </a:graphicData>
                        </a:graphic>
                      </wp:inline>
                    </w:drawing>
                  </w:p>
                </w:txbxContent>
              </v:textbox>
              <w10:wrap type="square"/>
            </v:shape>
          </w:pict>
        </mc:Fallback>
      </mc:AlternateContent>
    </w:r>
  </w:p>
  <w:p w:rsidR="00C1146C" w:rsidP="00DF4D61">
    <w:pPr>
      <w:pStyle w:val="Header"/>
      <w:jc w:val="center"/>
      <w:rPr>
        <w:b/>
        <w:sz w:val="28"/>
        <w:lang w:val="pt-PT"/>
      </w:rPr>
    </w:pPr>
    <w:r>
      <w:rPr>
        <w:b/>
        <w:sz w:val="28"/>
        <w:lang w:val="pt-PT"/>
      </w:rPr>
      <w:t>CÂMARA MUNICIPAL DE VALINHOS</w:t>
    </w:r>
  </w:p>
  <w:p w:rsidR="00C1146C" w:rsidP="00DF4D61">
    <w:pPr>
      <w:pStyle w:val="Header"/>
      <w:jc w:val="center"/>
    </w:pPr>
    <w:r>
      <w:rPr>
        <w:sz w:val="20"/>
        <w:lang w:val="pt-PT"/>
      </w:rPr>
      <w:t>ESTADO DE SÃO PAULO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1146558"/>
    <w:multiLevelType w:val="hybridMultilevel"/>
    <w:tmpl w:val="E95ADD50"/>
    <w:lvl w:ilvl="0">
      <w:start w:val="1"/>
      <w:numFmt w:val="decimal"/>
      <w:lvlText w:val="%1)"/>
      <w:lvlJc w:val="left"/>
      <w:pPr>
        <w:ind w:left="2628" w:hanging="360"/>
      </w:pPr>
      <w:rPr>
        <w:rFonts w:hint="default"/>
      </w:rPr>
    </w:lvl>
    <w:lvl w:ilvl="1" w:tentative="1">
      <w:start w:val="1"/>
      <w:numFmt w:val="lowerLetter"/>
      <w:lvlText w:val="%2."/>
      <w:lvlJc w:val="left"/>
      <w:pPr>
        <w:ind w:left="3348" w:hanging="360"/>
      </w:pPr>
    </w:lvl>
    <w:lvl w:ilvl="2" w:tentative="1">
      <w:start w:val="1"/>
      <w:numFmt w:val="lowerRoman"/>
      <w:lvlText w:val="%3."/>
      <w:lvlJc w:val="right"/>
      <w:pPr>
        <w:ind w:left="4068" w:hanging="180"/>
      </w:pPr>
    </w:lvl>
    <w:lvl w:ilvl="3" w:tentative="1">
      <w:start w:val="1"/>
      <w:numFmt w:val="decimal"/>
      <w:lvlText w:val="%4."/>
      <w:lvlJc w:val="left"/>
      <w:pPr>
        <w:ind w:left="4788" w:hanging="360"/>
      </w:pPr>
    </w:lvl>
    <w:lvl w:ilvl="4" w:tentative="1">
      <w:start w:val="1"/>
      <w:numFmt w:val="lowerLetter"/>
      <w:lvlText w:val="%5."/>
      <w:lvlJc w:val="left"/>
      <w:pPr>
        <w:ind w:left="5508" w:hanging="360"/>
      </w:pPr>
    </w:lvl>
    <w:lvl w:ilvl="5" w:tentative="1">
      <w:start w:val="1"/>
      <w:numFmt w:val="lowerRoman"/>
      <w:lvlText w:val="%6."/>
      <w:lvlJc w:val="right"/>
      <w:pPr>
        <w:ind w:left="6228" w:hanging="180"/>
      </w:pPr>
    </w:lvl>
    <w:lvl w:ilvl="6" w:tentative="1">
      <w:start w:val="1"/>
      <w:numFmt w:val="decimal"/>
      <w:lvlText w:val="%7."/>
      <w:lvlJc w:val="left"/>
      <w:pPr>
        <w:ind w:left="6948" w:hanging="360"/>
      </w:pPr>
    </w:lvl>
    <w:lvl w:ilvl="7" w:tentative="1">
      <w:start w:val="1"/>
      <w:numFmt w:val="lowerLetter"/>
      <w:lvlText w:val="%8."/>
      <w:lvlJc w:val="left"/>
      <w:pPr>
        <w:ind w:left="7668" w:hanging="360"/>
      </w:pPr>
    </w:lvl>
    <w:lvl w:ilvl="8" w:tentative="1">
      <w:start w:val="1"/>
      <w:numFmt w:val="lowerRoman"/>
      <w:lvlText w:val="%9."/>
      <w:lvlJc w:val="right"/>
      <w:pPr>
        <w:ind w:left="8388" w:hanging="180"/>
      </w:pPr>
    </w:lvl>
  </w:abstractNum>
  <w:abstractNum w:abstractNumId="1">
    <w:nsid w:val="137F14C2"/>
    <w:multiLevelType w:val="hybridMultilevel"/>
    <w:tmpl w:val="E1E01414"/>
    <w:lvl w:ilvl="0">
      <w:start w:val="10"/>
      <w:numFmt w:val="decimal"/>
      <w:lvlText w:val="%1)"/>
      <w:lvlJc w:val="left"/>
      <w:pPr>
        <w:ind w:left="3839" w:hanging="360"/>
      </w:pPr>
      <w:rPr>
        <w:rFonts w:hint="default"/>
        <w:b/>
      </w:rPr>
    </w:lvl>
    <w:lvl w:ilvl="1" w:tentative="1">
      <w:start w:val="1"/>
      <w:numFmt w:val="lowerLetter"/>
      <w:lvlText w:val="%2."/>
      <w:lvlJc w:val="left"/>
      <w:pPr>
        <w:ind w:left="4559" w:hanging="360"/>
      </w:pPr>
    </w:lvl>
    <w:lvl w:ilvl="2" w:tentative="1">
      <w:start w:val="1"/>
      <w:numFmt w:val="lowerRoman"/>
      <w:lvlText w:val="%3."/>
      <w:lvlJc w:val="right"/>
      <w:pPr>
        <w:ind w:left="5279" w:hanging="180"/>
      </w:pPr>
    </w:lvl>
    <w:lvl w:ilvl="3" w:tentative="1">
      <w:start w:val="1"/>
      <w:numFmt w:val="decimal"/>
      <w:lvlText w:val="%4."/>
      <w:lvlJc w:val="left"/>
      <w:pPr>
        <w:ind w:left="5999" w:hanging="360"/>
      </w:pPr>
    </w:lvl>
    <w:lvl w:ilvl="4" w:tentative="1">
      <w:start w:val="1"/>
      <w:numFmt w:val="lowerLetter"/>
      <w:lvlText w:val="%5."/>
      <w:lvlJc w:val="left"/>
      <w:pPr>
        <w:ind w:left="6719" w:hanging="360"/>
      </w:pPr>
    </w:lvl>
    <w:lvl w:ilvl="5" w:tentative="1">
      <w:start w:val="1"/>
      <w:numFmt w:val="lowerRoman"/>
      <w:lvlText w:val="%6."/>
      <w:lvlJc w:val="right"/>
      <w:pPr>
        <w:ind w:left="7439" w:hanging="180"/>
      </w:pPr>
    </w:lvl>
    <w:lvl w:ilvl="6" w:tentative="1">
      <w:start w:val="1"/>
      <w:numFmt w:val="decimal"/>
      <w:lvlText w:val="%7."/>
      <w:lvlJc w:val="left"/>
      <w:pPr>
        <w:ind w:left="8159" w:hanging="360"/>
      </w:pPr>
    </w:lvl>
    <w:lvl w:ilvl="7" w:tentative="1">
      <w:start w:val="1"/>
      <w:numFmt w:val="lowerLetter"/>
      <w:lvlText w:val="%8."/>
      <w:lvlJc w:val="left"/>
      <w:pPr>
        <w:ind w:left="8879" w:hanging="360"/>
      </w:pPr>
    </w:lvl>
    <w:lvl w:ilvl="8" w:tentative="1">
      <w:start w:val="1"/>
      <w:numFmt w:val="lowerRoman"/>
      <w:lvlText w:val="%9."/>
      <w:lvlJc w:val="right"/>
      <w:pPr>
        <w:ind w:left="9599" w:hanging="180"/>
      </w:pPr>
    </w:lvl>
  </w:abstractNum>
  <w:abstractNum w:abstractNumId="2">
    <w:nsid w:val="3D98253E"/>
    <w:multiLevelType w:val="hybridMultilevel"/>
    <w:tmpl w:val="7C1EF282"/>
    <w:lvl w:ilvl="0">
      <w:start w:val="1"/>
      <w:numFmt w:val="lowerLetter"/>
      <w:lvlText w:val="%1)"/>
      <w:lvlJc w:val="left"/>
      <w:pPr>
        <w:ind w:left="3272" w:hanging="360"/>
      </w:pPr>
      <w:rPr>
        <w:rFonts w:hint="default"/>
      </w:rPr>
    </w:lvl>
    <w:lvl w:ilvl="1" w:tentative="1">
      <w:start w:val="1"/>
      <w:numFmt w:val="lowerLetter"/>
      <w:lvlText w:val="%2."/>
      <w:lvlJc w:val="left"/>
      <w:pPr>
        <w:ind w:left="3992" w:hanging="360"/>
      </w:pPr>
    </w:lvl>
    <w:lvl w:ilvl="2" w:tentative="1">
      <w:start w:val="1"/>
      <w:numFmt w:val="lowerRoman"/>
      <w:lvlText w:val="%3."/>
      <w:lvlJc w:val="right"/>
      <w:pPr>
        <w:ind w:left="4712" w:hanging="180"/>
      </w:pPr>
    </w:lvl>
    <w:lvl w:ilvl="3" w:tentative="1">
      <w:start w:val="1"/>
      <w:numFmt w:val="decimal"/>
      <w:lvlText w:val="%4."/>
      <w:lvlJc w:val="left"/>
      <w:pPr>
        <w:ind w:left="5432" w:hanging="360"/>
      </w:pPr>
    </w:lvl>
    <w:lvl w:ilvl="4" w:tentative="1">
      <w:start w:val="1"/>
      <w:numFmt w:val="lowerLetter"/>
      <w:lvlText w:val="%5."/>
      <w:lvlJc w:val="left"/>
      <w:pPr>
        <w:ind w:left="6152" w:hanging="360"/>
      </w:pPr>
    </w:lvl>
    <w:lvl w:ilvl="5" w:tentative="1">
      <w:start w:val="1"/>
      <w:numFmt w:val="lowerRoman"/>
      <w:lvlText w:val="%6."/>
      <w:lvlJc w:val="right"/>
      <w:pPr>
        <w:ind w:left="6872" w:hanging="180"/>
      </w:pPr>
    </w:lvl>
    <w:lvl w:ilvl="6" w:tentative="1">
      <w:start w:val="1"/>
      <w:numFmt w:val="decimal"/>
      <w:lvlText w:val="%7."/>
      <w:lvlJc w:val="left"/>
      <w:pPr>
        <w:ind w:left="7592" w:hanging="360"/>
      </w:pPr>
    </w:lvl>
    <w:lvl w:ilvl="7" w:tentative="1">
      <w:start w:val="1"/>
      <w:numFmt w:val="lowerLetter"/>
      <w:lvlText w:val="%8."/>
      <w:lvlJc w:val="left"/>
      <w:pPr>
        <w:ind w:left="8312" w:hanging="360"/>
      </w:pPr>
    </w:lvl>
    <w:lvl w:ilvl="8" w:tentative="1">
      <w:start w:val="1"/>
      <w:numFmt w:val="lowerRoman"/>
      <w:lvlText w:val="%9."/>
      <w:lvlJc w:val="right"/>
      <w:pPr>
        <w:ind w:left="9032" w:hanging="180"/>
      </w:pPr>
    </w:lvl>
  </w:abstractNum>
  <w:abstractNum w:abstractNumId="3">
    <w:nsid w:val="52C935E6"/>
    <w:multiLevelType w:val="hybridMultilevel"/>
    <w:tmpl w:val="9B66184C"/>
    <w:lvl w:ilvl="0">
      <w:start w:val="6"/>
      <w:numFmt w:val="decimal"/>
      <w:lvlText w:val="%1)"/>
      <w:lvlJc w:val="left"/>
      <w:pPr>
        <w:ind w:left="3479" w:hanging="360"/>
      </w:pPr>
      <w:rPr>
        <w:rFonts w:hint="default"/>
        <w:b/>
      </w:rPr>
    </w:lvl>
    <w:lvl w:ilvl="1" w:tentative="1">
      <w:start w:val="1"/>
      <w:numFmt w:val="lowerLetter"/>
      <w:lvlText w:val="%2."/>
      <w:lvlJc w:val="left"/>
      <w:pPr>
        <w:ind w:left="3992" w:hanging="360"/>
      </w:pPr>
    </w:lvl>
    <w:lvl w:ilvl="2" w:tentative="1">
      <w:start w:val="1"/>
      <w:numFmt w:val="lowerRoman"/>
      <w:lvlText w:val="%3."/>
      <w:lvlJc w:val="right"/>
      <w:pPr>
        <w:ind w:left="4712" w:hanging="180"/>
      </w:pPr>
    </w:lvl>
    <w:lvl w:ilvl="3" w:tentative="1">
      <w:start w:val="1"/>
      <w:numFmt w:val="decimal"/>
      <w:lvlText w:val="%4."/>
      <w:lvlJc w:val="left"/>
      <w:pPr>
        <w:ind w:left="5432" w:hanging="360"/>
      </w:pPr>
    </w:lvl>
    <w:lvl w:ilvl="4" w:tentative="1">
      <w:start w:val="1"/>
      <w:numFmt w:val="lowerLetter"/>
      <w:lvlText w:val="%5."/>
      <w:lvlJc w:val="left"/>
      <w:pPr>
        <w:ind w:left="6152" w:hanging="360"/>
      </w:pPr>
    </w:lvl>
    <w:lvl w:ilvl="5" w:tentative="1">
      <w:start w:val="1"/>
      <w:numFmt w:val="lowerRoman"/>
      <w:lvlText w:val="%6."/>
      <w:lvlJc w:val="right"/>
      <w:pPr>
        <w:ind w:left="6872" w:hanging="180"/>
      </w:pPr>
    </w:lvl>
    <w:lvl w:ilvl="6" w:tentative="1">
      <w:start w:val="1"/>
      <w:numFmt w:val="decimal"/>
      <w:lvlText w:val="%7."/>
      <w:lvlJc w:val="left"/>
      <w:pPr>
        <w:ind w:left="7592" w:hanging="360"/>
      </w:pPr>
    </w:lvl>
    <w:lvl w:ilvl="7" w:tentative="1">
      <w:start w:val="1"/>
      <w:numFmt w:val="lowerLetter"/>
      <w:lvlText w:val="%8."/>
      <w:lvlJc w:val="left"/>
      <w:pPr>
        <w:ind w:left="8312" w:hanging="360"/>
      </w:pPr>
    </w:lvl>
    <w:lvl w:ilvl="8" w:tentative="1">
      <w:start w:val="1"/>
      <w:numFmt w:val="lowerRoman"/>
      <w:lvlText w:val="%9."/>
      <w:lvlJc w:val="right"/>
      <w:pPr>
        <w:ind w:left="9032" w:hanging="180"/>
      </w:pPr>
    </w:lvl>
  </w:abstractNum>
  <w:abstractNum w:abstractNumId="4">
    <w:nsid w:val="5F521B62"/>
    <w:multiLevelType w:val="hybridMultilevel"/>
    <w:tmpl w:val="882ED76A"/>
    <w:lvl w:ilvl="0">
      <w:start w:val="1"/>
      <w:numFmt w:val="decimal"/>
      <w:lvlText w:val="%1)"/>
      <w:lvlJc w:val="left"/>
      <w:pPr>
        <w:ind w:left="2912" w:hanging="360"/>
      </w:pPr>
      <w:rPr>
        <w:rFonts w:hint="default"/>
        <w:b/>
      </w:rPr>
    </w:lvl>
    <w:lvl w:ilvl="1" w:tentative="1">
      <w:start w:val="1"/>
      <w:numFmt w:val="lowerLetter"/>
      <w:lvlText w:val="%2."/>
      <w:lvlJc w:val="left"/>
      <w:pPr>
        <w:ind w:left="3348" w:hanging="360"/>
      </w:pPr>
    </w:lvl>
    <w:lvl w:ilvl="2" w:tentative="1">
      <w:start w:val="1"/>
      <w:numFmt w:val="lowerRoman"/>
      <w:lvlText w:val="%3."/>
      <w:lvlJc w:val="right"/>
      <w:pPr>
        <w:ind w:left="4068" w:hanging="180"/>
      </w:pPr>
    </w:lvl>
    <w:lvl w:ilvl="3" w:tentative="1">
      <w:start w:val="1"/>
      <w:numFmt w:val="decimal"/>
      <w:lvlText w:val="%4."/>
      <w:lvlJc w:val="left"/>
      <w:pPr>
        <w:ind w:left="4788" w:hanging="360"/>
      </w:pPr>
    </w:lvl>
    <w:lvl w:ilvl="4" w:tentative="1">
      <w:start w:val="1"/>
      <w:numFmt w:val="lowerLetter"/>
      <w:lvlText w:val="%5."/>
      <w:lvlJc w:val="left"/>
      <w:pPr>
        <w:ind w:left="5508" w:hanging="360"/>
      </w:pPr>
    </w:lvl>
    <w:lvl w:ilvl="5" w:tentative="1">
      <w:start w:val="1"/>
      <w:numFmt w:val="lowerRoman"/>
      <w:lvlText w:val="%6."/>
      <w:lvlJc w:val="right"/>
      <w:pPr>
        <w:ind w:left="6228" w:hanging="180"/>
      </w:pPr>
    </w:lvl>
    <w:lvl w:ilvl="6" w:tentative="1">
      <w:start w:val="1"/>
      <w:numFmt w:val="decimal"/>
      <w:lvlText w:val="%7."/>
      <w:lvlJc w:val="left"/>
      <w:pPr>
        <w:ind w:left="6948" w:hanging="360"/>
      </w:pPr>
    </w:lvl>
    <w:lvl w:ilvl="7" w:tentative="1">
      <w:start w:val="1"/>
      <w:numFmt w:val="lowerLetter"/>
      <w:lvlText w:val="%8."/>
      <w:lvlJc w:val="left"/>
      <w:pPr>
        <w:ind w:left="7668" w:hanging="360"/>
      </w:pPr>
    </w:lvl>
    <w:lvl w:ilvl="8" w:tentative="1">
      <w:start w:val="1"/>
      <w:numFmt w:val="lowerRoman"/>
      <w:lvlText w:val="%9."/>
      <w:lvlJc w:val="right"/>
      <w:pPr>
        <w:ind w:left="8388"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9B8"/>
    <w:rsid w:val="00001A75"/>
    <w:rsid w:val="0002793F"/>
    <w:rsid w:val="0005486D"/>
    <w:rsid w:val="00060D67"/>
    <w:rsid w:val="00061E43"/>
    <w:rsid w:val="00087F19"/>
    <w:rsid w:val="0009140C"/>
    <w:rsid w:val="0009771A"/>
    <w:rsid w:val="000A2BCB"/>
    <w:rsid w:val="000A7C70"/>
    <w:rsid w:val="000B29F4"/>
    <w:rsid w:val="000E22EA"/>
    <w:rsid w:val="000F00F2"/>
    <w:rsid w:val="00113529"/>
    <w:rsid w:val="00151AF8"/>
    <w:rsid w:val="001A349C"/>
    <w:rsid w:val="001A6C6A"/>
    <w:rsid w:val="001F31C7"/>
    <w:rsid w:val="002249E9"/>
    <w:rsid w:val="00226098"/>
    <w:rsid w:val="00230567"/>
    <w:rsid w:val="00261347"/>
    <w:rsid w:val="002C346F"/>
    <w:rsid w:val="002D136B"/>
    <w:rsid w:val="002D3727"/>
    <w:rsid w:val="002D38EF"/>
    <w:rsid w:val="002D689E"/>
    <w:rsid w:val="002D7427"/>
    <w:rsid w:val="00300FB8"/>
    <w:rsid w:val="003031D4"/>
    <w:rsid w:val="003142CB"/>
    <w:rsid w:val="00333B5F"/>
    <w:rsid w:val="00336C41"/>
    <w:rsid w:val="00336CB9"/>
    <w:rsid w:val="0038144C"/>
    <w:rsid w:val="0039642F"/>
    <w:rsid w:val="003B4207"/>
    <w:rsid w:val="003B5E71"/>
    <w:rsid w:val="003C0034"/>
    <w:rsid w:val="00420B4F"/>
    <w:rsid w:val="00424D62"/>
    <w:rsid w:val="0045088A"/>
    <w:rsid w:val="00491F87"/>
    <w:rsid w:val="00494A84"/>
    <w:rsid w:val="00496A34"/>
    <w:rsid w:val="004B55A6"/>
    <w:rsid w:val="004F157F"/>
    <w:rsid w:val="00535F04"/>
    <w:rsid w:val="00556D58"/>
    <w:rsid w:val="00562429"/>
    <w:rsid w:val="00567A13"/>
    <w:rsid w:val="00572A86"/>
    <w:rsid w:val="0058552F"/>
    <w:rsid w:val="005B622B"/>
    <w:rsid w:val="005D40C1"/>
    <w:rsid w:val="005D78E2"/>
    <w:rsid w:val="005E0BC0"/>
    <w:rsid w:val="005E2BF2"/>
    <w:rsid w:val="00603ECF"/>
    <w:rsid w:val="00603EDF"/>
    <w:rsid w:val="00610C36"/>
    <w:rsid w:val="0061338C"/>
    <w:rsid w:val="00615632"/>
    <w:rsid w:val="006247C3"/>
    <w:rsid w:val="00633FAF"/>
    <w:rsid w:val="00642ABA"/>
    <w:rsid w:val="00642D9E"/>
    <w:rsid w:val="00645F91"/>
    <w:rsid w:val="00646BC4"/>
    <w:rsid w:val="00666692"/>
    <w:rsid w:val="006D169F"/>
    <w:rsid w:val="006D3967"/>
    <w:rsid w:val="006D7AEC"/>
    <w:rsid w:val="00706F7D"/>
    <w:rsid w:val="00717365"/>
    <w:rsid w:val="007207D3"/>
    <w:rsid w:val="00725CFD"/>
    <w:rsid w:val="00735448"/>
    <w:rsid w:val="00770066"/>
    <w:rsid w:val="00770CE7"/>
    <w:rsid w:val="00773FB2"/>
    <w:rsid w:val="00794A21"/>
    <w:rsid w:val="00794ECE"/>
    <w:rsid w:val="00795895"/>
    <w:rsid w:val="00796253"/>
    <w:rsid w:val="007A31DD"/>
    <w:rsid w:val="007D70F0"/>
    <w:rsid w:val="007E5948"/>
    <w:rsid w:val="007E6546"/>
    <w:rsid w:val="00876FEC"/>
    <w:rsid w:val="008819B6"/>
    <w:rsid w:val="0089114C"/>
    <w:rsid w:val="008A1FA7"/>
    <w:rsid w:val="008B317A"/>
    <w:rsid w:val="008D4956"/>
    <w:rsid w:val="008E331F"/>
    <w:rsid w:val="008F0684"/>
    <w:rsid w:val="008F2866"/>
    <w:rsid w:val="009533C3"/>
    <w:rsid w:val="009A411D"/>
    <w:rsid w:val="009C4C0B"/>
    <w:rsid w:val="009E1E85"/>
    <w:rsid w:val="00A03230"/>
    <w:rsid w:val="00A10CF3"/>
    <w:rsid w:val="00A149DE"/>
    <w:rsid w:val="00A46677"/>
    <w:rsid w:val="00A50F78"/>
    <w:rsid w:val="00A60088"/>
    <w:rsid w:val="00A779B8"/>
    <w:rsid w:val="00A90B48"/>
    <w:rsid w:val="00A912FC"/>
    <w:rsid w:val="00AB168C"/>
    <w:rsid w:val="00AC0EDA"/>
    <w:rsid w:val="00AE0F29"/>
    <w:rsid w:val="00AE3696"/>
    <w:rsid w:val="00AF4053"/>
    <w:rsid w:val="00B11C83"/>
    <w:rsid w:val="00B13FD9"/>
    <w:rsid w:val="00B30329"/>
    <w:rsid w:val="00B42A90"/>
    <w:rsid w:val="00B5747D"/>
    <w:rsid w:val="00B87D53"/>
    <w:rsid w:val="00BC43CE"/>
    <w:rsid w:val="00BC46BA"/>
    <w:rsid w:val="00BF422D"/>
    <w:rsid w:val="00BF7AF2"/>
    <w:rsid w:val="00C030F0"/>
    <w:rsid w:val="00C067BC"/>
    <w:rsid w:val="00C1146C"/>
    <w:rsid w:val="00C14149"/>
    <w:rsid w:val="00C2495E"/>
    <w:rsid w:val="00C27C87"/>
    <w:rsid w:val="00C50575"/>
    <w:rsid w:val="00C50F85"/>
    <w:rsid w:val="00C511EA"/>
    <w:rsid w:val="00C521FB"/>
    <w:rsid w:val="00C57249"/>
    <w:rsid w:val="00C64B7E"/>
    <w:rsid w:val="00C76C04"/>
    <w:rsid w:val="00C963CF"/>
    <w:rsid w:val="00CA4EE5"/>
    <w:rsid w:val="00CB1AA7"/>
    <w:rsid w:val="00CB21B4"/>
    <w:rsid w:val="00CB377F"/>
    <w:rsid w:val="00CB698E"/>
    <w:rsid w:val="00CF03FF"/>
    <w:rsid w:val="00CF3865"/>
    <w:rsid w:val="00D032DA"/>
    <w:rsid w:val="00D03D6E"/>
    <w:rsid w:val="00D06E60"/>
    <w:rsid w:val="00D72746"/>
    <w:rsid w:val="00D73A30"/>
    <w:rsid w:val="00D76229"/>
    <w:rsid w:val="00D76B01"/>
    <w:rsid w:val="00D84B95"/>
    <w:rsid w:val="00D96E93"/>
    <w:rsid w:val="00DB3E95"/>
    <w:rsid w:val="00DC1909"/>
    <w:rsid w:val="00DC22B9"/>
    <w:rsid w:val="00DE332C"/>
    <w:rsid w:val="00DF00FE"/>
    <w:rsid w:val="00DF4D61"/>
    <w:rsid w:val="00DF5AED"/>
    <w:rsid w:val="00E14D94"/>
    <w:rsid w:val="00E17660"/>
    <w:rsid w:val="00E201B1"/>
    <w:rsid w:val="00E36245"/>
    <w:rsid w:val="00E627C7"/>
    <w:rsid w:val="00E63F82"/>
    <w:rsid w:val="00EA5267"/>
    <w:rsid w:val="00EB1C70"/>
    <w:rsid w:val="00EB20DC"/>
    <w:rsid w:val="00EE24C8"/>
    <w:rsid w:val="00EE4718"/>
    <w:rsid w:val="00F06555"/>
    <w:rsid w:val="00F20B73"/>
    <w:rsid w:val="00F53BEF"/>
    <w:rsid w:val="00F84A36"/>
    <w:rsid w:val="00F924BC"/>
    <w:rsid w:val="00FB4590"/>
    <w:rsid w:val="00FC140B"/>
    <w:rsid w:val="00FD6B5F"/>
    <w:rsid w:val="00FF2F7F"/>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9B8"/>
    <w:rPr>
      <w:rFonts w:ascii="Arial" w:eastAsia="Times New Roman" w:hAnsi="Arial" w:cs="Times New Roman"/>
      <w:sz w:val="24"/>
      <w:szCs w:val="20"/>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CorpodetextoChar"/>
    <w:uiPriority w:val="99"/>
    <w:unhideWhenUsed/>
    <w:rsid w:val="00A779B8"/>
    <w:pPr>
      <w:spacing w:after="120"/>
    </w:pPr>
  </w:style>
  <w:style w:type="character" w:customStyle="1" w:styleId="CorpodetextoChar">
    <w:name w:val="Corpo de texto Char"/>
    <w:basedOn w:val="DefaultParagraphFont"/>
    <w:link w:val="BodyText"/>
    <w:uiPriority w:val="99"/>
    <w:rsid w:val="00A779B8"/>
    <w:rPr>
      <w:rFonts w:ascii="Arial" w:eastAsia="Times New Roman" w:hAnsi="Arial" w:cs="Times New Roman"/>
      <w:sz w:val="24"/>
      <w:szCs w:val="20"/>
      <w:lang w:eastAsia="pt-BR"/>
    </w:rPr>
  </w:style>
  <w:style w:type="paragraph" w:customStyle="1" w:styleId="Default">
    <w:name w:val="Default"/>
    <w:rsid w:val="00A779B8"/>
    <w:pPr>
      <w:autoSpaceDE w:val="0"/>
      <w:autoSpaceDN w:val="0"/>
      <w:adjustRightInd w:val="0"/>
      <w:spacing w:after="0" w:line="240" w:lineRule="auto"/>
    </w:pPr>
    <w:rPr>
      <w:rFonts w:ascii="Times New Roman" w:eastAsia="Calibri" w:hAnsi="Times New Roman" w:cs="Times New Roman"/>
      <w:color w:val="000000"/>
      <w:sz w:val="24"/>
      <w:szCs w:val="24"/>
      <w:lang w:eastAsia="pt-BR"/>
    </w:rPr>
  </w:style>
  <w:style w:type="paragraph" w:styleId="Header">
    <w:name w:val="header"/>
    <w:basedOn w:val="Normal"/>
    <w:link w:val="CabealhoChar"/>
    <w:rsid w:val="00A779B8"/>
    <w:pPr>
      <w:tabs>
        <w:tab w:val="center" w:pos="4419"/>
        <w:tab w:val="right" w:pos="8838"/>
      </w:tabs>
      <w:spacing w:after="0" w:line="240" w:lineRule="auto"/>
    </w:pPr>
  </w:style>
  <w:style w:type="character" w:customStyle="1" w:styleId="CabealhoChar">
    <w:name w:val="Cabeçalho Char"/>
    <w:basedOn w:val="DefaultParagraphFont"/>
    <w:link w:val="Header"/>
    <w:rsid w:val="00A779B8"/>
    <w:rPr>
      <w:rFonts w:ascii="Arial" w:eastAsia="Times New Roman" w:hAnsi="Arial" w:cs="Times New Roman"/>
      <w:sz w:val="24"/>
      <w:szCs w:val="20"/>
      <w:lang w:eastAsia="pt-BR"/>
    </w:rPr>
  </w:style>
  <w:style w:type="paragraph" w:styleId="Footer">
    <w:name w:val="footer"/>
    <w:basedOn w:val="Normal"/>
    <w:link w:val="RodapChar"/>
    <w:rsid w:val="00A779B8"/>
    <w:pPr>
      <w:tabs>
        <w:tab w:val="center" w:pos="4419"/>
        <w:tab w:val="right" w:pos="8838"/>
      </w:tabs>
      <w:spacing w:after="0" w:line="240" w:lineRule="auto"/>
    </w:pPr>
  </w:style>
  <w:style w:type="character" w:customStyle="1" w:styleId="RodapChar">
    <w:name w:val="Rodapé Char"/>
    <w:basedOn w:val="DefaultParagraphFont"/>
    <w:link w:val="Footer"/>
    <w:rsid w:val="00A779B8"/>
    <w:rPr>
      <w:rFonts w:ascii="Arial" w:eastAsia="Times New Roman" w:hAnsi="Arial" w:cs="Times New Roman"/>
      <w:sz w:val="24"/>
      <w:szCs w:val="20"/>
      <w:lang w:eastAsia="pt-BR"/>
    </w:rPr>
  </w:style>
  <w:style w:type="paragraph" w:styleId="BalloonText">
    <w:name w:val="Balloon Text"/>
    <w:basedOn w:val="Normal"/>
    <w:link w:val="TextodebaloChar"/>
    <w:uiPriority w:val="99"/>
    <w:semiHidden/>
    <w:unhideWhenUsed/>
    <w:rsid w:val="00A779B8"/>
    <w:pPr>
      <w:spacing w:after="0" w:line="240" w:lineRule="auto"/>
    </w:pPr>
    <w:rPr>
      <w:rFonts w:ascii="Tahoma" w:hAnsi="Tahoma" w:cs="Tahoma"/>
      <w:sz w:val="16"/>
      <w:szCs w:val="16"/>
    </w:rPr>
  </w:style>
  <w:style w:type="character" w:customStyle="1" w:styleId="TextodebaloChar">
    <w:name w:val="Texto de balão Char"/>
    <w:basedOn w:val="DefaultParagraphFont"/>
    <w:link w:val="BalloonText"/>
    <w:uiPriority w:val="99"/>
    <w:semiHidden/>
    <w:rsid w:val="00A779B8"/>
    <w:rPr>
      <w:rFonts w:ascii="Tahoma" w:eastAsia="Times New Roman" w:hAnsi="Tahoma" w:cs="Tahoma"/>
      <w:sz w:val="16"/>
      <w:szCs w:val="16"/>
      <w:lang w:eastAsia="pt-BR"/>
    </w:rPr>
  </w:style>
  <w:style w:type="paragraph" w:styleId="NormalWeb">
    <w:name w:val="Normal (Web)"/>
    <w:basedOn w:val="Normal"/>
    <w:uiPriority w:val="99"/>
    <w:unhideWhenUsed/>
    <w:rsid w:val="00C14149"/>
    <w:pPr>
      <w:spacing w:before="100" w:beforeAutospacing="1" w:after="100" w:afterAutospacing="1" w:line="240" w:lineRule="auto"/>
    </w:pPr>
    <w:rPr>
      <w:rFonts w:ascii="Times New Roman" w:hAnsi="Times New Roman"/>
      <w:szCs w:val="24"/>
    </w:rPr>
  </w:style>
  <w:style w:type="paragraph" w:customStyle="1" w:styleId="tj">
    <w:name w:val="tj"/>
    <w:basedOn w:val="Normal"/>
    <w:uiPriority w:val="99"/>
    <w:rsid w:val="00C14149"/>
    <w:pPr>
      <w:spacing w:before="100" w:beforeAutospacing="1" w:after="100" w:afterAutospacing="1" w:line="240" w:lineRule="auto"/>
    </w:pPr>
    <w:rPr>
      <w:rFonts w:ascii="Times New Roman" w:hAnsi="Times New Roman"/>
      <w:szCs w:val="24"/>
    </w:rPr>
  </w:style>
  <w:style w:type="paragraph" w:styleId="FootnoteText">
    <w:name w:val="footnote text"/>
    <w:basedOn w:val="Normal"/>
    <w:link w:val="TextodenotaderodapChar"/>
    <w:uiPriority w:val="99"/>
    <w:semiHidden/>
    <w:unhideWhenUsed/>
    <w:rsid w:val="00B11C83"/>
    <w:pPr>
      <w:spacing w:after="0" w:line="240" w:lineRule="auto"/>
    </w:pPr>
    <w:rPr>
      <w:sz w:val="20"/>
    </w:rPr>
  </w:style>
  <w:style w:type="character" w:customStyle="1" w:styleId="TextodenotaderodapChar">
    <w:name w:val="Texto de nota de rodapé Char"/>
    <w:basedOn w:val="DefaultParagraphFont"/>
    <w:link w:val="FootnoteText"/>
    <w:uiPriority w:val="99"/>
    <w:semiHidden/>
    <w:rsid w:val="00B11C83"/>
    <w:rPr>
      <w:rFonts w:ascii="Arial" w:eastAsia="Times New Roman" w:hAnsi="Arial" w:cs="Times New Roman"/>
      <w:sz w:val="20"/>
      <w:szCs w:val="20"/>
      <w:lang w:eastAsia="pt-BR"/>
    </w:rPr>
  </w:style>
  <w:style w:type="character" w:styleId="FootnoteReference">
    <w:name w:val="footnote reference"/>
    <w:basedOn w:val="DefaultParagraphFont"/>
    <w:uiPriority w:val="99"/>
    <w:semiHidden/>
    <w:unhideWhenUsed/>
    <w:rsid w:val="00B11C83"/>
    <w:rPr>
      <w:vertAlign w:val="superscript"/>
    </w:rPr>
  </w:style>
  <w:style w:type="character" w:customStyle="1" w:styleId="apple-converted-space">
    <w:name w:val="apple-converted-space"/>
    <w:basedOn w:val="DefaultParagraphFont"/>
    <w:rsid w:val="00E36245"/>
  </w:style>
  <w:style w:type="paragraph" w:customStyle="1" w:styleId="paragrafo">
    <w:name w:val="paragrafo"/>
    <w:basedOn w:val="Normal"/>
    <w:rsid w:val="00E36245"/>
    <w:pPr>
      <w:spacing w:before="100" w:beforeAutospacing="1" w:after="100" w:afterAutospacing="1" w:line="240" w:lineRule="auto"/>
    </w:pPr>
    <w:rPr>
      <w:rFonts w:ascii="Times New Roman" w:hAnsi="Times New Roman"/>
      <w:szCs w:val="24"/>
    </w:rPr>
  </w:style>
  <w:style w:type="paragraph" w:customStyle="1" w:styleId="item">
    <w:name w:val="item"/>
    <w:basedOn w:val="Normal"/>
    <w:rsid w:val="00E36245"/>
    <w:pPr>
      <w:spacing w:before="100" w:beforeAutospacing="1" w:after="100" w:afterAutospacing="1" w:line="240" w:lineRule="auto"/>
    </w:pPr>
    <w:rPr>
      <w:rFonts w:ascii="Times New Roman" w:hAnsi="Times New Roman"/>
      <w:szCs w:val="24"/>
    </w:rPr>
  </w:style>
  <w:style w:type="character" w:styleId="Hyperlink">
    <w:name w:val="Hyperlink"/>
    <w:basedOn w:val="DefaultParagraphFont"/>
    <w:uiPriority w:val="99"/>
    <w:unhideWhenUsed/>
    <w:rsid w:val="00795895"/>
    <w:rPr>
      <w:color w:val="0000FF"/>
      <w:u w:val="single"/>
    </w:rPr>
  </w:style>
  <w:style w:type="character" w:styleId="Strong">
    <w:name w:val="Strong"/>
    <w:basedOn w:val="DefaultParagraphFont"/>
    <w:uiPriority w:val="22"/>
    <w:qFormat/>
    <w:rsid w:val="00795895"/>
    <w:rPr>
      <w:b/>
      <w:bCs/>
    </w:rPr>
  </w:style>
  <w:style w:type="character" w:styleId="Emphasis">
    <w:name w:val="Emphasis"/>
    <w:basedOn w:val="DefaultParagraphFont"/>
    <w:uiPriority w:val="20"/>
    <w:qFormat/>
    <w:rsid w:val="00795895"/>
    <w:rPr>
      <w:i/>
      <w:iCs/>
    </w:rPr>
  </w:style>
  <w:style w:type="paragraph" w:customStyle="1" w:styleId="corpodapea">
    <w:name w:val="corpodapea"/>
    <w:basedOn w:val="Normal"/>
    <w:rsid w:val="009A411D"/>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645F91"/>
    <w:pPr>
      <w:ind w:left="720"/>
      <w:contextualSpacing/>
    </w:pPr>
  </w:style>
  <w:style w:type="table" w:styleId="TableGrid">
    <w:name w:val="Table Grid"/>
    <w:basedOn w:val="TableNormal"/>
    <w:uiPriority w:val="59"/>
    <w:rsid w:val="00CB1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3.png" /><Relationship Id="rId11" Type="http://schemas.openxmlformats.org/officeDocument/2006/relationships/oleObject" Target="embeddings/oleObject3.bin" /><Relationship Id="rId12" Type="http://schemas.openxmlformats.org/officeDocument/2006/relationships/image" Target="media/image4.png" /><Relationship Id="rId13" Type="http://schemas.openxmlformats.org/officeDocument/2006/relationships/oleObject" Target="embeddings/oleObject4.bin" /><Relationship Id="rId14" Type="http://schemas.openxmlformats.org/officeDocument/2006/relationships/image" Target="media/image5.png" /><Relationship Id="rId15" Type="http://schemas.openxmlformats.org/officeDocument/2006/relationships/oleObject" Target="embeddings/oleObject5.bin" /><Relationship Id="rId16" Type="http://schemas.openxmlformats.org/officeDocument/2006/relationships/image" Target="media/image6.png" /><Relationship Id="rId17" Type="http://schemas.openxmlformats.org/officeDocument/2006/relationships/oleObject" Target="embeddings/oleObject6.bin" /><Relationship Id="rId18" Type="http://schemas.openxmlformats.org/officeDocument/2006/relationships/image" Target="media/image7.png" /><Relationship Id="rId19" Type="http://schemas.openxmlformats.org/officeDocument/2006/relationships/oleObject" Target="embeddings/oleObject7.bin" /><Relationship Id="rId2" Type="http://schemas.openxmlformats.org/officeDocument/2006/relationships/settings" Target="settings.xml" /><Relationship Id="rId20" Type="http://schemas.openxmlformats.org/officeDocument/2006/relationships/image" Target="media/image8.png" /><Relationship Id="rId21" Type="http://schemas.openxmlformats.org/officeDocument/2006/relationships/oleObject" Target="embeddings/oleObject8.bin" /><Relationship Id="rId22" Type="http://schemas.openxmlformats.org/officeDocument/2006/relationships/image" Target="media/image9.png" /><Relationship Id="rId23" Type="http://schemas.openxmlformats.org/officeDocument/2006/relationships/oleObject" Target="embeddings/oleObject9.bin" /><Relationship Id="rId24" Type="http://schemas.openxmlformats.org/officeDocument/2006/relationships/image" Target="media/image10.png" /><Relationship Id="rId25" Type="http://schemas.openxmlformats.org/officeDocument/2006/relationships/oleObject" Target="embeddings/oleObject10.bin" /><Relationship Id="rId26" Type="http://schemas.openxmlformats.org/officeDocument/2006/relationships/hyperlink" Target="https://www.planalto.gov.br/ccivil_03/LEIS/LEIS_2001/L10257.htm" TargetMode="External" /><Relationship Id="rId27" Type="http://schemas.openxmlformats.org/officeDocument/2006/relationships/hyperlink" Target="https://www.planalto.gov.br/ccivil_03/_Ato2015-2018/2016/Lei/L13311.htm" TargetMode="External" /><Relationship Id="rId28" Type="http://schemas.openxmlformats.org/officeDocument/2006/relationships/hyperlink" Target="https://www.al.sp.gov.br/norma/130337" TargetMode="External" /><Relationship Id="rId29" Type="http://schemas.openxmlformats.org/officeDocument/2006/relationships/header" Target="header1.xml" /><Relationship Id="rId3" Type="http://schemas.openxmlformats.org/officeDocument/2006/relationships/webSettings" Target="webSettings.xml" /><Relationship Id="rId30" Type="http://schemas.openxmlformats.org/officeDocument/2006/relationships/footer" Target="footer1.xml" /><Relationship Id="rId31" Type="http://schemas.openxmlformats.org/officeDocument/2006/relationships/theme" Target="theme/theme1.xml" /><Relationship Id="rId32" Type="http://schemas.openxmlformats.org/officeDocument/2006/relationships/numbering" Target="numbering.xml" /><Relationship Id="rId33"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image" Target="media/image1.png" /><Relationship Id="rId7" Type="http://schemas.openxmlformats.org/officeDocument/2006/relationships/oleObject" Target="embeddings/oleObject1.bin" /><Relationship Id="rId8" Type="http://schemas.openxmlformats.org/officeDocument/2006/relationships/image" Target="media/image2.png" /><Relationship Id="rId9" Type="http://schemas.openxmlformats.org/officeDocument/2006/relationships/oleObject" Target="embeddings/oleObject2.bin" /></Relationships>
</file>

<file path=word/_rels/header1.xml.rels>&#65279;<?xml version="1.0" encoding="utf-8" standalone="yes"?><Relationships xmlns="http://schemas.openxmlformats.org/package/2006/relationships"><Relationship Id="rId1" Type="http://schemas.openxmlformats.org/officeDocument/2006/relationships/image" Target="media/image11.jpe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9F095-E990-4406-A7DB-E8A4474ED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TotalTime>
  <Pages>24</Pages>
  <Words>7224</Words>
  <Characters>39014</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Rosemeire Souza</dc:creator>
  <cp:lastModifiedBy>Rosemeire Souza</cp:lastModifiedBy>
  <cp:revision>70</cp:revision>
  <dcterms:created xsi:type="dcterms:W3CDTF">2024-06-11T16:21:00Z</dcterms:created>
  <dcterms:modified xsi:type="dcterms:W3CDTF">2024-06-19T17:19:00Z</dcterms:modified>
</cp:coreProperties>
</file>