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432887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32887">
        <w:rPr>
          <w:rFonts w:asciiTheme="minorHAnsi" w:hAnsiTheme="minorHAnsi" w:cstheme="minorHAnsi"/>
          <w:b/>
          <w:color w:val="auto"/>
        </w:rPr>
        <w:t xml:space="preserve">Parecer Jurídico nº </w:t>
      </w:r>
      <w:r w:rsidRPr="00432887" w:rsidR="00432887">
        <w:rPr>
          <w:rFonts w:asciiTheme="minorHAnsi" w:hAnsiTheme="minorHAnsi" w:cstheme="minorHAnsi"/>
          <w:b/>
          <w:color w:val="auto"/>
        </w:rPr>
        <w:t>171</w:t>
      </w:r>
      <w:r w:rsidRPr="00432887" w:rsidR="00EB17A8">
        <w:rPr>
          <w:rFonts w:asciiTheme="minorHAnsi" w:hAnsiTheme="minorHAnsi" w:cstheme="minorHAnsi"/>
          <w:b/>
          <w:color w:val="auto"/>
        </w:rPr>
        <w:t>/202</w:t>
      </w:r>
      <w:r w:rsidRPr="00432887" w:rsidR="005C59A3">
        <w:rPr>
          <w:rFonts w:asciiTheme="minorHAnsi" w:hAnsiTheme="minorHAnsi" w:cstheme="minorHAnsi"/>
          <w:b/>
          <w:color w:val="auto"/>
        </w:rPr>
        <w:t>4</w:t>
      </w:r>
      <w:r w:rsidRPr="00432887" w:rsidR="00EB17A8">
        <w:rPr>
          <w:rFonts w:asciiTheme="minorHAnsi" w:hAnsiTheme="minorHAnsi" w:cstheme="minorHAnsi"/>
          <w:b/>
          <w:color w:val="auto"/>
        </w:rPr>
        <w:t>.</w:t>
      </w:r>
    </w:p>
    <w:p w:rsidR="00F75C3F" w:rsidRPr="00F75C3F" w:rsidP="00B378D7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E6AF5">
        <w:rPr>
          <w:rFonts w:asciiTheme="minorHAnsi" w:hAnsiTheme="minorHAnsi" w:cstheme="minorHAnsi"/>
          <w:b/>
          <w:bCs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</w:rPr>
        <w:t>Emenda 0</w:t>
      </w:r>
      <w:r w:rsidR="007904AB">
        <w:rPr>
          <w:rFonts w:asciiTheme="minorHAnsi" w:hAnsiTheme="minorHAnsi" w:cstheme="minorHAnsi"/>
          <w:b/>
          <w:bCs/>
        </w:rPr>
        <w:t>1</w:t>
      </w:r>
      <w:r w:rsidRPr="00D70598">
        <w:rPr>
          <w:rFonts w:asciiTheme="minorHAnsi" w:hAnsiTheme="minorHAnsi" w:cstheme="minorHAnsi"/>
          <w:b/>
          <w:bCs/>
        </w:rPr>
        <w:t xml:space="preserve"> ao Projeto de Lei nº </w:t>
      </w:r>
      <w:r>
        <w:rPr>
          <w:rFonts w:asciiTheme="minorHAnsi" w:hAnsiTheme="minorHAnsi" w:cstheme="minorHAnsi"/>
          <w:b/>
          <w:bCs/>
        </w:rPr>
        <w:t>054</w:t>
      </w:r>
      <w:r w:rsidR="00AA2F4C">
        <w:rPr>
          <w:rFonts w:asciiTheme="minorHAnsi" w:hAnsiTheme="minorHAnsi" w:cstheme="minorHAnsi"/>
          <w:b/>
          <w:bCs/>
        </w:rPr>
        <w:t>/</w:t>
      </w:r>
      <w:r w:rsidRPr="00D70598">
        <w:rPr>
          <w:rFonts w:asciiTheme="minorHAnsi" w:hAnsiTheme="minorHAnsi" w:cstheme="minorHAnsi"/>
          <w:b/>
          <w:bCs/>
        </w:rPr>
        <w:t>202</w:t>
      </w:r>
      <w:r w:rsidR="00E45153">
        <w:rPr>
          <w:rFonts w:asciiTheme="minorHAnsi" w:hAnsiTheme="minorHAnsi" w:cstheme="minorHAnsi"/>
          <w:b/>
          <w:bCs/>
        </w:rPr>
        <w:t>4</w:t>
      </w:r>
      <w:r w:rsidRPr="00D70598">
        <w:rPr>
          <w:rFonts w:asciiTheme="minorHAnsi" w:hAnsiTheme="minorHAnsi" w:cstheme="minorHAnsi"/>
          <w:b/>
          <w:bCs/>
        </w:rPr>
        <w:t xml:space="preserve"> </w:t>
      </w:r>
      <w:r w:rsidRPr="00944D41" w:rsidR="00B378D7">
        <w:rPr>
          <w:rFonts w:asciiTheme="minorHAnsi" w:hAnsiTheme="minorHAnsi" w:cstheme="minorHAnsi"/>
          <w:color w:val="auto"/>
        </w:rPr>
        <w:t xml:space="preserve">que </w:t>
      </w:r>
      <w:r w:rsidR="00B378D7">
        <w:t>"</w:t>
      </w:r>
      <w:r w:rsidRPr="00F75C3F">
        <w:rPr>
          <w:rFonts w:asciiTheme="minorHAnsi" w:hAnsiTheme="minorHAnsi" w:cstheme="minorHAnsi"/>
          <w:i/>
          <w:color w:val="auto"/>
        </w:rPr>
        <w:t xml:space="preserve">Suprime os arts 4º, 5º, 6º e 7º do Projeto, que "Institui o Dia do Capoeirista e do Mestre de </w:t>
      </w:r>
      <w:r w:rsidR="001A3E32">
        <w:rPr>
          <w:rFonts w:asciiTheme="minorHAnsi" w:hAnsiTheme="minorHAnsi" w:cstheme="minorHAnsi"/>
          <w:i/>
          <w:color w:val="auto"/>
        </w:rPr>
        <w:t>Capoeira”.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>Vereador</w:t>
      </w:r>
      <w:r w:rsidR="00F75C3F">
        <w:rPr>
          <w:rFonts w:asciiTheme="minorHAnsi" w:hAnsiTheme="minorHAnsi" w:cstheme="minorHAnsi"/>
          <w:bCs/>
          <w:szCs w:val="24"/>
        </w:rPr>
        <w:t xml:space="preserve"> Edinho Garcia</w:t>
      </w:r>
      <w:r>
        <w:rPr>
          <w:rFonts w:asciiTheme="minorHAnsi" w:hAnsiTheme="minorHAnsi" w:cstheme="minorHAnsi"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963B6F">
        <w:rPr>
          <w:rFonts w:ascii="Calibri" w:hAnsi="Calibri" w:cs="Calibri"/>
          <w:b/>
          <w:i/>
          <w:color w:val="auto"/>
        </w:rPr>
        <w:t xml:space="preserve">Vereador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826654" w:rsidRPr="00E45153" w:rsidP="00E45153">
      <w:pPr>
        <w:pStyle w:val="Default"/>
        <w:spacing w:after="240" w:line="360" w:lineRule="auto"/>
        <w:ind w:firstLine="1418"/>
        <w:jc w:val="both"/>
        <w:rPr>
          <w:i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="00B378D7">
        <w:rPr>
          <w:rFonts w:asciiTheme="minorHAnsi" w:hAnsiTheme="minorHAnsi" w:cstheme="minorHAnsi"/>
          <w:color w:val="auto"/>
        </w:rPr>
        <w:t>tenciona</w:t>
      </w:r>
      <w:r w:rsidR="00944D41">
        <w:rPr>
          <w:rFonts w:asciiTheme="minorHAnsi" w:hAnsiTheme="minorHAnsi" w:cstheme="minorHAnsi"/>
          <w:color w:val="auto"/>
        </w:rPr>
        <w:t xml:space="preserve"> s</w:t>
      </w:r>
      <w:r w:rsidRPr="00944D41" w:rsidR="00944D41">
        <w:rPr>
          <w:rFonts w:asciiTheme="minorHAnsi" w:hAnsiTheme="minorHAnsi" w:cstheme="minorHAnsi"/>
          <w:color w:val="auto"/>
        </w:rPr>
        <w:t xml:space="preserve">uprimir </w:t>
      </w:r>
      <w:r w:rsidR="0011053B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>s</w:t>
      </w:r>
      <w:r w:rsidR="0011053B">
        <w:rPr>
          <w:rFonts w:asciiTheme="minorHAnsi" w:hAnsiTheme="minorHAnsi" w:cstheme="minorHAnsi"/>
          <w:color w:val="auto"/>
        </w:rPr>
        <w:t xml:space="preserve"> </w:t>
      </w:r>
      <w:r w:rsidRPr="00944D41" w:rsidR="00944D41">
        <w:rPr>
          <w:rFonts w:asciiTheme="minorHAnsi" w:hAnsiTheme="minorHAnsi" w:cstheme="minorHAnsi"/>
          <w:color w:val="auto"/>
        </w:rPr>
        <w:t>art</w:t>
      </w:r>
      <w:r>
        <w:rPr>
          <w:rFonts w:asciiTheme="minorHAnsi" w:hAnsiTheme="minorHAnsi" w:cstheme="minorHAnsi"/>
          <w:color w:val="auto"/>
        </w:rPr>
        <w:t>s</w:t>
      </w:r>
      <w:r w:rsidRPr="00944D41" w:rsidR="00944D41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4</w:t>
      </w:r>
      <w:r w:rsidRPr="00944D41" w:rsidR="00944D41">
        <w:rPr>
          <w:rFonts w:asciiTheme="minorHAnsi" w:hAnsiTheme="minorHAnsi" w:cstheme="minorHAnsi"/>
          <w:color w:val="auto"/>
        </w:rPr>
        <w:t>º</w:t>
      </w:r>
      <w:r>
        <w:rPr>
          <w:rFonts w:asciiTheme="minorHAnsi" w:hAnsiTheme="minorHAnsi" w:cstheme="minorHAnsi"/>
          <w:color w:val="auto"/>
        </w:rPr>
        <w:t>, 5º, 6º e 7º</w:t>
      </w:r>
      <w:r w:rsidR="0011053B">
        <w:rPr>
          <w:rFonts w:asciiTheme="minorHAnsi" w:hAnsiTheme="minorHAnsi" w:cstheme="minorHAnsi"/>
          <w:color w:val="auto"/>
        </w:rPr>
        <w:t xml:space="preserve"> </w:t>
      </w:r>
      <w:r w:rsidRPr="00944D41" w:rsidR="00944D41">
        <w:rPr>
          <w:rFonts w:asciiTheme="minorHAnsi" w:hAnsiTheme="minorHAnsi" w:cstheme="minorHAnsi"/>
          <w:color w:val="auto"/>
        </w:rPr>
        <w:t xml:space="preserve">do Projeto de Lei nº </w:t>
      </w:r>
      <w:r>
        <w:rPr>
          <w:rFonts w:asciiTheme="minorHAnsi" w:hAnsiTheme="minorHAnsi" w:cstheme="minorHAnsi"/>
          <w:color w:val="auto"/>
        </w:rPr>
        <w:t>54</w:t>
      </w:r>
      <w:r w:rsidRPr="00944D41" w:rsidR="00944D41">
        <w:rPr>
          <w:rFonts w:asciiTheme="minorHAnsi" w:hAnsiTheme="minorHAnsi" w:cstheme="minorHAnsi"/>
          <w:color w:val="auto"/>
        </w:rPr>
        <w:t>/202</w:t>
      </w:r>
      <w:r w:rsidR="00E45153">
        <w:rPr>
          <w:rFonts w:asciiTheme="minorHAnsi" w:hAnsiTheme="minorHAnsi" w:cstheme="minorHAnsi"/>
          <w:color w:val="auto"/>
        </w:rPr>
        <w:t>4</w:t>
      </w:r>
      <w:r w:rsidRPr="00944D41" w:rsidR="00944D41">
        <w:rPr>
          <w:rFonts w:asciiTheme="minorHAnsi" w:hAnsiTheme="minorHAnsi" w:cstheme="minorHAnsi"/>
          <w:color w:val="auto"/>
        </w:rPr>
        <w:t xml:space="preserve"> que </w:t>
      </w:r>
      <w:r w:rsidR="00864FC4">
        <w:t>"</w:t>
      </w:r>
      <w:r w:rsidRPr="00F75C3F">
        <w:rPr>
          <w:rFonts w:asciiTheme="minorHAnsi" w:hAnsiTheme="minorHAnsi" w:cstheme="minorHAnsi"/>
          <w:i/>
          <w:color w:val="auto"/>
        </w:rPr>
        <w:t>Institui o Dia do Capoeirista e do Mestre de Capoeira.</w:t>
      </w:r>
      <w:r w:rsidRPr="00F75C3F">
        <w:rPr>
          <w:rFonts w:asciiTheme="minorHAnsi" w:hAnsiTheme="minorHAnsi" w:cstheme="minorHAnsi"/>
          <w:i/>
          <w:color w:val="auto"/>
        </w:rPr>
        <w:t>"</w:t>
      </w:r>
    </w:p>
    <w:p w:rsidR="00B378D7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</w:p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>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="007703E8">
        <w:rPr>
          <w:rFonts w:asciiTheme="minorHAnsi" w:hAnsiTheme="minorHAnsi" w:cstheme="minorHAnsi"/>
          <w:color w:val="auto"/>
        </w:rPr>
        <w:t xml:space="preserve"> para ulterior emissão de parecer </w:t>
      </w:r>
      <w:r w:rsidR="00027908">
        <w:rPr>
          <w:rFonts w:asciiTheme="minorHAnsi" w:hAnsiTheme="minorHAnsi" w:cstheme="minorHAnsi"/>
          <w:color w:val="auto"/>
        </w:rPr>
        <w:t>pelas Comissões.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</w:t>
      </w:r>
      <w:bookmarkStart w:id="0" w:name="_GoBack"/>
      <w:bookmarkEnd w:id="0"/>
      <w:r w:rsidRPr="00D262DC">
        <w:rPr>
          <w:rFonts w:eastAsia="Calibri" w:asciiTheme="minorHAnsi" w:hAnsiTheme="minorHAnsi" w:cstheme="minorHAnsi"/>
          <w:szCs w:val="24"/>
        </w:rPr>
        <w:t>ndo os aspectos jurídicos passamos a análise técnica do projeto em epígrafe solicitado.</w:t>
      </w:r>
    </w:p>
    <w:p w:rsidR="00A779B8" w:rsidRPr="00D262DC" w:rsidP="00F648BB">
      <w:pPr>
        <w:spacing w:before="240" w:after="24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44D41">
        <w:rPr>
          <w:rFonts w:asciiTheme="minorHAnsi" w:hAnsiTheme="minorHAnsi" w:cs="Calibr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944D41">
        <w:rPr>
          <w:rFonts w:asciiTheme="minorHAnsi" w:hAnsiTheme="minorHAns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32224F">
        <w:rPr>
          <w:rFonts w:asciiTheme="minorHAnsi" w:hAnsiTheme="minorHAnsi" w:cs="Calibri"/>
          <w:i/>
          <w:sz w:val="22"/>
          <w:szCs w:val="22"/>
        </w:rPr>
        <w:t>emenda estranhos</w:t>
      </w:r>
      <w:r w:rsidRPr="0032224F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C6D50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</w:p>
    <w:p w:rsidR="00A779B8" w:rsidRPr="00864FC4" w:rsidP="00864FC4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Theme="minorHAnsi" w:hAnsiTheme="minorHAnsi" w:cs="Calibri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944D41">
        <w:rPr>
          <w:rFonts w:asciiTheme="minorHAnsi" w:hAnsiTheme="minorHAnsi" w:cs="Calibri"/>
          <w:szCs w:val="24"/>
        </w:rPr>
        <w:t xml:space="preserve"> </w:t>
      </w:r>
      <w:r w:rsidRPr="001A7907" w:rsidR="00944D41">
        <w:rPr>
          <w:rFonts w:asciiTheme="minorHAnsi" w:hAnsiTheme="minorHAnsi" w:cs="Calibri"/>
          <w:szCs w:val="24"/>
        </w:rPr>
        <w:t>e</w:t>
      </w:r>
      <w:r w:rsidR="0070670C">
        <w:rPr>
          <w:rFonts w:asciiTheme="minorHAnsi" w:hAnsiTheme="minorHAnsi" w:cs="Calibri"/>
          <w:szCs w:val="24"/>
        </w:rPr>
        <w:t>,</w:t>
      </w:r>
      <w:r w:rsidR="00944D41">
        <w:rPr>
          <w:rFonts w:asciiTheme="minorHAnsi" w:hAnsiTheme="minorHAnsi" w:cs="Calibri"/>
          <w:szCs w:val="24"/>
        </w:rPr>
        <w:t xml:space="preserve"> quanto à matéria</w:t>
      </w:r>
      <w:r w:rsidR="0070670C">
        <w:rPr>
          <w:rFonts w:asciiTheme="minorHAnsi" w:hAnsiTheme="minorHAnsi" w:cs="Calibri"/>
          <w:szCs w:val="24"/>
        </w:rPr>
        <w:t>,</w:t>
      </w:r>
      <w:r w:rsidRPr="001A7907" w:rsidR="00944D41">
        <w:rPr>
          <w:rFonts w:asciiTheme="minorHAnsi" w:hAnsiTheme="minorHAnsi" w:cs="Calibri"/>
          <w:szCs w:val="24"/>
        </w:rPr>
        <w:t xml:space="preserve"> concluímos pela constitucionalidade do projeto que se limita a propo</w:t>
      </w:r>
      <w:r w:rsidR="0070670C">
        <w:rPr>
          <w:rFonts w:asciiTheme="minorHAnsi" w:hAnsiTheme="minorHAnsi" w:cs="Calibri"/>
          <w:szCs w:val="24"/>
        </w:rPr>
        <w:t>r à</w:t>
      </w:r>
      <w:r w:rsidR="00826654">
        <w:rPr>
          <w:rFonts w:asciiTheme="minorHAnsi" w:hAnsiTheme="minorHAnsi" w:cs="Calibri"/>
          <w:szCs w:val="24"/>
        </w:rPr>
        <w:t>s supressões</w:t>
      </w:r>
      <w:r w:rsidRPr="001A7907" w:rsidR="00944D41">
        <w:rPr>
          <w:rFonts w:asciiTheme="minorHAnsi" w:hAnsiTheme="minorHAnsi" w:cs="Calibri"/>
          <w:szCs w:val="24"/>
        </w:rPr>
        <w:t xml:space="preserve"> recomendada</w:t>
      </w:r>
      <w:r w:rsidR="00826654">
        <w:rPr>
          <w:rFonts w:asciiTheme="minorHAnsi" w:hAnsiTheme="minorHAnsi" w:cs="Calibri"/>
          <w:szCs w:val="24"/>
        </w:rPr>
        <w:t>s</w:t>
      </w:r>
      <w:r w:rsidRPr="001A7907" w:rsidR="00944D41">
        <w:rPr>
          <w:rFonts w:asciiTheme="minorHAnsi" w:hAnsiTheme="minorHAnsi" w:cs="Calibri"/>
          <w:szCs w:val="24"/>
        </w:rPr>
        <w:t xml:space="preserve"> no Parecer Jurídico nº</w:t>
      </w:r>
      <w:r w:rsidR="005C59A3">
        <w:rPr>
          <w:rFonts w:asciiTheme="minorHAnsi" w:hAnsiTheme="minorHAnsi" w:cs="Calibri"/>
          <w:szCs w:val="24"/>
        </w:rPr>
        <w:t xml:space="preserve"> </w:t>
      </w:r>
      <w:r w:rsidR="001D2F97">
        <w:rPr>
          <w:rFonts w:asciiTheme="minorHAnsi" w:hAnsiTheme="minorHAnsi" w:cs="Calibri"/>
          <w:szCs w:val="24"/>
        </w:rPr>
        <w:t>1</w:t>
      </w:r>
      <w:r w:rsidR="00826654">
        <w:rPr>
          <w:rFonts w:asciiTheme="minorHAnsi" w:hAnsiTheme="minorHAnsi" w:cs="Calibri"/>
          <w:szCs w:val="24"/>
        </w:rPr>
        <w:t>31</w:t>
      </w:r>
      <w:r w:rsidR="00944D41">
        <w:rPr>
          <w:rFonts w:asciiTheme="minorHAnsi" w:hAnsiTheme="minorHAnsi" w:cs="Calibri"/>
          <w:szCs w:val="24"/>
        </w:rPr>
        <w:t>/202</w:t>
      </w:r>
      <w:r w:rsidR="001D2F97">
        <w:rPr>
          <w:rFonts w:asciiTheme="minorHAnsi" w:hAnsiTheme="minorHAnsi" w:cs="Calibri"/>
          <w:szCs w:val="24"/>
        </w:rPr>
        <w:t>4</w:t>
      </w:r>
      <w:r w:rsidR="00864FC4">
        <w:rPr>
          <w:rFonts w:asciiTheme="minorHAnsi" w:hAnsiTheme="minorHAnsi" w:cs="Calibr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RPr="00432887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432887">
        <w:rPr>
          <w:rFonts w:ascii="Calibri" w:hAnsi="Calibri" w:cs="Calibri"/>
          <w:szCs w:val="24"/>
        </w:rPr>
        <w:t xml:space="preserve">Procuradoria, </w:t>
      </w:r>
      <w:r w:rsidRPr="00432887" w:rsidR="00432887">
        <w:rPr>
          <w:rFonts w:ascii="Calibri" w:hAnsi="Calibri" w:cs="Calibri"/>
          <w:szCs w:val="24"/>
        </w:rPr>
        <w:t>17</w:t>
      </w:r>
      <w:r w:rsidRPr="00432887" w:rsidR="001308C8">
        <w:rPr>
          <w:rFonts w:ascii="Calibri" w:hAnsi="Calibri" w:cs="Calibri"/>
          <w:szCs w:val="24"/>
        </w:rPr>
        <w:t xml:space="preserve"> de </w:t>
      </w:r>
      <w:r w:rsidRPr="00432887" w:rsidR="00826654">
        <w:rPr>
          <w:rFonts w:ascii="Calibri" w:hAnsi="Calibri" w:cs="Calibri"/>
          <w:szCs w:val="24"/>
        </w:rPr>
        <w:t>junho</w:t>
      </w:r>
      <w:r w:rsidRPr="00432887" w:rsidR="001D2F97">
        <w:rPr>
          <w:rFonts w:ascii="Calibri" w:hAnsi="Calibri" w:cs="Calibri"/>
          <w:szCs w:val="24"/>
        </w:rPr>
        <w:t xml:space="preserve"> </w:t>
      </w:r>
      <w:r w:rsidRPr="00432887">
        <w:rPr>
          <w:rFonts w:ascii="Calibri" w:hAnsi="Calibri" w:cs="Calibri"/>
          <w:szCs w:val="24"/>
        </w:rPr>
        <w:t>de 202</w:t>
      </w:r>
      <w:r w:rsidRPr="00432887" w:rsidR="005C59A3">
        <w:rPr>
          <w:rFonts w:ascii="Calibri" w:hAnsi="Calibri" w:cs="Calibri"/>
          <w:szCs w:val="24"/>
        </w:rPr>
        <w:t>4</w:t>
      </w:r>
      <w:r w:rsidRPr="00432887">
        <w:rPr>
          <w:rFonts w:ascii="Calibri" w:hAnsi="Calibri" w:cs="Calibri"/>
          <w:szCs w:val="24"/>
        </w:rPr>
        <w:t>.</w:t>
      </w:r>
    </w:p>
    <w:p w:rsidR="00826654" w:rsidRPr="00826654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color w:val="FF0000"/>
          <w:szCs w:val="24"/>
        </w:rPr>
      </w:pPr>
    </w:p>
    <w:p w:rsidR="00864FC4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5C59A3" w:rsidRPr="00BC24F1" w:rsidP="005C59A3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BC24F1">
        <w:rPr>
          <w:rFonts w:asciiTheme="minorHAnsi" w:hAnsiTheme="minorHAnsi" w:cstheme="minorHAnsi"/>
          <w:b/>
          <w:szCs w:val="24"/>
        </w:rPr>
        <w:t>Rosemeire de Souza Cardoso Barbosa                          Tiago Fadel Malghosian</w:t>
      </w:r>
    </w:p>
    <w:p w:rsidR="005C59A3" w:rsidRPr="00BC24F1" w:rsidP="005C59A3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BC24F1">
        <w:rPr>
          <w:rFonts w:asciiTheme="minorHAnsi" w:hAnsiTheme="minorHAnsi" w:cstheme="minorHAnsi"/>
          <w:b/>
          <w:szCs w:val="24"/>
        </w:rPr>
        <w:t xml:space="preserve">     </w:t>
      </w:r>
      <w:r>
        <w:rPr>
          <w:rFonts w:asciiTheme="minorHAnsi" w:hAnsiTheme="minorHAnsi" w:cstheme="minorHAnsi"/>
          <w:b/>
          <w:szCs w:val="24"/>
        </w:rPr>
        <w:t xml:space="preserve">     </w:t>
      </w:r>
      <w:r w:rsidRPr="00BC24F1">
        <w:rPr>
          <w:rFonts w:asciiTheme="minorHAnsi" w:hAnsiTheme="minorHAnsi" w:cstheme="minorHAnsi"/>
          <w:b/>
          <w:szCs w:val="24"/>
        </w:rPr>
        <w:t>Procuradora - OAB/SP 308.298                               Procurador - OAB/SP 319.159</w:t>
      </w:r>
    </w:p>
    <w:p w:rsidR="005C59A3" w:rsidP="005C59A3">
      <w:pPr>
        <w:pStyle w:val="BodyText"/>
        <w:spacing w:after="0" w:line="240" w:lineRule="auto"/>
        <w:ind w:firstLine="709"/>
      </w:pPr>
      <w:r>
        <w:rPr>
          <w:rFonts w:asciiTheme="minorHAnsi" w:hAnsiTheme="minorHAnsi" w:cstheme="minorHAnsi"/>
          <w:b/>
          <w:szCs w:val="24"/>
        </w:rPr>
        <w:t xml:space="preserve">    </w:t>
      </w:r>
      <w:r w:rsidRPr="00BC24F1">
        <w:rPr>
          <w:rFonts w:asciiTheme="minorHAnsi" w:hAnsiTheme="minorHAnsi" w:cstheme="minorHAnsi"/>
          <w:b/>
          <w:szCs w:val="24"/>
        </w:rPr>
        <w:t xml:space="preserve"> Assinatura eletrônica             </w:t>
      </w:r>
      <w:r>
        <w:rPr>
          <w:rFonts w:asciiTheme="minorHAnsi" w:hAnsiTheme="minorHAnsi" w:cstheme="minorHAnsi"/>
          <w:b/>
          <w:szCs w:val="24"/>
        </w:rPr>
        <w:t xml:space="preserve">                                      </w:t>
      </w:r>
      <w:r w:rsidRPr="00BC24F1">
        <w:rPr>
          <w:rFonts w:asciiTheme="minorHAnsi" w:hAnsiTheme="minorHAnsi" w:cstheme="minorHAnsi"/>
          <w:b/>
          <w:szCs w:val="24"/>
        </w:rPr>
        <w:t>Assinatura eletrônica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27908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27908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6762039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109338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.3pt;height:67.9pt" o:oleicon="f" o:ole="">
                                <v:imagedata r:id="rId2" o:title=""/>
                              </v:shape>
                              <o:OLEObject Type="Embed" ProgID="MSPhotoEd.3" ShapeID="_x0000_i2051" DrawAspect="Content" ObjectID="_178023316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243393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491030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27908"/>
    <w:rsid w:val="00031240"/>
    <w:rsid w:val="00035153"/>
    <w:rsid w:val="00046F94"/>
    <w:rsid w:val="000473D6"/>
    <w:rsid w:val="000575E2"/>
    <w:rsid w:val="0008358B"/>
    <w:rsid w:val="000A5422"/>
    <w:rsid w:val="000B718A"/>
    <w:rsid w:val="0010716F"/>
    <w:rsid w:val="0011053B"/>
    <w:rsid w:val="00116C2C"/>
    <w:rsid w:val="00125B9A"/>
    <w:rsid w:val="001308C8"/>
    <w:rsid w:val="001708EF"/>
    <w:rsid w:val="00185E77"/>
    <w:rsid w:val="001A3E32"/>
    <w:rsid w:val="001A7907"/>
    <w:rsid w:val="001B56D5"/>
    <w:rsid w:val="001D2F97"/>
    <w:rsid w:val="001D63E7"/>
    <w:rsid w:val="001D6A14"/>
    <w:rsid w:val="001F75A1"/>
    <w:rsid w:val="00222C85"/>
    <w:rsid w:val="002332AB"/>
    <w:rsid w:val="00235BF6"/>
    <w:rsid w:val="00244542"/>
    <w:rsid w:val="002578A0"/>
    <w:rsid w:val="002F41B0"/>
    <w:rsid w:val="00305026"/>
    <w:rsid w:val="0032224F"/>
    <w:rsid w:val="00353DD1"/>
    <w:rsid w:val="0035695C"/>
    <w:rsid w:val="00365F3A"/>
    <w:rsid w:val="003A712F"/>
    <w:rsid w:val="003A7521"/>
    <w:rsid w:val="003D4024"/>
    <w:rsid w:val="003E0D77"/>
    <w:rsid w:val="003E1CF9"/>
    <w:rsid w:val="00431C9A"/>
    <w:rsid w:val="00432887"/>
    <w:rsid w:val="00496CD5"/>
    <w:rsid w:val="004B1794"/>
    <w:rsid w:val="005163A4"/>
    <w:rsid w:val="0055143B"/>
    <w:rsid w:val="00561C45"/>
    <w:rsid w:val="00565D77"/>
    <w:rsid w:val="00591C6F"/>
    <w:rsid w:val="005B754D"/>
    <w:rsid w:val="005C59A3"/>
    <w:rsid w:val="005D402B"/>
    <w:rsid w:val="005D6203"/>
    <w:rsid w:val="00621BFC"/>
    <w:rsid w:val="00626A4F"/>
    <w:rsid w:val="00646BC4"/>
    <w:rsid w:val="006E6F69"/>
    <w:rsid w:val="006F165C"/>
    <w:rsid w:val="006F4218"/>
    <w:rsid w:val="0070670C"/>
    <w:rsid w:val="007338C1"/>
    <w:rsid w:val="00750362"/>
    <w:rsid w:val="00756234"/>
    <w:rsid w:val="007703E8"/>
    <w:rsid w:val="0078016A"/>
    <w:rsid w:val="00783082"/>
    <w:rsid w:val="007904AB"/>
    <w:rsid w:val="007B5A05"/>
    <w:rsid w:val="007C6D50"/>
    <w:rsid w:val="007D2626"/>
    <w:rsid w:val="00813294"/>
    <w:rsid w:val="0082204D"/>
    <w:rsid w:val="00826654"/>
    <w:rsid w:val="00864FC4"/>
    <w:rsid w:val="0087598C"/>
    <w:rsid w:val="00887530"/>
    <w:rsid w:val="008A7D22"/>
    <w:rsid w:val="00933CA9"/>
    <w:rsid w:val="00944D41"/>
    <w:rsid w:val="00963B6F"/>
    <w:rsid w:val="009C7616"/>
    <w:rsid w:val="009D2232"/>
    <w:rsid w:val="00A11C58"/>
    <w:rsid w:val="00A3393A"/>
    <w:rsid w:val="00A33C8A"/>
    <w:rsid w:val="00A6560E"/>
    <w:rsid w:val="00A779B8"/>
    <w:rsid w:val="00AA0609"/>
    <w:rsid w:val="00AA2F4C"/>
    <w:rsid w:val="00AC33D2"/>
    <w:rsid w:val="00AC73BE"/>
    <w:rsid w:val="00AF01F9"/>
    <w:rsid w:val="00B232DD"/>
    <w:rsid w:val="00B378D7"/>
    <w:rsid w:val="00B477B4"/>
    <w:rsid w:val="00BC24F1"/>
    <w:rsid w:val="00BD076E"/>
    <w:rsid w:val="00BE6AF5"/>
    <w:rsid w:val="00C15DC4"/>
    <w:rsid w:val="00C2365D"/>
    <w:rsid w:val="00C40D18"/>
    <w:rsid w:val="00CA4230"/>
    <w:rsid w:val="00CC06A8"/>
    <w:rsid w:val="00CE118C"/>
    <w:rsid w:val="00D01A07"/>
    <w:rsid w:val="00D13CCD"/>
    <w:rsid w:val="00D262DC"/>
    <w:rsid w:val="00D26DEF"/>
    <w:rsid w:val="00D3018D"/>
    <w:rsid w:val="00D4238B"/>
    <w:rsid w:val="00D45484"/>
    <w:rsid w:val="00D53D44"/>
    <w:rsid w:val="00D70598"/>
    <w:rsid w:val="00D76EAD"/>
    <w:rsid w:val="00D932DC"/>
    <w:rsid w:val="00D97FDF"/>
    <w:rsid w:val="00E31B26"/>
    <w:rsid w:val="00E325E8"/>
    <w:rsid w:val="00E45153"/>
    <w:rsid w:val="00E52006"/>
    <w:rsid w:val="00E71AE8"/>
    <w:rsid w:val="00E90CDC"/>
    <w:rsid w:val="00EA43E7"/>
    <w:rsid w:val="00EB17A8"/>
    <w:rsid w:val="00EC7B64"/>
    <w:rsid w:val="00ED5431"/>
    <w:rsid w:val="00EE71E8"/>
    <w:rsid w:val="00F003C1"/>
    <w:rsid w:val="00F13634"/>
    <w:rsid w:val="00F21AC4"/>
    <w:rsid w:val="00F33184"/>
    <w:rsid w:val="00F439F6"/>
    <w:rsid w:val="00F512FB"/>
    <w:rsid w:val="00F53BEF"/>
    <w:rsid w:val="00F56D5F"/>
    <w:rsid w:val="00F648BB"/>
    <w:rsid w:val="00F75C3F"/>
    <w:rsid w:val="00F90411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EFE-20CB-43F3-978B-0B7E5C5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8</cp:revision>
  <dcterms:created xsi:type="dcterms:W3CDTF">2024-06-11T17:24:00Z</dcterms:created>
  <dcterms:modified xsi:type="dcterms:W3CDTF">2024-06-18T19:26:00Z</dcterms:modified>
</cp:coreProperties>
</file>