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RPr="008A7EDC" w:rsidP="00FB0318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8A7EDC">
        <w:rPr>
          <w:rFonts w:asciiTheme="minorHAnsi" w:hAnsiTheme="minorHAnsi" w:cstheme="minorHAnsi"/>
          <w:b/>
          <w:color w:val="auto"/>
        </w:rPr>
        <w:t>Parecer J</w:t>
      </w:r>
      <w:r w:rsidRPr="008A7EDC" w:rsidR="00E503EA">
        <w:rPr>
          <w:rFonts w:asciiTheme="minorHAnsi" w:hAnsiTheme="minorHAnsi" w:cstheme="minorHAnsi"/>
          <w:b/>
          <w:color w:val="auto"/>
        </w:rPr>
        <w:t>urídico</w:t>
      </w:r>
      <w:r w:rsidRPr="008A7EDC">
        <w:rPr>
          <w:rFonts w:asciiTheme="minorHAnsi" w:hAnsiTheme="minorHAnsi" w:cstheme="minorHAnsi"/>
          <w:b/>
          <w:color w:val="auto"/>
        </w:rPr>
        <w:t xml:space="preserve"> nº </w:t>
      </w:r>
      <w:r w:rsidR="00255609">
        <w:rPr>
          <w:rFonts w:asciiTheme="minorHAnsi" w:hAnsiTheme="minorHAnsi" w:cstheme="minorHAnsi"/>
          <w:b/>
          <w:color w:val="auto"/>
        </w:rPr>
        <w:t>160/</w:t>
      </w:r>
      <w:r w:rsidRPr="008A7EDC">
        <w:rPr>
          <w:rFonts w:asciiTheme="minorHAnsi" w:hAnsiTheme="minorHAnsi" w:cstheme="minorHAnsi"/>
          <w:b/>
          <w:color w:val="auto"/>
        </w:rPr>
        <w:t>20</w:t>
      </w:r>
      <w:r w:rsidRPr="008A7EDC" w:rsidR="00C65153">
        <w:rPr>
          <w:rFonts w:asciiTheme="minorHAnsi" w:hAnsiTheme="minorHAnsi" w:cstheme="minorHAnsi"/>
          <w:b/>
          <w:color w:val="auto"/>
        </w:rPr>
        <w:t>2</w:t>
      </w:r>
      <w:r w:rsidRPr="008A7EDC" w:rsidR="00C334CE">
        <w:rPr>
          <w:rFonts w:asciiTheme="minorHAnsi" w:hAnsiTheme="minorHAnsi" w:cstheme="minorHAnsi"/>
          <w:b/>
          <w:color w:val="auto"/>
        </w:rPr>
        <w:t>4.</w:t>
      </w:r>
    </w:p>
    <w:p w:rsidR="00604774" w:rsidRPr="00C20AFC" w:rsidP="003B55E5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20AFC">
        <w:rPr>
          <w:rFonts w:cstheme="minorHAnsi"/>
          <w:b/>
          <w:bCs/>
          <w:sz w:val="24"/>
          <w:szCs w:val="24"/>
        </w:rPr>
        <w:t xml:space="preserve">Assunto: Projeto de Lei nº </w:t>
      </w:r>
      <w:r w:rsidR="00255609">
        <w:rPr>
          <w:rFonts w:cstheme="minorHAnsi"/>
          <w:b/>
          <w:bCs/>
          <w:sz w:val="24"/>
          <w:szCs w:val="24"/>
        </w:rPr>
        <w:t>66</w:t>
      </w:r>
      <w:r w:rsidRPr="00C20AFC">
        <w:rPr>
          <w:rFonts w:cstheme="minorHAnsi"/>
          <w:b/>
          <w:bCs/>
          <w:sz w:val="24"/>
          <w:szCs w:val="24"/>
        </w:rPr>
        <w:t>/20</w:t>
      </w:r>
      <w:r w:rsidRPr="00C20AFC" w:rsidR="00C65153">
        <w:rPr>
          <w:rFonts w:cstheme="minorHAnsi"/>
          <w:b/>
          <w:bCs/>
          <w:sz w:val="24"/>
          <w:szCs w:val="24"/>
        </w:rPr>
        <w:t>2</w:t>
      </w:r>
      <w:r w:rsidRPr="00C20AFC">
        <w:rPr>
          <w:rFonts w:cstheme="minorHAnsi"/>
          <w:b/>
          <w:bCs/>
          <w:sz w:val="24"/>
          <w:szCs w:val="24"/>
        </w:rPr>
        <w:t>4</w:t>
      </w:r>
      <w:r w:rsidRPr="00C20AFC" w:rsidR="00055A36">
        <w:rPr>
          <w:rFonts w:cstheme="minorHAnsi"/>
          <w:b/>
          <w:bCs/>
          <w:sz w:val="24"/>
          <w:szCs w:val="24"/>
        </w:rPr>
        <w:t xml:space="preserve"> –</w:t>
      </w:r>
      <w:r w:rsidRPr="00C20AFC">
        <w:rPr>
          <w:rFonts w:cstheme="minorHAnsi"/>
          <w:b/>
          <w:bCs/>
          <w:sz w:val="24"/>
          <w:szCs w:val="24"/>
        </w:rPr>
        <w:t xml:space="preserve"> </w:t>
      </w:r>
      <w:r w:rsidRPr="000238EF" w:rsidR="00255609">
        <w:rPr>
          <w:rFonts w:eastAsia="Times New Roman" w:cstheme="minorHAnsi"/>
          <w:i/>
          <w:sz w:val="24"/>
          <w:szCs w:val="24"/>
          <w:lang w:eastAsia="pt-BR"/>
        </w:rPr>
        <w:t xml:space="preserve">Altera o Anexo Único da Lei nº 6.485/23, que trata da reorganização da Administração Pública Direta em razão da transformação do Departamento de Águas e Esgotos de Valinhos, em Empresa Pública </w:t>
      </w:r>
      <w:r w:rsidRPr="00255609" w:rsidR="00255609">
        <w:rPr>
          <w:rFonts w:eastAsia="Times New Roman" w:cstheme="minorHAnsi"/>
          <w:sz w:val="24"/>
          <w:szCs w:val="24"/>
          <w:lang w:eastAsia="pt-BR"/>
        </w:rPr>
        <w:t>(Mens. 37</w:t>
      </w:r>
      <w:r w:rsidRPr="00255609" w:rsidR="00C20AFC">
        <w:rPr>
          <w:rFonts w:eastAsia="Times New Roman" w:cstheme="minorHAnsi"/>
          <w:sz w:val="24"/>
          <w:szCs w:val="24"/>
          <w:lang w:eastAsia="pt-BR"/>
        </w:rPr>
        <w:t>/24)</w:t>
      </w:r>
      <w:r w:rsidRPr="00255609" w:rsidR="00C334CE">
        <w:rPr>
          <w:rFonts w:eastAsia="Times New Roman" w:cstheme="minorHAnsi"/>
          <w:sz w:val="24"/>
          <w:szCs w:val="24"/>
          <w:lang w:eastAsia="pt-BR"/>
        </w:rPr>
        <w:t>.</w:t>
      </w:r>
    </w:p>
    <w:p w:rsidR="005101D9" w:rsidRPr="00C20AFC" w:rsidP="003B55E5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20AFC">
        <w:rPr>
          <w:rFonts w:cstheme="minorHAnsi"/>
          <w:b/>
          <w:bCs/>
          <w:sz w:val="24"/>
          <w:szCs w:val="24"/>
        </w:rPr>
        <w:t xml:space="preserve">Autoria do </w:t>
      </w:r>
      <w:r w:rsidR="00325CCF">
        <w:rPr>
          <w:rFonts w:cstheme="minorHAnsi"/>
          <w:b/>
          <w:bCs/>
          <w:sz w:val="24"/>
          <w:szCs w:val="24"/>
        </w:rPr>
        <w:t xml:space="preserve">P. </w:t>
      </w:r>
      <w:r w:rsidRPr="00C20AFC">
        <w:rPr>
          <w:rFonts w:cstheme="minorHAnsi"/>
          <w:b/>
          <w:bCs/>
          <w:sz w:val="24"/>
          <w:szCs w:val="24"/>
        </w:rPr>
        <w:t>Executivo.</w:t>
      </w:r>
    </w:p>
    <w:p w:rsidR="005101D9" w:rsidRPr="004362ED" w:rsidP="00995E87">
      <w:pPr>
        <w:tabs>
          <w:tab w:val="left" w:pos="1134"/>
        </w:tabs>
        <w:jc w:val="both"/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pt-BR"/>
        </w:rPr>
      </w:pPr>
    </w:p>
    <w:p w:rsidR="00C65153" w:rsidRPr="007E4F2D" w:rsidP="00E503EA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7E4F2D">
        <w:rPr>
          <w:rFonts w:asciiTheme="minorHAnsi" w:hAnsiTheme="minorHAnsi" w:cstheme="minorHAnsi"/>
          <w:b/>
          <w:i/>
          <w:color w:val="auto"/>
        </w:rPr>
        <w:t>À</w:t>
      </w:r>
      <w:r w:rsidRPr="007E4F2D" w:rsidR="00175485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7E4F2D">
        <w:rPr>
          <w:rFonts w:asciiTheme="minorHAnsi" w:hAnsiTheme="minorHAnsi" w:cstheme="minorHAnsi"/>
          <w:b/>
          <w:i/>
          <w:color w:val="auto"/>
        </w:rPr>
        <w:t>Comissão de Justiça e Redação</w:t>
      </w:r>
      <w:r w:rsidRPr="007E4F2D" w:rsidR="00973E66">
        <w:rPr>
          <w:rFonts w:asciiTheme="minorHAnsi" w:hAnsiTheme="minorHAnsi" w:cstheme="minorHAnsi"/>
          <w:b/>
          <w:i/>
          <w:color w:val="auto"/>
        </w:rPr>
        <w:t>,</w:t>
      </w:r>
    </w:p>
    <w:p w:rsidR="00EC6150" w:rsidRPr="007E4F2D" w:rsidP="00053466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7E4F2D">
        <w:rPr>
          <w:rFonts w:asciiTheme="minorHAnsi" w:hAnsiTheme="minorHAnsi" w:cstheme="minorHAnsi"/>
          <w:b/>
          <w:i/>
          <w:color w:val="auto"/>
        </w:rPr>
        <w:t xml:space="preserve">Exmo. </w:t>
      </w:r>
      <w:r w:rsidRPr="007E4F2D" w:rsidR="007E3525">
        <w:rPr>
          <w:rFonts w:asciiTheme="minorHAnsi" w:hAnsiTheme="minorHAnsi" w:cstheme="minorHAnsi"/>
          <w:b/>
          <w:i/>
          <w:color w:val="auto"/>
        </w:rPr>
        <w:t xml:space="preserve">Presidente </w:t>
      </w:r>
      <w:r w:rsidRPr="007E4F2D">
        <w:rPr>
          <w:rFonts w:asciiTheme="minorHAnsi" w:hAnsiTheme="minorHAnsi" w:cstheme="minorHAnsi"/>
          <w:b/>
          <w:i/>
          <w:color w:val="auto"/>
        </w:rPr>
        <w:t xml:space="preserve">Vereador </w:t>
      </w:r>
      <w:r w:rsidRPr="007E4F2D" w:rsidR="007E3525">
        <w:rPr>
          <w:rFonts w:asciiTheme="minorHAnsi" w:hAnsiTheme="minorHAnsi" w:cstheme="minorHAnsi"/>
          <w:b/>
          <w:i/>
          <w:color w:val="auto"/>
        </w:rPr>
        <w:t>Gabriel Bueno</w:t>
      </w:r>
      <w:r w:rsidRPr="007E4F2D" w:rsidR="00973E66">
        <w:rPr>
          <w:rFonts w:asciiTheme="minorHAnsi" w:hAnsiTheme="minorHAnsi" w:cstheme="minorHAnsi"/>
          <w:b/>
          <w:i/>
          <w:color w:val="auto"/>
        </w:rPr>
        <w:t>.</w:t>
      </w:r>
    </w:p>
    <w:p w:rsidR="003B4A9E" w:rsidRPr="004362ED" w:rsidP="003C2F5F">
      <w:pPr>
        <w:pStyle w:val="Default"/>
        <w:tabs>
          <w:tab w:val="left" w:pos="2055"/>
        </w:tabs>
        <w:spacing w:line="360" w:lineRule="auto"/>
        <w:jc w:val="both"/>
        <w:rPr>
          <w:rFonts w:asciiTheme="minorHAnsi" w:hAnsiTheme="minorHAnsi" w:cstheme="minorHAnsi"/>
          <w:b/>
          <w:i/>
          <w:color w:val="FF0000"/>
        </w:rPr>
      </w:pPr>
      <w:r w:rsidRPr="004362ED">
        <w:rPr>
          <w:rFonts w:asciiTheme="minorHAnsi" w:hAnsiTheme="minorHAnsi" w:cstheme="minorHAnsi"/>
          <w:b/>
          <w:i/>
          <w:color w:val="FF0000"/>
        </w:rPr>
        <w:tab/>
      </w:r>
    </w:p>
    <w:p w:rsidR="00255609" w:rsidP="00255609">
      <w:pPr>
        <w:spacing w:after="240" w:line="36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  <w:r w:rsidRPr="00553A9B">
        <w:rPr>
          <w:rFonts w:eastAsia="Times New Roman" w:cstheme="minorHAnsi"/>
          <w:sz w:val="24"/>
          <w:szCs w:val="24"/>
          <w:lang w:eastAsia="pt-BR"/>
        </w:rPr>
        <w:t>Trata-se de parecer jurídico</w:t>
      </w:r>
      <w:r w:rsidRPr="00553A9B" w:rsidR="008E20D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553A9B" w:rsidR="0029742D">
        <w:rPr>
          <w:rFonts w:eastAsia="Times New Roman" w:cstheme="minorHAnsi"/>
          <w:sz w:val="24"/>
          <w:szCs w:val="24"/>
          <w:lang w:eastAsia="pt-BR"/>
        </w:rPr>
        <w:t>relativo ao projeto em epígrafe</w:t>
      </w:r>
      <w:r w:rsidRPr="00553A9B" w:rsidR="00AB285F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553A9B" w:rsidR="00E503EA">
        <w:rPr>
          <w:rFonts w:eastAsia="Times New Roman" w:cstheme="minorHAnsi"/>
          <w:sz w:val="24"/>
          <w:szCs w:val="24"/>
          <w:lang w:eastAsia="pt-BR"/>
        </w:rPr>
        <w:t xml:space="preserve">que </w:t>
      </w:r>
      <w:r>
        <w:rPr>
          <w:rFonts w:eastAsia="Times New Roman" w:cstheme="minorHAnsi"/>
          <w:sz w:val="24"/>
          <w:szCs w:val="24"/>
          <w:lang w:eastAsia="pt-BR"/>
        </w:rPr>
        <w:t>“</w:t>
      </w:r>
      <w:r w:rsidRPr="00255609">
        <w:rPr>
          <w:rFonts w:eastAsia="Times New Roman" w:cstheme="minorHAnsi"/>
          <w:i/>
          <w:sz w:val="24"/>
          <w:szCs w:val="24"/>
          <w:lang w:eastAsia="pt-BR"/>
        </w:rPr>
        <w:t>Altera o Anexo Único da Lei nº 6.485/23, que trata da reorganização da Administração Pública Direta em razão da transformação do Departamento de Águas e Esgotos de Valinhos, em Empresa Pública</w:t>
      </w:r>
      <w:r>
        <w:rPr>
          <w:rFonts w:eastAsia="Times New Roman" w:cstheme="minorHAnsi"/>
          <w:i/>
          <w:sz w:val="24"/>
          <w:szCs w:val="24"/>
          <w:lang w:eastAsia="pt-BR"/>
        </w:rPr>
        <w:t>”</w:t>
      </w:r>
      <w:r w:rsidR="00961518">
        <w:rPr>
          <w:rFonts w:eastAsia="Times New Roman" w:cstheme="minorHAnsi"/>
          <w:i/>
          <w:sz w:val="24"/>
          <w:szCs w:val="24"/>
          <w:lang w:eastAsia="pt-BR"/>
        </w:rPr>
        <w:t>,</w:t>
      </w:r>
      <w:r w:rsidR="00961518">
        <w:rPr>
          <w:rFonts w:eastAsia="Times New Roman" w:cstheme="minorHAnsi"/>
          <w:sz w:val="24"/>
          <w:szCs w:val="24"/>
          <w:lang w:eastAsia="pt-BR"/>
        </w:rPr>
        <w:t xml:space="preserve"> nos seguintes termos:</w:t>
      </w:r>
    </w:p>
    <w:tbl>
      <w:tblPr>
        <w:tblStyle w:val="TableGrid"/>
        <w:tblW w:w="9180" w:type="dxa"/>
        <w:tblLayout w:type="fixed"/>
        <w:tblLook w:val="04A0"/>
      </w:tblPr>
      <w:tblGrid>
        <w:gridCol w:w="4503"/>
        <w:gridCol w:w="4677"/>
      </w:tblGrid>
      <w:tr w:rsidTr="00B276B3">
        <w:tblPrEx>
          <w:tblW w:w="9180" w:type="dxa"/>
          <w:tblLayout w:type="fixed"/>
          <w:tblLook w:val="04A0"/>
        </w:tblPrEx>
        <w:trPr>
          <w:trHeight w:val="346"/>
        </w:trPr>
        <w:tc>
          <w:tcPr>
            <w:tcW w:w="4503" w:type="dxa"/>
            <w:vAlign w:val="center"/>
          </w:tcPr>
          <w:p w:rsidR="00153313" w:rsidRPr="00AA456C" w:rsidP="00153313">
            <w:pPr>
              <w:jc w:val="center"/>
              <w:rPr>
                <w:rFonts w:cstheme="minorHAnsi"/>
                <w:b/>
                <w:i/>
              </w:rPr>
            </w:pPr>
            <w:r w:rsidRPr="00AA456C">
              <w:rPr>
                <w:rFonts w:cstheme="minorHAnsi"/>
                <w:b/>
                <w:i/>
              </w:rPr>
              <w:t xml:space="preserve">Lei nº </w:t>
            </w:r>
            <w:r>
              <w:rPr>
                <w:rFonts w:cstheme="minorHAnsi"/>
                <w:b/>
                <w:i/>
              </w:rPr>
              <w:t>6</w:t>
            </w:r>
            <w:r w:rsidRPr="00AA456C">
              <w:rPr>
                <w:rFonts w:cstheme="minorHAnsi"/>
                <w:b/>
                <w:i/>
              </w:rPr>
              <w:t>.</w:t>
            </w:r>
            <w:r>
              <w:rPr>
                <w:rFonts w:cstheme="minorHAnsi"/>
                <w:b/>
                <w:i/>
              </w:rPr>
              <w:t>485</w:t>
            </w:r>
            <w:r w:rsidRPr="00AA456C">
              <w:rPr>
                <w:rFonts w:cstheme="minorHAnsi"/>
                <w:b/>
                <w:i/>
              </w:rPr>
              <w:t>/20</w:t>
            </w:r>
            <w:r>
              <w:rPr>
                <w:rFonts w:cstheme="minorHAnsi"/>
                <w:b/>
                <w:i/>
              </w:rPr>
              <w:t>23</w:t>
            </w:r>
          </w:p>
        </w:tc>
        <w:tc>
          <w:tcPr>
            <w:tcW w:w="4677" w:type="dxa"/>
            <w:vAlign w:val="center"/>
          </w:tcPr>
          <w:p w:rsidR="00153313" w:rsidP="00153313">
            <w:pPr>
              <w:jc w:val="center"/>
              <w:rPr>
                <w:rFonts w:cstheme="minorHAnsi"/>
                <w:b/>
                <w:i/>
              </w:rPr>
            </w:pPr>
            <w:r w:rsidRPr="00AA456C">
              <w:rPr>
                <w:rFonts w:cstheme="minorHAnsi"/>
                <w:b/>
                <w:i/>
              </w:rPr>
              <w:t xml:space="preserve">Alteração pretendida no PL </w:t>
            </w:r>
            <w:r>
              <w:rPr>
                <w:rFonts w:cstheme="minorHAnsi"/>
                <w:b/>
                <w:i/>
              </w:rPr>
              <w:t>66</w:t>
            </w:r>
            <w:r w:rsidRPr="00AA456C">
              <w:rPr>
                <w:rFonts w:cstheme="minorHAnsi"/>
                <w:b/>
                <w:i/>
              </w:rPr>
              <w:t>/2024</w:t>
            </w:r>
          </w:p>
          <w:p w:rsidR="00B276B3" w:rsidRPr="00AA456C" w:rsidP="00153313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Tr="00B276B3">
        <w:tblPrEx>
          <w:tblW w:w="9180" w:type="dxa"/>
          <w:tblLayout w:type="fixed"/>
          <w:tblLook w:val="04A0"/>
        </w:tblPrEx>
        <w:trPr>
          <w:trHeight w:val="3173"/>
        </w:trPr>
        <w:tc>
          <w:tcPr>
            <w:tcW w:w="4503" w:type="dxa"/>
          </w:tcPr>
          <w:tbl>
            <w:tblPr>
              <w:tblpPr w:leftFromText="141" w:rightFromText="141" w:vertAnchor="page" w:horzAnchor="margin" w:tblpY="751"/>
              <w:tblOverlap w:val="never"/>
              <w:tblW w:w="4248" w:type="dxa"/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4A0"/>
            </w:tblPr>
            <w:tblGrid>
              <w:gridCol w:w="2830"/>
              <w:gridCol w:w="851"/>
              <w:gridCol w:w="567"/>
            </w:tblGrid>
            <w:tr w:rsidTr="0042514B">
              <w:tblPrEx>
                <w:tblW w:w="4248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40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>Cargos de Provimento Efetivo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>Quant.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>Ref.</w:t>
                  </w:r>
                </w:p>
              </w:tc>
            </w:tr>
            <w:tr w:rsidTr="0042514B">
              <w:tblPrEx>
                <w:tblW w:w="4248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40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rPr>
                      <w:rFonts w:ascii="Arial" w:hAnsi="Arial"/>
                      <w:bCs/>
                      <w:color w:val="000000"/>
                    </w:rPr>
                  </w:pPr>
                  <w:r>
                    <w:rPr>
                      <w:rFonts w:ascii="Arial" w:hAnsi="Arial"/>
                      <w:bCs/>
                      <w:color w:val="000000"/>
                    </w:rPr>
                    <w:t>(...)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spacing w:after="0" w:line="240" w:lineRule="auto"/>
                    <w:rPr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</w:p>
              </w:tc>
            </w:tr>
            <w:tr w:rsidTr="0042514B">
              <w:tblPrEx>
                <w:tblW w:w="4248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38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Auxiliar de Operador de Tratamento de Água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28</w:t>
                  </w:r>
                </w:p>
              </w:tc>
            </w:tr>
            <w:tr w:rsidTr="0042514B">
              <w:tblPrEx>
                <w:tblW w:w="4248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40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Auxiliar de Operador de Tratamento de Esgoto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28</w:t>
                  </w:r>
                </w:p>
              </w:tc>
            </w:tr>
            <w:tr w:rsidTr="0042514B">
              <w:tblPrEx>
                <w:tblW w:w="4248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40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rPr>
                      <w:rFonts w:ascii="Arial" w:hAnsi="Arial"/>
                      <w:bCs/>
                      <w:color w:val="000000"/>
                    </w:rPr>
                  </w:pPr>
                  <w:r>
                    <w:rPr>
                      <w:rFonts w:ascii="Arial" w:hAnsi="Arial"/>
                      <w:bCs/>
                      <w:color w:val="000000"/>
                    </w:rPr>
                    <w:t>(...)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</w:p>
              </w:tc>
            </w:tr>
            <w:tr w:rsidTr="0042514B">
              <w:tblPrEx>
                <w:tblW w:w="4248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40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Motorista de Veículo Pesado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32</w:t>
                  </w:r>
                </w:p>
              </w:tc>
            </w:tr>
            <w:tr w:rsidTr="0042514B">
              <w:tblPrEx>
                <w:tblW w:w="4248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40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Programador de Serviços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41</w:t>
                  </w:r>
                </w:p>
              </w:tc>
            </w:tr>
            <w:tr w:rsidTr="0042514B">
              <w:tblPrEx>
                <w:tblW w:w="4248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78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42514B">
                  <w:pPr>
                    <w:pStyle w:val="Contedodatabela"/>
                    <w:ind w:hanging="2"/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>Cargos de provimento efetivo com formação técnica compatível com o exercício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Tr="0042514B">
              <w:tblPrEx>
                <w:tblW w:w="4248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40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bCs/>
                      <w:color w:val="000000"/>
                    </w:rPr>
                    <w:t>(...)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Tr="0042514B">
              <w:tblPrEx>
                <w:tblW w:w="4248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444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Técnico de Saneamento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49</w:t>
                  </w:r>
                </w:p>
              </w:tc>
            </w:tr>
          </w:tbl>
          <w:p w:rsidR="0042514B" w:rsidP="0042514B">
            <w:pPr>
              <w:tabs>
                <w:tab w:val="left" w:pos="567"/>
                <w:tab w:val="left" w:pos="2693"/>
                <w:tab w:val="left" w:leader="dot" w:pos="7370"/>
                <w:tab w:val="right" w:pos="9071"/>
                <w:tab w:val="left" w:pos="9354"/>
              </w:tabs>
              <w:ind w:left="2693" w:hanging="2693"/>
              <w:jc w:val="center"/>
              <w:rPr>
                <w:rFonts w:cstheme="minorHAnsi"/>
                <w:b/>
                <w:i/>
              </w:rPr>
            </w:pPr>
          </w:p>
          <w:p w:rsidR="00153313" w:rsidRPr="0042514B" w:rsidP="0042514B">
            <w:pPr>
              <w:tabs>
                <w:tab w:val="left" w:pos="567"/>
                <w:tab w:val="left" w:pos="2693"/>
                <w:tab w:val="left" w:leader="dot" w:pos="7370"/>
                <w:tab w:val="right" w:pos="9071"/>
                <w:tab w:val="left" w:pos="9354"/>
              </w:tabs>
              <w:ind w:left="2693" w:hanging="2693"/>
              <w:jc w:val="center"/>
              <w:rPr>
                <w:rFonts w:cstheme="minorHAnsi"/>
                <w:b/>
                <w:i/>
              </w:rPr>
            </w:pPr>
            <w:r w:rsidRPr="0042514B">
              <w:rPr>
                <w:rFonts w:cstheme="minorHAnsi"/>
                <w:b/>
                <w:i/>
              </w:rPr>
              <w:t>ANEXO ÚNICO</w:t>
            </w:r>
          </w:p>
        </w:tc>
        <w:tc>
          <w:tcPr>
            <w:tcW w:w="4677" w:type="dxa"/>
          </w:tcPr>
          <w:tbl>
            <w:tblPr>
              <w:tblpPr w:leftFromText="141" w:rightFromText="141" w:vertAnchor="page" w:horzAnchor="margin" w:tblpY="796"/>
              <w:tblOverlap w:val="never"/>
              <w:tblW w:w="4390" w:type="dxa"/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4A0"/>
            </w:tblPr>
            <w:tblGrid>
              <w:gridCol w:w="2830"/>
              <w:gridCol w:w="709"/>
              <w:gridCol w:w="851"/>
            </w:tblGrid>
            <w:tr w:rsidTr="0042514B">
              <w:tblPrEx>
                <w:tblW w:w="4390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40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>Cargos de Provimento Efetivo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>Quant.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>Ref.</w:t>
                  </w:r>
                </w:p>
              </w:tc>
            </w:tr>
            <w:tr w:rsidTr="0042514B">
              <w:tblPrEx>
                <w:tblW w:w="4390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40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rPr>
                      <w:rFonts w:ascii="Arial" w:hAnsi="Arial"/>
                      <w:bCs/>
                      <w:color w:val="000000"/>
                    </w:rPr>
                  </w:pPr>
                  <w:r>
                    <w:rPr>
                      <w:rFonts w:ascii="Arial" w:hAnsi="Arial"/>
                      <w:bCs/>
                      <w:color w:val="000000"/>
                    </w:rPr>
                    <w:t>(...)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spacing w:after="0" w:line="240" w:lineRule="auto"/>
                    <w:rPr>
                      <w:lang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</w:p>
              </w:tc>
            </w:tr>
            <w:tr w:rsidTr="0042514B">
              <w:tblPrEx>
                <w:tblW w:w="4390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38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Auxiliar de Operador de Tratamento de Água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RPr="00133205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color w:val="000000"/>
                    </w:rPr>
                  </w:pPr>
                  <w:r w:rsidRPr="00133205">
                    <w:rPr>
                      <w:rFonts w:ascii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28</w:t>
                  </w:r>
                </w:p>
              </w:tc>
            </w:tr>
            <w:tr w:rsidTr="0042514B">
              <w:tblPrEx>
                <w:tblW w:w="4390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40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Auxiliar de Operador de Tratamento de Esgoto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28</w:t>
                  </w:r>
                </w:p>
              </w:tc>
            </w:tr>
            <w:tr w:rsidTr="0042514B">
              <w:tblPrEx>
                <w:tblW w:w="4390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40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rPr>
                      <w:rFonts w:ascii="Arial" w:hAnsi="Arial"/>
                      <w:bCs/>
                      <w:color w:val="000000"/>
                    </w:rPr>
                  </w:pPr>
                  <w:r>
                    <w:rPr>
                      <w:rFonts w:ascii="Arial" w:hAnsi="Arial"/>
                      <w:bCs/>
                      <w:color w:val="000000"/>
                    </w:rPr>
                    <w:t>(...)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</w:p>
              </w:tc>
            </w:tr>
            <w:tr w:rsidTr="0042514B">
              <w:tblPrEx>
                <w:tblW w:w="4390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40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Motorista de Veículo Pesado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32</w:t>
                  </w:r>
                </w:p>
              </w:tc>
            </w:tr>
            <w:tr w:rsidTr="0042514B">
              <w:tblPrEx>
                <w:tblW w:w="4390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40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Programador de Serviços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41</w:t>
                  </w:r>
                </w:p>
              </w:tc>
            </w:tr>
            <w:tr w:rsidTr="0042514B">
              <w:tblPrEx>
                <w:tblW w:w="4390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78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>Cargos de provimento efetivo com formação técnica compatível com o exercício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Tr="0042514B">
              <w:tblPrEx>
                <w:tblW w:w="4390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40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bCs/>
                      <w:color w:val="000000"/>
                    </w:rPr>
                    <w:t>(...)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Tr="0042514B">
              <w:tblPrEx>
                <w:tblW w:w="4390" w:type="dxa"/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/>
              </w:tblPrEx>
              <w:trPr>
                <w:trHeight w:val="38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Técnico de Saneamento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76B3" w:rsidP="00B276B3">
                  <w:pPr>
                    <w:pStyle w:val="Contedodatabela"/>
                    <w:ind w:hanging="2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49</w:t>
                  </w:r>
                </w:p>
              </w:tc>
            </w:tr>
          </w:tbl>
          <w:p w:rsidR="00153313" w:rsidRPr="00AA456C" w:rsidP="00B276B3">
            <w:pPr>
              <w:tabs>
                <w:tab w:val="left" w:pos="993"/>
                <w:tab w:val="left" w:pos="2835"/>
              </w:tabs>
              <w:jc w:val="both"/>
              <w:rPr>
                <w:rFonts w:cstheme="minorHAnsi"/>
                <w:b/>
                <w:i/>
                <w:shd w:val="clear" w:color="auto" w:fill="FFFFFF"/>
              </w:rPr>
            </w:pPr>
            <w:r w:rsidRPr="00B276B3">
              <w:rPr>
                <w:rFonts w:ascii="Arial" w:hAnsi="Arial" w:cs="Arial"/>
                <w:b/>
                <w:bCs/>
                <w:sz w:val="20"/>
                <w:szCs w:val="20"/>
              </w:rPr>
              <w:t>Art. 1</w:t>
            </w:r>
            <w:r w:rsidRPr="00B276B3">
              <w:rPr>
                <w:rFonts w:ascii="Arial" w:hAnsi="Arial" w:cs="Arial"/>
                <w:sz w:val="20"/>
                <w:szCs w:val="20"/>
              </w:rPr>
              <w:t>º O</w:t>
            </w:r>
            <w:r w:rsidRPr="00B276B3">
              <w:rPr>
                <w:rStyle w:val="Emphasis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Anexo Único da Lei nº 6.485, de 10 de julho de 2023, passa a vigorar com a seguinte alteração:</w:t>
            </w:r>
          </w:p>
        </w:tc>
      </w:tr>
      <w:tr w:rsidTr="00B276B3">
        <w:tblPrEx>
          <w:tblW w:w="9180" w:type="dxa"/>
          <w:tblLayout w:type="fixed"/>
          <w:tblLook w:val="04A0"/>
        </w:tblPrEx>
        <w:trPr>
          <w:trHeight w:val="346"/>
        </w:trPr>
        <w:tc>
          <w:tcPr>
            <w:tcW w:w="4503" w:type="dxa"/>
          </w:tcPr>
          <w:p w:rsidR="00153313" w:rsidRPr="00AA456C" w:rsidP="004A2620">
            <w:pPr>
              <w:tabs>
                <w:tab w:val="left" w:pos="567"/>
                <w:tab w:val="left" w:pos="2693"/>
                <w:tab w:val="left" w:leader="dot" w:pos="7370"/>
                <w:tab w:val="right" w:pos="9071"/>
                <w:tab w:val="left" w:pos="9354"/>
              </w:tabs>
              <w:jc w:val="both"/>
              <w:rPr>
                <w:rFonts w:cs="Arial"/>
                <w:b/>
                <w:bCs/>
                <w:i/>
                <w:color w:val="000000"/>
              </w:rPr>
            </w:pPr>
          </w:p>
        </w:tc>
        <w:tc>
          <w:tcPr>
            <w:tcW w:w="4677" w:type="dxa"/>
          </w:tcPr>
          <w:p w:rsidR="00153313" w:rsidRPr="00B276B3" w:rsidP="004A2620">
            <w:pPr>
              <w:tabs>
                <w:tab w:val="left" w:pos="567"/>
              </w:tabs>
              <w:ind w:left="176"/>
              <w:jc w:val="both"/>
              <w:rPr>
                <w:rFonts w:cstheme="minorHAnsi"/>
                <w:b/>
                <w:i/>
                <w:shd w:val="clear" w:color="auto" w:fill="FFFFFF"/>
              </w:rPr>
            </w:pPr>
            <w:r w:rsidRPr="0042514B">
              <w:rPr>
                <w:b/>
                <w:i/>
              </w:rPr>
              <w:t>Art. 2º</w:t>
            </w:r>
            <w:r w:rsidRPr="00B276B3">
              <w:rPr>
                <w:i/>
              </w:rPr>
              <w:t xml:space="preserve"> Esta Lei entra em vigor na data de sua publicação, retroagindo seus efeitos a 21 de maio de 2024.</w:t>
            </w:r>
          </w:p>
        </w:tc>
      </w:tr>
    </w:tbl>
    <w:p w:rsidR="00961518" w:rsidP="00255609">
      <w:pPr>
        <w:spacing w:after="240" w:line="36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C65153" w:rsidRPr="00660921" w:rsidP="00053466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660921">
        <w:rPr>
          <w:rFonts w:cstheme="minorHAnsi"/>
          <w:i/>
          <w:sz w:val="24"/>
          <w:szCs w:val="24"/>
        </w:rPr>
        <w:t>Ab initio</w:t>
      </w:r>
      <w:r w:rsidRPr="00660921">
        <w:rPr>
          <w:rFonts w:cstheme="minorHAnsi"/>
          <w:sz w:val="24"/>
          <w:szCs w:val="24"/>
        </w:rPr>
        <w:t>, cumpre destacar a competência regimental</w:t>
      </w:r>
      <w:r w:rsidRPr="00660921" w:rsidR="00973E66">
        <w:rPr>
          <w:rFonts w:cstheme="minorHAnsi"/>
          <w:sz w:val="24"/>
          <w:szCs w:val="24"/>
        </w:rPr>
        <w:t xml:space="preserve"> da </w:t>
      </w:r>
      <w:r w:rsidRPr="00660921">
        <w:rPr>
          <w:rFonts w:cstheme="minorHAnsi"/>
          <w:sz w:val="24"/>
          <w:szCs w:val="24"/>
        </w:rPr>
        <w:t>Comissão de Justiça e Redação</w:t>
      </w:r>
      <w:r w:rsidRPr="00660921" w:rsidR="004738DA">
        <w:rPr>
          <w:rFonts w:cstheme="minorHAnsi"/>
          <w:sz w:val="24"/>
          <w:szCs w:val="24"/>
        </w:rPr>
        <w:t xml:space="preserve"> </w:t>
      </w:r>
      <w:r w:rsidRPr="00660921" w:rsidR="00231CF9">
        <w:rPr>
          <w:rFonts w:cstheme="minorHAnsi"/>
          <w:sz w:val="24"/>
          <w:szCs w:val="24"/>
        </w:rPr>
        <w:t>estabelecida no artigo 38</w:t>
      </w:r>
      <w:r>
        <w:rPr>
          <w:rStyle w:val="FootnoteReference"/>
          <w:rFonts w:cstheme="minorHAnsi"/>
          <w:sz w:val="24"/>
          <w:szCs w:val="24"/>
        </w:rPr>
        <w:footnoteReference w:id="2"/>
      </w:r>
      <w:r w:rsidRPr="00660921" w:rsidR="00231CF9">
        <w:rPr>
          <w:rFonts w:cstheme="minorHAnsi"/>
          <w:sz w:val="24"/>
          <w:szCs w:val="24"/>
        </w:rPr>
        <w:t>.</w:t>
      </w:r>
    </w:p>
    <w:p w:rsidR="00C65153" w:rsidRPr="00660921" w:rsidP="00055A36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660921">
        <w:rPr>
          <w:rFonts w:cstheme="minorHAnsi"/>
          <w:sz w:val="24"/>
          <w:szCs w:val="24"/>
        </w:rPr>
        <w:t>Outrossim</w:t>
      </w:r>
      <w:r w:rsidRPr="00660921">
        <w:rPr>
          <w:rFonts w:cstheme="minorHAnsi"/>
          <w:sz w:val="24"/>
          <w:szCs w:val="24"/>
        </w:rPr>
        <w:t>, ressalta-se que a opinião jurídica exarada nes</w:t>
      </w:r>
      <w:r w:rsidRPr="00660921" w:rsidR="00B20851">
        <w:rPr>
          <w:rFonts w:cstheme="minorHAnsi"/>
          <w:sz w:val="24"/>
          <w:szCs w:val="24"/>
        </w:rPr>
        <w:t>s</w:t>
      </w:r>
      <w:r w:rsidRPr="00660921">
        <w:rPr>
          <w:rFonts w:cstheme="minorHAnsi"/>
          <w:sz w:val="24"/>
          <w:szCs w:val="24"/>
        </w:rPr>
        <w:t>e parecer não tem força vinculante, sendo meramente opinativo</w:t>
      </w:r>
      <w:r>
        <w:rPr>
          <w:rStyle w:val="FootnoteReference"/>
          <w:rFonts w:cstheme="minorHAnsi"/>
          <w:sz w:val="24"/>
          <w:szCs w:val="24"/>
        </w:rPr>
        <w:footnoteReference w:id="3"/>
      </w:r>
      <w:r w:rsidRPr="00660921">
        <w:rPr>
          <w:rFonts w:cstheme="minorHAnsi"/>
          <w:sz w:val="24"/>
          <w:szCs w:val="24"/>
        </w:rPr>
        <w:t xml:space="preserve"> não fundamentando decisão proferida pelas Comissões e/ou nobres vereadores.</w:t>
      </w:r>
      <w:r w:rsidRPr="00660921" w:rsidR="004738DA">
        <w:rPr>
          <w:rFonts w:cstheme="minorHAnsi"/>
          <w:sz w:val="24"/>
          <w:szCs w:val="24"/>
        </w:rPr>
        <w:t xml:space="preserve"> </w:t>
      </w:r>
    </w:p>
    <w:p w:rsidR="00961518" w:rsidRPr="00961518" w:rsidP="00961518">
      <w:pPr>
        <w:tabs>
          <w:tab w:val="left" w:pos="1701"/>
        </w:tabs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961518">
        <w:rPr>
          <w:rFonts w:cstheme="minorHAnsi"/>
          <w:sz w:val="24"/>
          <w:szCs w:val="24"/>
        </w:rPr>
        <w:t>Desta feita, considerando os aspectos constitucionais, legais e jurídicos passamos a análise técnica do projeto em epígrafe solicitado.</w:t>
      </w:r>
    </w:p>
    <w:p w:rsidR="00961518" w:rsidRPr="00961518" w:rsidP="00961518">
      <w:pPr>
        <w:tabs>
          <w:tab w:val="left" w:pos="1701"/>
        </w:tabs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961518">
        <w:rPr>
          <w:rFonts w:cstheme="minorHAnsi"/>
          <w:sz w:val="24"/>
          <w:szCs w:val="24"/>
        </w:rPr>
        <w:t xml:space="preserve">Preliminarmente, quanto ao </w:t>
      </w:r>
      <w:r w:rsidRPr="00961518">
        <w:rPr>
          <w:rFonts w:cstheme="minorHAnsi"/>
          <w:sz w:val="24"/>
          <w:szCs w:val="24"/>
          <w:u w:val="single"/>
        </w:rPr>
        <w:t>pedido de urgência</w:t>
      </w:r>
      <w:r w:rsidRPr="00961518">
        <w:rPr>
          <w:rFonts w:cstheme="minorHAnsi"/>
          <w:sz w:val="24"/>
          <w:szCs w:val="24"/>
        </w:rPr>
        <w:t xml:space="preserve"> o Regimento Interno dispõe:</w:t>
      </w:r>
    </w:p>
    <w:p w:rsidR="00961518" w:rsidRPr="00C121CA" w:rsidP="00961518">
      <w:pPr>
        <w:autoSpaceDE w:val="0"/>
        <w:autoSpaceDN w:val="0"/>
        <w:adjustRightInd w:val="0"/>
        <w:spacing w:after="0" w:line="240" w:lineRule="auto"/>
        <w:ind w:left="2835" w:hanging="1"/>
        <w:jc w:val="both"/>
        <w:rPr>
          <w:rFonts w:eastAsia="Calibri" w:cstheme="minorHAnsi"/>
          <w:b/>
          <w:i/>
        </w:rPr>
      </w:pPr>
      <w:r w:rsidRPr="00C121CA">
        <w:rPr>
          <w:rFonts w:eastAsia="Calibri" w:cstheme="minorHAnsi"/>
          <w:i/>
        </w:rPr>
        <w:t xml:space="preserve">Art. 115. O </w:t>
      </w:r>
      <w:r w:rsidRPr="00C121CA">
        <w:rPr>
          <w:rFonts w:eastAsia="Calibri" w:cstheme="minorHAnsi"/>
          <w:b/>
          <w:i/>
        </w:rPr>
        <w:t>Prefeito</w:t>
      </w:r>
      <w:r w:rsidRPr="00C121CA">
        <w:rPr>
          <w:rFonts w:eastAsia="Calibri" w:cstheme="minorHAnsi"/>
          <w:i/>
        </w:rPr>
        <w:t xml:space="preserve"> </w:t>
      </w:r>
      <w:r w:rsidRPr="00C121CA">
        <w:rPr>
          <w:rFonts w:eastAsia="Calibri" w:cstheme="minorHAnsi"/>
          <w:b/>
          <w:i/>
        </w:rPr>
        <w:t>poderá solicitar regime de urgência para</w:t>
      </w:r>
      <w:r w:rsidRPr="00C121CA">
        <w:rPr>
          <w:rFonts w:eastAsia="Calibri" w:cstheme="minorHAnsi"/>
          <w:i/>
        </w:rPr>
        <w:t xml:space="preserve"> </w:t>
      </w:r>
      <w:r w:rsidRPr="00C121CA">
        <w:rPr>
          <w:rFonts w:eastAsia="Calibri" w:cstheme="minorHAnsi"/>
          <w:b/>
          <w:i/>
        </w:rPr>
        <w:t xml:space="preserve">projeto de </w:t>
      </w:r>
      <w:r w:rsidRPr="00C121CA">
        <w:rPr>
          <w:rFonts w:eastAsia="Calibri" w:cstheme="minorHAnsi"/>
          <w:b/>
          <w:i/>
        </w:rPr>
        <w:t>sua iniciativa</w:t>
      </w:r>
      <w:r w:rsidRPr="00C121CA">
        <w:rPr>
          <w:rFonts w:eastAsia="Calibri" w:cstheme="minorHAnsi"/>
          <w:i/>
        </w:rPr>
        <w:t xml:space="preserve"> </w:t>
      </w:r>
      <w:r w:rsidRPr="00C121CA">
        <w:rPr>
          <w:rFonts w:eastAsia="Calibri" w:cstheme="minorHAnsi"/>
          <w:b/>
          <w:i/>
          <w:u w:val="single"/>
        </w:rPr>
        <w:t>considerado de relevante interesse público,</w:t>
      </w:r>
      <w:r w:rsidRPr="00C121CA">
        <w:rPr>
          <w:rFonts w:eastAsia="Calibri" w:cstheme="minorHAnsi"/>
          <w:i/>
        </w:rPr>
        <w:t xml:space="preserve"> </w:t>
      </w:r>
      <w:r w:rsidRPr="00C121CA">
        <w:rPr>
          <w:rFonts w:eastAsia="Calibri" w:cstheme="minorHAnsi"/>
          <w:b/>
          <w:i/>
        </w:rPr>
        <w:t>devendo a Câmara</w:t>
      </w:r>
      <w:r w:rsidRPr="00C121CA">
        <w:rPr>
          <w:rFonts w:eastAsia="Calibri" w:cstheme="minorHAnsi"/>
          <w:b/>
          <w:i/>
        </w:rPr>
        <w:t xml:space="preserve"> apreciá-lo dentro do prazo de trinta dias.</w:t>
      </w:r>
    </w:p>
    <w:p w:rsidR="00961518" w:rsidRPr="00C121CA" w:rsidP="0096151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Calibri" w:cstheme="minorHAnsi"/>
          <w:i/>
        </w:rPr>
      </w:pPr>
      <w:r w:rsidRPr="00C121CA">
        <w:rPr>
          <w:i/>
        </w:rPr>
        <w:t xml:space="preserve">§ </w:t>
      </w:r>
      <w:r w:rsidRPr="00C121CA">
        <w:rPr>
          <w:rFonts w:eastAsia="Calibri" w:cstheme="minorHAnsi"/>
          <w:i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961518" w:rsidRPr="00C121CA" w:rsidP="0096151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Calibri" w:cstheme="minorHAnsi"/>
          <w:i/>
        </w:rPr>
      </w:pPr>
      <w:r w:rsidRPr="00C121CA">
        <w:rPr>
          <w:rFonts w:eastAsia="Calibri" w:cstheme="minorHAnsi"/>
          <w:i/>
        </w:rPr>
        <w:t xml:space="preserve">§ 2º Por exceção, não ficará sobrestado o exame do veto cujo prazo de deliberação tenha se esgotado.  </w:t>
      </w:r>
    </w:p>
    <w:p w:rsidR="00961518" w:rsidRPr="00C121CA" w:rsidP="0096151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Calibri" w:cstheme="minorHAnsi"/>
          <w:i/>
        </w:rPr>
      </w:pPr>
      <w:r w:rsidRPr="00C121CA">
        <w:rPr>
          <w:rFonts w:eastAsia="Calibri" w:cstheme="minorHAnsi"/>
          <w:i/>
        </w:rPr>
        <w:t xml:space="preserve">§ 3º O pedido de urgência será apreciado pela Comissão de Justiça e Redação e quando negado será submetido à votação do Plenário.  </w:t>
      </w:r>
    </w:p>
    <w:p w:rsidR="00961518" w:rsidRPr="00C121CA" w:rsidP="0096151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Calibri" w:cstheme="minorHAnsi"/>
          <w:i/>
        </w:rPr>
      </w:pPr>
      <w:r w:rsidRPr="00C121CA">
        <w:rPr>
          <w:rFonts w:eastAsia="Calibri" w:cstheme="minorHAnsi"/>
          <w:i/>
        </w:rPr>
        <w:t xml:space="preserve">§ 4º A Mesa poderá fixar prazo para apresentação de emendas tanto em primeira como em segunda discussão. </w:t>
      </w:r>
    </w:p>
    <w:p w:rsidR="00961518" w:rsidRPr="00C121CA" w:rsidP="0096151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Calibri" w:cstheme="minorHAnsi"/>
          <w:i/>
        </w:rPr>
      </w:pPr>
      <w:r w:rsidRPr="00C121CA">
        <w:rPr>
          <w:rFonts w:eastAsia="Calibri" w:cstheme="minorHAnsi"/>
          <w:i/>
        </w:rPr>
        <w:t xml:space="preserve">§ 5º Após o prazo fixado na forma do parágrafo anterior, as emendas para a segunda discussão só serão aceitas quando </w:t>
      </w:r>
      <w:r w:rsidRPr="00C121CA">
        <w:rPr>
          <w:rFonts w:eastAsia="Calibri" w:cstheme="minorHAnsi"/>
          <w:i/>
        </w:rPr>
        <w:t xml:space="preserve">apresentadas pela Mesa ou assinada por pelo menos um terço dos vereadores da Câmara. </w:t>
      </w:r>
    </w:p>
    <w:p w:rsidR="00961518" w:rsidRPr="00C121CA" w:rsidP="0096151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Calibri" w:cstheme="minorHAnsi"/>
          <w:b/>
          <w:i/>
        </w:rPr>
      </w:pPr>
      <w:r w:rsidRPr="00C121CA">
        <w:rPr>
          <w:rFonts w:eastAsia="Calibri" w:cstheme="minorHAnsi"/>
          <w:b/>
          <w:i/>
        </w:rPr>
        <w:t>§ 6º Aos projetos de Codificação e Estatuto, artigos 121 e 122, não se aplicam o disposto no caput do artigo.</w:t>
      </w:r>
    </w:p>
    <w:p w:rsidR="00961518" w:rsidRPr="007979E0" w:rsidP="00961518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cstheme="minorHAnsi"/>
          <w:i/>
          <w:sz w:val="4"/>
          <w:szCs w:val="4"/>
        </w:rPr>
      </w:pPr>
    </w:p>
    <w:p w:rsidR="00961518" w:rsidRPr="00C121CA" w:rsidP="00961518">
      <w:pPr>
        <w:pStyle w:val="Default"/>
        <w:spacing w:after="300" w:line="360" w:lineRule="auto"/>
        <w:ind w:firstLine="1701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7E3525" w:rsidRPr="00660921" w:rsidP="00961518">
      <w:pPr>
        <w:pStyle w:val="Default"/>
        <w:spacing w:after="240" w:line="360" w:lineRule="auto"/>
        <w:ind w:firstLine="1701"/>
        <w:jc w:val="both"/>
        <w:rPr>
          <w:rFonts w:cstheme="minorHAnsi"/>
          <w:i/>
        </w:rPr>
      </w:pPr>
      <w:r w:rsidRPr="00660921">
        <w:rPr>
          <w:rFonts w:asciiTheme="minorHAnsi" w:hAnsiTheme="minorHAnsi" w:cstheme="minorHAnsi"/>
          <w:color w:val="auto"/>
        </w:rPr>
        <w:t xml:space="preserve">A proposta em exame, no que tange à </w:t>
      </w:r>
      <w:r w:rsidRPr="00660921" w:rsidR="00AD2EF4">
        <w:rPr>
          <w:rFonts w:asciiTheme="minorHAnsi" w:hAnsiTheme="minorHAnsi" w:cstheme="minorHAnsi"/>
          <w:b/>
          <w:color w:val="auto"/>
        </w:rPr>
        <w:t>competência municipal</w:t>
      </w:r>
      <w:r w:rsidRPr="00660921">
        <w:rPr>
          <w:rFonts w:asciiTheme="minorHAnsi" w:hAnsiTheme="minorHAnsi" w:cstheme="minorHAnsi"/>
          <w:b/>
          <w:color w:val="auto"/>
        </w:rPr>
        <w:t>,</w:t>
      </w:r>
      <w:r w:rsidRPr="00660921">
        <w:rPr>
          <w:rFonts w:asciiTheme="minorHAnsi" w:hAnsiTheme="minorHAnsi" w:cstheme="minorHAnsi"/>
          <w:color w:val="auto"/>
        </w:rPr>
        <w:t xml:space="preserve"> afigura-se revestida de constitucionalidade, pois por força da Constituição </w:t>
      </w:r>
      <w:r w:rsidRPr="00660921" w:rsidR="006B1DD9">
        <w:rPr>
          <w:rFonts w:asciiTheme="minorHAnsi" w:hAnsiTheme="minorHAnsi" w:cstheme="minorHAnsi"/>
          <w:color w:val="auto"/>
        </w:rPr>
        <w:t xml:space="preserve">Federal </w:t>
      </w:r>
      <w:r w:rsidRPr="00660921">
        <w:rPr>
          <w:rFonts w:asciiTheme="minorHAnsi" w:hAnsiTheme="minorHAnsi" w:cstheme="minorHAnsi"/>
          <w:color w:val="auto"/>
        </w:rPr>
        <w:t>os Municípios foram dotados de autonomia legislativa, que vem consubstanciada na capacidade de legislar sobre assuntos de inter</w:t>
      </w:r>
      <w:r w:rsidRPr="00660921" w:rsidR="008F1AFA">
        <w:rPr>
          <w:rFonts w:asciiTheme="minorHAnsi" w:hAnsiTheme="minorHAnsi" w:cstheme="minorHAnsi"/>
          <w:color w:val="auto"/>
        </w:rPr>
        <w:t xml:space="preserve">esse local </w:t>
      </w:r>
      <w:r w:rsidRPr="00660921" w:rsidR="000A2B7F">
        <w:rPr>
          <w:rFonts w:asciiTheme="minorHAnsi" w:hAnsiTheme="minorHAnsi" w:cstheme="minorHAnsi"/>
          <w:color w:val="auto"/>
        </w:rPr>
        <w:t>(art. 30, I</w:t>
      </w:r>
      <w:r w:rsidR="00961518">
        <w:rPr>
          <w:rFonts w:asciiTheme="minorHAnsi" w:hAnsiTheme="minorHAnsi" w:cstheme="minorHAnsi"/>
          <w:color w:val="auto"/>
        </w:rPr>
        <w:t>, da CRFB).</w:t>
      </w:r>
    </w:p>
    <w:p w:rsidR="00623AD7" w:rsidRPr="00660921" w:rsidP="00622D40">
      <w:pPr>
        <w:spacing w:after="240" w:line="36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  <w:r w:rsidRPr="00660921">
        <w:rPr>
          <w:rFonts w:eastAsia="Times New Roman" w:cstheme="minorHAnsi"/>
          <w:sz w:val="24"/>
          <w:szCs w:val="24"/>
          <w:lang w:eastAsia="pt-BR"/>
        </w:rPr>
        <w:t>Nessa linha, a Lei Orgânica do Município de Valinhos estabelece:</w:t>
      </w:r>
    </w:p>
    <w:p w:rsidR="00623AD7" w:rsidRPr="00660921" w:rsidP="00055D2C">
      <w:pPr>
        <w:spacing w:after="0"/>
        <w:ind w:left="2268"/>
        <w:jc w:val="both"/>
        <w:rPr>
          <w:rFonts w:cstheme="minorHAnsi"/>
          <w:i/>
        </w:rPr>
      </w:pPr>
      <w:r w:rsidRPr="00660921">
        <w:rPr>
          <w:rFonts w:cstheme="minorHAnsi"/>
          <w:i/>
        </w:rPr>
        <w:t xml:space="preserve">Art. 5º Compete ao Município, no exercício de sua autonomia, </w:t>
      </w:r>
      <w:r w:rsidRPr="00660921">
        <w:rPr>
          <w:rFonts w:cstheme="minorHAnsi"/>
          <w:b/>
          <w:i/>
          <w:u w:val="single"/>
        </w:rPr>
        <w:t>legislar sobre tudo quanto respeite ao interesse local</w:t>
      </w:r>
      <w:r w:rsidRPr="00660921">
        <w:rPr>
          <w:rFonts w:cstheme="minorHAnsi"/>
          <w:i/>
          <w:u w:val="single"/>
        </w:rPr>
        <w:t>,</w:t>
      </w:r>
      <w:r w:rsidRPr="00660921">
        <w:rPr>
          <w:rFonts w:cstheme="minorHAnsi"/>
          <w:i/>
        </w:rPr>
        <w:t xml:space="preserve"> tendo como objetivo o pleno desenvolvimento de suas funções sociais e garantir o bem-estar de seus habitantes, cabendo-lhe privativamente, entre outras, as seguintes atribuições:</w:t>
      </w:r>
    </w:p>
    <w:p w:rsidR="00623AD7" w:rsidRPr="00660921" w:rsidP="00055D2C">
      <w:pPr>
        <w:spacing w:after="0"/>
        <w:ind w:left="2268"/>
        <w:jc w:val="both"/>
        <w:rPr>
          <w:rFonts w:cstheme="minorHAnsi"/>
          <w:i/>
        </w:rPr>
      </w:pPr>
      <w:r w:rsidRPr="00660921">
        <w:rPr>
          <w:rFonts w:cstheme="minorHAnsi"/>
          <w:i/>
        </w:rPr>
        <w:t>(...)</w:t>
      </w:r>
    </w:p>
    <w:p w:rsidR="00A84A80" w:rsidRPr="00660921" w:rsidP="00055D2C">
      <w:pPr>
        <w:spacing w:after="0"/>
        <w:ind w:left="2268"/>
        <w:jc w:val="both"/>
        <w:rPr>
          <w:rFonts w:cstheme="minorHAnsi"/>
          <w:i/>
        </w:rPr>
      </w:pPr>
    </w:p>
    <w:p w:rsidR="00623AD7" w:rsidRPr="00660921" w:rsidP="00055D2C">
      <w:pPr>
        <w:spacing w:after="0"/>
        <w:ind w:left="2268"/>
        <w:jc w:val="both"/>
        <w:rPr>
          <w:rFonts w:cstheme="minorHAnsi"/>
          <w:i/>
        </w:rPr>
      </w:pPr>
      <w:r w:rsidRPr="00660921">
        <w:rPr>
          <w:rFonts w:cstheme="minorHAnsi"/>
          <w:i/>
        </w:rPr>
        <w:t>“</w:t>
      </w:r>
      <w:r w:rsidRPr="00660921">
        <w:rPr>
          <w:rFonts w:cstheme="minorHAnsi"/>
          <w:i/>
        </w:rPr>
        <w:t>Art.</w:t>
      </w:r>
      <w:r w:rsidRPr="00660921">
        <w:rPr>
          <w:rFonts w:cstheme="minorHAnsi"/>
          <w:i/>
        </w:rPr>
        <w:t xml:space="preserve">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623AD7" w:rsidRPr="00660921" w:rsidP="00055D2C">
      <w:pPr>
        <w:spacing w:after="0"/>
        <w:ind w:left="2268"/>
        <w:jc w:val="both"/>
        <w:rPr>
          <w:rFonts w:cstheme="minorHAnsi"/>
          <w:b/>
          <w:i/>
        </w:rPr>
      </w:pPr>
      <w:r w:rsidRPr="00660921">
        <w:rPr>
          <w:rFonts w:cstheme="minorHAnsi"/>
          <w:b/>
          <w:i/>
        </w:rPr>
        <w:t>I - legislar sobre assuntos de interesse local;</w:t>
      </w:r>
      <w:r w:rsidRPr="00660921" w:rsidR="006E4468">
        <w:rPr>
          <w:rFonts w:cstheme="minorHAnsi"/>
          <w:b/>
          <w:i/>
        </w:rPr>
        <w:t>“</w:t>
      </w:r>
    </w:p>
    <w:p w:rsidR="00A369D9" w:rsidRPr="00660921" w:rsidP="00EA669D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995E87" w:rsidRPr="00660921" w:rsidP="00636DF5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cstheme="minorHAnsi"/>
          <w:sz w:val="24"/>
          <w:szCs w:val="24"/>
        </w:rPr>
      </w:pPr>
      <w:r w:rsidRPr="00660921">
        <w:rPr>
          <w:rFonts w:cstheme="minorHAnsi"/>
          <w:sz w:val="24"/>
          <w:szCs w:val="24"/>
        </w:rPr>
        <w:t>Acerca do conceito de interesse local o saudoso professor Hely Lopes Meirelles leciona:</w:t>
      </w:r>
    </w:p>
    <w:p w:rsidR="00995E87" w:rsidRPr="00660921" w:rsidP="009761BF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Calibri" w:cstheme="minorHAnsi"/>
          <w:b/>
          <w:i/>
        </w:rPr>
      </w:pPr>
      <w:r w:rsidRPr="00660921">
        <w:rPr>
          <w:rFonts w:eastAsia="Calibri" w:cstheme="minorHAnsi"/>
          <w:i/>
        </w:rPr>
        <w:t xml:space="preserve">"Interesse local não é interesse exclusivo do Município; não é interesse privativo da localidade; não é interesse único dos municípios. Se se exigisse essa exclusividade, </w:t>
      </w:r>
      <w:r w:rsidRPr="00660921">
        <w:rPr>
          <w:rFonts w:eastAsia="Calibri" w:cstheme="minorHAnsi"/>
          <w:i/>
        </w:rPr>
        <w:t xml:space="preserve">essa </w:t>
      </w:r>
      <w:r w:rsidRPr="00660921">
        <w:rPr>
          <w:rFonts w:eastAsia="Calibri" w:cstheme="minorHAnsi"/>
          <w:i/>
        </w:rPr>
        <w:t>privatividade</w:t>
      </w:r>
      <w:r w:rsidRPr="00660921">
        <w:rPr>
          <w:rFonts w:eastAsia="Calibri" w:cstheme="minorHAnsi"/>
          <w:i/>
        </w:rPr>
        <w:t>, essa unicidade, bem reduzido</w:t>
      </w:r>
      <w:r w:rsidRPr="00660921">
        <w:rPr>
          <w:rFonts w:eastAsia="Calibri" w:cstheme="minorHAnsi"/>
          <w:i/>
        </w:rPr>
        <w:t xml:space="preserve"> ficaria o âmbito da Administração local, aniquilando-se a autonomia de que faz praça a Constituição. Mesmo </w:t>
      </w:r>
      <w:r w:rsidRPr="00660921">
        <w:rPr>
          <w:rFonts w:eastAsia="Calibri" w:cstheme="minorHAnsi"/>
          <w:i/>
        </w:rPr>
        <w:t xml:space="preserve">porque não há interesse municipal que não o seja reflexamente da União e do Estado-membro, como, também, não há interesse regional ou nacional que não ressoe nos Municípios, como partes integrantes da Federação brasileira. </w:t>
      </w:r>
      <w:r w:rsidRPr="00660921">
        <w:rPr>
          <w:rFonts w:eastAsia="Calibri" w:cstheme="minorHAnsi"/>
          <w:b/>
          <w:i/>
        </w:rPr>
        <w:t>O que define e caracteriza o 'interesse local', inscrito como dogma constitucional, é a predominância do interesse do Município sobre o do Estado ou da União". (</w:t>
      </w:r>
      <w:r w:rsidRPr="00660921">
        <w:rPr>
          <w:rFonts w:eastAsia="Calibri" w:cstheme="minorHAnsi"/>
          <w:b/>
          <w:i/>
        </w:rPr>
        <w:t>gn</w:t>
      </w:r>
      <w:r w:rsidRPr="00660921">
        <w:rPr>
          <w:rFonts w:eastAsia="Calibri" w:cstheme="minorHAnsi"/>
          <w:b/>
          <w:i/>
        </w:rPr>
        <w:t>)</w:t>
      </w:r>
    </w:p>
    <w:p w:rsidR="00995E87" w:rsidRPr="00660921" w:rsidP="009761BF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Calibri" w:cstheme="minorHAnsi"/>
          <w:i/>
        </w:rPr>
      </w:pPr>
      <w:r w:rsidRPr="00660921">
        <w:rPr>
          <w:rFonts w:eastAsia="Calibri" w:cstheme="minorHAnsi"/>
          <w:i/>
        </w:rPr>
        <w:t xml:space="preserve">(in Direito Municipal Brasileiro, 6ª ed., atualizada por Izabel Camargo Lopes Monteiro e Yara Darcy Police Monteiro, 1993, Malheiros, p. </w:t>
      </w:r>
      <w:r w:rsidRPr="00660921">
        <w:rPr>
          <w:rFonts w:eastAsia="Calibri" w:cstheme="minorHAnsi"/>
          <w:i/>
        </w:rPr>
        <w:t>98)</w:t>
      </w:r>
    </w:p>
    <w:p w:rsidR="00AB285F" w:rsidRPr="00660921" w:rsidP="002C4D6D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</w:p>
    <w:p w:rsidR="00C334CE" w:rsidRPr="00660921" w:rsidP="00C334CE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660921">
        <w:rPr>
          <w:rFonts w:asciiTheme="minorHAnsi" w:hAnsiTheme="minorHAnsi" w:cstheme="minorHAnsi"/>
          <w:szCs w:val="24"/>
        </w:rPr>
        <w:t xml:space="preserve">Do mesmo modo, a Lei Orgânica estabelece que a matéria </w:t>
      </w:r>
      <w:r w:rsidRPr="00660921">
        <w:rPr>
          <w:rFonts w:asciiTheme="minorHAnsi" w:hAnsiTheme="minorHAnsi" w:cstheme="minorHAnsi"/>
          <w:szCs w:val="24"/>
        </w:rPr>
        <w:t>deve</w:t>
      </w:r>
      <w:r w:rsidRPr="00660921">
        <w:rPr>
          <w:rFonts w:asciiTheme="minorHAnsi" w:hAnsiTheme="minorHAnsi" w:cstheme="minorHAnsi"/>
          <w:szCs w:val="24"/>
        </w:rPr>
        <w:t xml:space="preserve"> ser submetida à apreciação da Câmara:</w:t>
      </w:r>
    </w:p>
    <w:p w:rsidR="00C334CE" w:rsidRPr="00660921" w:rsidP="00961518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60921">
        <w:rPr>
          <w:rFonts w:asciiTheme="minorHAnsi" w:hAnsiTheme="minorHAnsi" w:cstheme="minorHAnsi"/>
          <w:b/>
          <w:i/>
          <w:sz w:val="22"/>
          <w:szCs w:val="22"/>
        </w:rPr>
        <w:t>Art. 8º Cabe à Câmara</w:t>
      </w:r>
      <w:r w:rsidRPr="00660921">
        <w:rPr>
          <w:rFonts w:asciiTheme="minorHAnsi" w:hAnsiTheme="minorHAnsi" w:cstheme="minorHAnsi"/>
          <w:i/>
          <w:sz w:val="22"/>
          <w:szCs w:val="22"/>
        </w:rPr>
        <w:t>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C334CE" w:rsidP="00961518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60921">
        <w:rPr>
          <w:rFonts w:asciiTheme="minorHAnsi" w:hAnsiTheme="minorHAnsi" w:cstheme="minorHAnsi"/>
          <w:i/>
          <w:sz w:val="22"/>
          <w:szCs w:val="22"/>
        </w:rPr>
        <w:t>(...)</w:t>
      </w:r>
    </w:p>
    <w:p w:rsidR="009D7605" w:rsidRPr="00660921" w:rsidP="00961518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7605">
        <w:rPr>
          <w:rFonts w:asciiTheme="minorHAnsi" w:hAnsiTheme="minorHAnsi" w:cstheme="minorHAnsi"/>
          <w:i/>
          <w:sz w:val="22"/>
          <w:szCs w:val="22"/>
        </w:rPr>
        <w:t xml:space="preserve">X - autorizar </w:t>
      </w:r>
      <w:r w:rsidRPr="00961518">
        <w:rPr>
          <w:rFonts w:asciiTheme="minorHAnsi" w:hAnsiTheme="minorHAnsi" w:cstheme="minorHAnsi"/>
          <w:b/>
          <w:i/>
          <w:sz w:val="22"/>
          <w:szCs w:val="22"/>
        </w:rPr>
        <w:t>a criação, transformação e extinção de cargos,</w:t>
      </w:r>
      <w:r w:rsidRPr="009D7605">
        <w:rPr>
          <w:rFonts w:asciiTheme="minorHAnsi" w:hAnsiTheme="minorHAnsi" w:cstheme="minorHAnsi"/>
          <w:i/>
          <w:sz w:val="22"/>
          <w:szCs w:val="22"/>
        </w:rPr>
        <w:t xml:space="preserve"> empregos e funções na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D7605">
        <w:rPr>
          <w:rFonts w:asciiTheme="minorHAnsi" w:hAnsiTheme="minorHAnsi" w:cstheme="minorHAnsi"/>
          <w:i/>
          <w:sz w:val="22"/>
          <w:szCs w:val="22"/>
        </w:rPr>
        <w:t xml:space="preserve">administração direta, autárquica e </w:t>
      </w:r>
      <w:r w:rsidRPr="009D7605">
        <w:rPr>
          <w:rFonts w:asciiTheme="minorHAnsi" w:hAnsiTheme="minorHAnsi" w:cstheme="minorHAnsi"/>
          <w:i/>
          <w:sz w:val="22"/>
          <w:szCs w:val="22"/>
        </w:rPr>
        <w:t>fundações públicas, assim como a fixação dos respectivos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D7605">
        <w:rPr>
          <w:rFonts w:asciiTheme="minorHAnsi" w:hAnsiTheme="minorHAnsi" w:cstheme="minorHAnsi"/>
          <w:i/>
          <w:sz w:val="22"/>
          <w:szCs w:val="22"/>
        </w:rPr>
        <w:t>vencimentos, observados</w:t>
      </w:r>
      <w:r w:rsidRPr="009D7605">
        <w:rPr>
          <w:rFonts w:asciiTheme="minorHAnsi" w:hAnsiTheme="minorHAnsi" w:cstheme="minorHAnsi"/>
          <w:i/>
          <w:sz w:val="22"/>
          <w:szCs w:val="22"/>
        </w:rPr>
        <w:t xml:space="preserve"> os parâmetros da lei de diretrizes orçamentárias;</w:t>
      </w:r>
    </w:p>
    <w:p w:rsidR="00C334CE" w:rsidRPr="00660921" w:rsidP="00961518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60921">
        <w:rPr>
          <w:rFonts w:asciiTheme="minorHAnsi" w:hAnsiTheme="minorHAnsi" w:cstheme="minorHAnsi"/>
          <w:i/>
          <w:sz w:val="22"/>
          <w:szCs w:val="22"/>
        </w:rPr>
        <w:t>XI - autorizar a criação, estruturação e atribuições das Secretarias e órgãos da Administração;</w:t>
      </w:r>
    </w:p>
    <w:p w:rsidR="00C334CE" w:rsidP="00961518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60921">
        <w:rPr>
          <w:rFonts w:asciiTheme="minorHAnsi" w:hAnsiTheme="minorHAnsi" w:cstheme="minorHAnsi"/>
          <w:i/>
          <w:sz w:val="22"/>
          <w:szCs w:val="22"/>
        </w:rPr>
        <w:t>(...)</w:t>
      </w:r>
    </w:p>
    <w:p w:rsidR="00961518" w:rsidRPr="00660921" w:rsidP="00961518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334CE" w:rsidRPr="009D7605" w:rsidP="00C334CE">
      <w:pPr>
        <w:pStyle w:val="BodyText"/>
        <w:spacing w:after="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9D7605">
        <w:rPr>
          <w:rFonts w:asciiTheme="minorHAnsi" w:hAnsiTheme="minorHAnsi" w:cstheme="minorHAnsi"/>
          <w:szCs w:val="24"/>
        </w:rPr>
        <w:t xml:space="preserve">No que tange à </w:t>
      </w:r>
      <w:r w:rsidRPr="009D7605">
        <w:rPr>
          <w:rFonts w:asciiTheme="minorHAnsi" w:hAnsiTheme="minorHAnsi" w:cstheme="minorHAnsi"/>
          <w:b/>
          <w:szCs w:val="24"/>
        </w:rPr>
        <w:t>competência para deflagrar o processo legislativo</w:t>
      </w:r>
      <w:r w:rsidRPr="009D7605">
        <w:rPr>
          <w:rFonts w:asciiTheme="minorHAnsi" w:hAnsiTheme="minorHAnsi" w:cstheme="minorHAnsi"/>
          <w:szCs w:val="24"/>
        </w:rPr>
        <w:t xml:space="preserve"> a propositura apresentada pela Prefeita atende às regras de iniciativa, porquanto </w:t>
      </w:r>
      <w:r w:rsidRPr="009D7605">
        <w:rPr>
          <w:rFonts w:asciiTheme="minorHAnsi" w:hAnsiTheme="minorHAnsi" w:cstheme="minorHAnsi"/>
          <w:b/>
          <w:szCs w:val="24"/>
        </w:rPr>
        <w:t>se trata de matéria de iniciativa privativa do Executivo</w:t>
      </w:r>
      <w:r w:rsidRPr="009D7605">
        <w:rPr>
          <w:rFonts w:asciiTheme="minorHAnsi" w:hAnsiTheme="minorHAnsi" w:cstheme="minorHAnsi"/>
          <w:szCs w:val="24"/>
        </w:rPr>
        <w:t xml:space="preserve">, conforme previsão na Constituição Bandeirante (art. 24, § 2º) e na Lei Orgânica de Valinhos (art. 48), </w:t>
      </w:r>
      <w:r w:rsidRPr="009D7605">
        <w:rPr>
          <w:rFonts w:asciiTheme="minorHAnsi" w:hAnsiTheme="minorHAnsi" w:cstheme="minorHAnsi"/>
          <w:i/>
          <w:szCs w:val="24"/>
        </w:rPr>
        <w:t>in verbis</w:t>
      </w:r>
      <w:r w:rsidRPr="009D7605">
        <w:rPr>
          <w:rFonts w:asciiTheme="minorHAnsi" w:hAnsiTheme="minorHAnsi" w:cstheme="minorHAnsi"/>
          <w:szCs w:val="24"/>
        </w:rPr>
        <w:t>:</w:t>
      </w:r>
    </w:p>
    <w:p w:rsidR="00C334CE" w:rsidRPr="00961518" w:rsidP="00C334CE">
      <w:pPr>
        <w:pStyle w:val="ListParagraph"/>
        <w:numPr>
          <w:ilvl w:val="0"/>
          <w:numId w:val="4"/>
        </w:numPr>
        <w:spacing w:after="0" w:line="240" w:lineRule="auto"/>
        <w:ind w:left="2694"/>
        <w:jc w:val="both"/>
        <w:rPr>
          <w:rFonts w:cstheme="minorHAnsi"/>
          <w:b/>
          <w:i/>
        </w:rPr>
      </w:pPr>
      <w:r w:rsidRPr="009D7605">
        <w:rPr>
          <w:rFonts w:cstheme="minorHAnsi"/>
          <w:b/>
          <w:szCs w:val="24"/>
        </w:rPr>
        <w:t>Constituição Bandeirante</w:t>
      </w:r>
    </w:p>
    <w:p w:rsidR="00961518" w:rsidRPr="009D7605" w:rsidP="00961518">
      <w:pPr>
        <w:pStyle w:val="ListParagraph"/>
        <w:spacing w:after="0" w:line="240" w:lineRule="auto"/>
        <w:ind w:left="2694"/>
        <w:jc w:val="both"/>
        <w:rPr>
          <w:rFonts w:cstheme="minorHAnsi"/>
          <w:b/>
          <w:i/>
        </w:rPr>
      </w:pPr>
    </w:p>
    <w:p w:rsidR="00C334CE" w:rsidRPr="009D7605" w:rsidP="00C334CE">
      <w:pPr>
        <w:spacing w:after="0" w:line="240" w:lineRule="auto"/>
        <w:ind w:left="2268"/>
        <w:jc w:val="both"/>
        <w:rPr>
          <w:rFonts w:cstheme="minorHAnsi"/>
          <w:i/>
        </w:rPr>
      </w:pPr>
      <w:r w:rsidRPr="009D7605">
        <w:rPr>
          <w:rFonts w:cstheme="minorHAnsi"/>
          <w:i/>
        </w:rPr>
        <w:t>Artigo 24 -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C334CE" w:rsidRPr="009D7605" w:rsidP="00C334CE">
      <w:pPr>
        <w:spacing w:after="0" w:line="240" w:lineRule="auto"/>
        <w:ind w:left="2268"/>
        <w:jc w:val="both"/>
        <w:rPr>
          <w:rFonts w:cstheme="minorHAnsi"/>
          <w:i/>
        </w:rPr>
      </w:pPr>
      <w:r w:rsidRPr="009D7605">
        <w:rPr>
          <w:rFonts w:cstheme="minorHAnsi"/>
          <w:i/>
        </w:rPr>
        <w:t>[...]</w:t>
      </w:r>
    </w:p>
    <w:p w:rsidR="00C334CE" w:rsidRPr="009D7605" w:rsidP="00C334CE">
      <w:pPr>
        <w:pStyle w:val="paragrafo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7605">
        <w:rPr>
          <w:rFonts w:asciiTheme="minorHAnsi" w:hAnsiTheme="minorHAnsi" w:cstheme="minorHAnsi"/>
          <w:i/>
          <w:sz w:val="22"/>
          <w:szCs w:val="22"/>
        </w:rPr>
        <w:t>§ 2º - Compete, exclusivamente, ao Governador do Estado a iniciativa das leis que disponham sobre:</w:t>
      </w:r>
    </w:p>
    <w:p w:rsidR="00C334CE" w:rsidRPr="00A477E0" w:rsidP="00C334CE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477E0">
        <w:rPr>
          <w:rFonts w:asciiTheme="minorHAnsi" w:hAnsiTheme="minorHAnsi" w:cstheme="minorHAnsi"/>
          <w:b/>
          <w:i/>
          <w:sz w:val="22"/>
          <w:szCs w:val="22"/>
        </w:rPr>
        <w:t>1 - criação e extinção de cargos, funções ou empregos públicos na administração direta e autárquica, bem como a fixação da respectiva remuneração;</w:t>
      </w:r>
    </w:p>
    <w:p w:rsidR="00C334CE" w:rsidRPr="009D7605" w:rsidP="00C334CE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7605">
        <w:rPr>
          <w:rFonts w:asciiTheme="minorHAnsi" w:hAnsiTheme="minorHAnsi" w:cstheme="minorHAnsi"/>
          <w:i/>
          <w:sz w:val="22"/>
          <w:szCs w:val="22"/>
        </w:rPr>
        <w:t>2 - criação e extinção das Secretarias de Estado e órgãos da administração pública, observado o disposto no art. 47, XIX; (NR)- Redação dada pela Emenda Constitucional nº 21, de 14/2/2006.</w:t>
      </w:r>
    </w:p>
    <w:p w:rsidR="00C334CE" w:rsidRPr="009D7605" w:rsidP="00C334CE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7605">
        <w:rPr>
          <w:rFonts w:asciiTheme="minorHAnsi" w:hAnsiTheme="minorHAnsi" w:cstheme="minorHAnsi"/>
          <w:i/>
          <w:sz w:val="22"/>
          <w:szCs w:val="22"/>
        </w:rPr>
        <w:t>3 - organização da Procuradoria Geral do Estado e da Defensoria Pública do Estado, observadas as normas gerais da União;</w:t>
      </w:r>
    </w:p>
    <w:p w:rsidR="00C334CE" w:rsidRPr="009D7605" w:rsidP="00C334CE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D7605">
        <w:rPr>
          <w:rFonts w:asciiTheme="minorHAnsi" w:hAnsiTheme="minorHAnsi" w:cstheme="minorHAnsi"/>
          <w:b/>
          <w:i/>
          <w:sz w:val="22"/>
          <w:szCs w:val="22"/>
        </w:rPr>
        <w:t xml:space="preserve">4 - servidores públicos do Estado, seu regime jurídico, provimento de cargos, estabilidade e aposentadoria; </w:t>
      </w:r>
    </w:p>
    <w:p w:rsidR="00C334CE" w:rsidRPr="009D7605" w:rsidP="00C334CE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7605">
        <w:rPr>
          <w:rFonts w:asciiTheme="minorHAnsi" w:hAnsiTheme="minorHAnsi" w:cstheme="minorHAnsi"/>
          <w:i/>
          <w:sz w:val="22"/>
          <w:szCs w:val="22"/>
        </w:rPr>
        <w:t xml:space="preserve">5 - militares, seu regime jurídico, provimento de cargos, promoções, estabilidade, remuneração, reforma e transferência para inatividade, bem como fixação ou alteração do efetivo da Polícia Militar; </w:t>
      </w:r>
    </w:p>
    <w:p w:rsidR="00C334CE" w:rsidP="00C334CE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7605">
        <w:rPr>
          <w:rFonts w:asciiTheme="minorHAnsi" w:hAnsiTheme="minorHAnsi" w:cstheme="minorHAnsi"/>
          <w:i/>
          <w:sz w:val="22"/>
          <w:szCs w:val="22"/>
        </w:rPr>
        <w:t>6 - criação, alteração ou supressão de cartórios notariais e de registros públicos.</w:t>
      </w:r>
    </w:p>
    <w:p w:rsidR="00961518" w:rsidP="00C334CE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334CE" w:rsidRPr="009D7605" w:rsidP="00C334CE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C334CE" w:rsidRPr="009D7605" w:rsidP="00C334CE">
      <w:pPr>
        <w:pStyle w:val="ListParagraph"/>
        <w:numPr>
          <w:ilvl w:val="0"/>
          <w:numId w:val="4"/>
        </w:numPr>
        <w:spacing w:after="0" w:line="240" w:lineRule="auto"/>
        <w:ind w:left="2694"/>
        <w:jc w:val="both"/>
        <w:rPr>
          <w:rFonts w:cstheme="minorHAnsi"/>
          <w:b/>
          <w:i/>
        </w:rPr>
      </w:pPr>
      <w:r w:rsidRPr="009D7605">
        <w:rPr>
          <w:rFonts w:cstheme="minorHAnsi"/>
          <w:b/>
          <w:szCs w:val="24"/>
        </w:rPr>
        <w:t>Lei Orgânica de Valinhos</w:t>
      </w:r>
    </w:p>
    <w:p w:rsidR="00C334CE" w:rsidRPr="009D7605" w:rsidP="00C334CE">
      <w:pPr>
        <w:pStyle w:val="ListParagraph"/>
        <w:spacing w:after="0" w:line="240" w:lineRule="auto"/>
        <w:ind w:left="2694"/>
        <w:jc w:val="both"/>
        <w:rPr>
          <w:rFonts w:cstheme="minorHAnsi"/>
          <w:b/>
          <w:i/>
          <w:sz w:val="12"/>
          <w:szCs w:val="12"/>
        </w:rPr>
      </w:pPr>
    </w:p>
    <w:p w:rsidR="00C334CE" w:rsidRPr="009D7605" w:rsidP="00C334CE">
      <w:pPr>
        <w:spacing w:after="0" w:line="240" w:lineRule="auto"/>
        <w:ind w:left="2268"/>
        <w:jc w:val="both"/>
        <w:rPr>
          <w:rFonts w:cstheme="minorHAnsi"/>
          <w:i/>
        </w:rPr>
      </w:pPr>
      <w:r w:rsidRPr="009D7605">
        <w:rPr>
          <w:rFonts w:cstheme="minorHAnsi"/>
          <w:i/>
        </w:rPr>
        <w:t xml:space="preserve">Art. 48. Compete, exclusivamente, ao Prefeito a iniciativa dos projetos de lei que disponham sobre: </w:t>
      </w:r>
    </w:p>
    <w:p w:rsidR="00C334CE" w:rsidRPr="009D7605" w:rsidP="00C334CE">
      <w:pPr>
        <w:spacing w:after="0" w:line="240" w:lineRule="auto"/>
        <w:ind w:left="2268"/>
        <w:jc w:val="both"/>
        <w:rPr>
          <w:rFonts w:cstheme="minorHAnsi"/>
          <w:i/>
        </w:rPr>
      </w:pPr>
      <w:r w:rsidRPr="00A477E0">
        <w:rPr>
          <w:rFonts w:cstheme="minorHAnsi"/>
          <w:b/>
          <w:i/>
        </w:rPr>
        <w:t>I - criação e extinção de cargos, funções ou empregos públicos na administração direta e autárquica, bem como a fixação da respectiva remuneração</w:t>
      </w:r>
      <w:r w:rsidRPr="009D7605">
        <w:rPr>
          <w:rFonts w:cstheme="minorHAnsi"/>
          <w:i/>
        </w:rPr>
        <w:t>;</w:t>
      </w:r>
    </w:p>
    <w:p w:rsidR="00C334CE" w:rsidRPr="009D7605" w:rsidP="00C334CE">
      <w:pPr>
        <w:spacing w:after="0" w:line="240" w:lineRule="auto"/>
        <w:ind w:left="2268"/>
        <w:jc w:val="both"/>
        <w:rPr>
          <w:rFonts w:cstheme="minorHAnsi"/>
          <w:i/>
        </w:rPr>
      </w:pPr>
      <w:r w:rsidRPr="009D7605">
        <w:rPr>
          <w:rFonts w:cstheme="minorHAnsi"/>
          <w:i/>
        </w:rPr>
        <w:t xml:space="preserve"> II - criação, estruturação e atribuições das Secretarias Municipais e órgãos da administração pública; </w:t>
      </w:r>
    </w:p>
    <w:p w:rsidR="00C334CE" w:rsidRPr="009D7605" w:rsidP="00C334CE">
      <w:pPr>
        <w:spacing w:after="0" w:line="240" w:lineRule="auto"/>
        <w:ind w:left="2268"/>
        <w:jc w:val="both"/>
        <w:rPr>
          <w:rFonts w:cstheme="minorHAnsi"/>
          <w:b/>
          <w:i/>
        </w:rPr>
      </w:pPr>
      <w:r w:rsidRPr="009D7605">
        <w:rPr>
          <w:rFonts w:cstheme="minorHAnsi"/>
          <w:b/>
          <w:i/>
        </w:rPr>
        <w:t xml:space="preserve">III - servidores públicos do Município, seu regime jurídico, provimento de cargos, estabilidade e aposentadoria; </w:t>
      </w:r>
    </w:p>
    <w:p w:rsidR="00C334CE" w:rsidRPr="009D7605" w:rsidP="00C334CE">
      <w:pPr>
        <w:spacing w:after="0" w:line="240" w:lineRule="auto"/>
        <w:ind w:left="2268"/>
        <w:jc w:val="both"/>
        <w:rPr>
          <w:rFonts w:cstheme="minorHAnsi"/>
          <w:i/>
        </w:rPr>
      </w:pPr>
      <w:r w:rsidRPr="009D7605">
        <w:rPr>
          <w:rFonts w:cstheme="minorHAnsi"/>
          <w:i/>
        </w:rPr>
        <w:t>IV - abertura de créditos adicionais.</w:t>
      </w:r>
    </w:p>
    <w:p w:rsidR="0006637E" w:rsidP="009761BF">
      <w:pPr>
        <w:pStyle w:val="BodyTex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76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D760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FD4C9B" w:rsidRPr="00FD4C9B" w:rsidP="009761BF">
      <w:pPr>
        <w:pStyle w:val="BodyText"/>
        <w:ind w:left="2268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DA24D4" w:rsidRPr="00AF6393" w:rsidP="00DA24D4">
      <w:pPr>
        <w:spacing w:after="120" w:line="360" w:lineRule="auto"/>
        <w:ind w:right="57" w:firstLine="1701"/>
        <w:jc w:val="both"/>
        <w:rPr>
          <w:rFonts w:cstheme="minorHAnsi"/>
          <w:i/>
          <w:sz w:val="24"/>
          <w:szCs w:val="24"/>
        </w:rPr>
      </w:pPr>
      <w:bookmarkStart w:id="0" w:name="art20"/>
      <w:bookmarkEnd w:id="0"/>
      <w:r w:rsidRPr="00AF6393">
        <w:rPr>
          <w:rFonts w:cstheme="minorHAnsi"/>
          <w:sz w:val="24"/>
          <w:szCs w:val="24"/>
        </w:rPr>
        <w:t xml:space="preserve">Noutro giro, </w:t>
      </w:r>
      <w:r w:rsidRPr="00FD4C9B" w:rsidR="00FD4C9B">
        <w:rPr>
          <w:rFonts w:cstheme="minorHAnsi"/>
          <w:i/>
          <w:sz w:val="24"/>
          <w:szCs w:val="24"/>
        </w:rPr>
        <w:t>data maxima venia</w:t>
      </w:r>
      <w:r w:rsidRPr="00FD4C9B" w:rsidR="00FD4C9B">
        <w:rPr>
          <w:rFonts w:cstheme="minorHAnsi"/>
          <w:sz w:val="24"/>
          <w:szCs w:val="24"/>
        </w:rPr>
        <w:t>,</w:t>
      </w:r>
      <w:r w:rsidR="00FD4C9B">
        <w:rPr>
          <w:rFonts w:cstheme="minorHAnsi"/>
          <w:sz w:val="24"/>
          <w:szCs w:val="24"/>
        </w:rPr>
        <w:t xml:space="preserve"> c</w:t>
      </w:r>
      <w:r w:rsidR="00961518">
        <w:rPr>
          <w:rFonts w:cstheme="minorHAnsi"/>
          <w:sz w:val="24"/>
          <w:szCs w:val="24"/>
        </w:rPr>
        <w:t xml:space="preserve">onsiderando que o projeto tenciona extinguir </w:t>
      </w:r>
      <w:r w:rsidR="00961518">
        <w:rPr>
          <w:rFonts w:cstheme="minorHAnsi"/>
          <w:sz w:val="24"/>
          <w:szCs w:val="24"/>
        </w:rPr>
        <w:t>2</w:t>
      </w:r>
      <w:r w:rsidR="00961518">
        <w:rPr>
          <w:rFonts w:cstheme="minorHAnsi"/>
          <w:sz w:val="24"/>
          <w:szCs w:val="24"/>
        </w:rPr>
        <w:t xml:space="preserve"> (dois) cargos com referência 28 e criar 3 (três) cargos com referências 32, 41 e 49, </w:t>
      </w:r>
      <w:r w:rsidR="00FD4C9B">
        <w:rPr>
          <w:rFonts w:cstheme="minorHAnsi"/>
          <w:sz w:val="24"/>
          <w:szCs w:val="24"/>
        </w:rPr>
        <w:t>s.m.j., infere-se</w:t>
      </w:r>
      <w:r w:rsidRPr="00AF6393" w:rsidR="00FD4C9B">
        <w:rPr>
          <w:rFonts w:cstheme="minorHAnsi"/>
          <w:sz w:val="24"/>
          <w:szCs w:val="24"/>
        </w:rPr>
        <w:t xml:space="preserve"> </w:t>
      </w:r>
      <w:r w:rsidRPr="00AF6393">
        <w:rPr>
          <w:rFonts w:cstheme="minorHAnsi"/>
          <w:sz w:val="24"/>
          <w:szCs w:val="24"/>
        </w:rPr>
        <w:t xml:space="preserve">que </w:t>
      </w:r>
      <w:r w:rsidR="00961518">
        <w:rPr>
          <w:rFonts w:cstheme="minorHAnsi"/>
          <w:sz w:val="24"/>
          <w:szCs w:val="24"/>
        </w:rPr>
        <w:t>a proposição</w:t>
      </w:r>
      <w:r w:rsidRPr="00AF6393">
        <w:rPr>
          <w:rFonts w:cstheme="minorHAnsi"/>
          <w:sz w:val="24"/>
          <w:szCs w:val="24"/>
        </w:rPr>
        <w:t xml:space="preserve"> acarreta aumento de despesa obrigatória de caráter continuado devendo observar o disposto no art. 16 da Lei de Responsabilidade Fiscal (LRF), </w:t>
      </w:r>
      <w:r w:rsidRPr="00AF6393">
        <w:rPr>
          <w:rFonts w:cstheme="minorHAnsi"/>
          <w:i/>
          <w:sz w:val="24"/>
          <w:szCs w:val="24"/>
        </w:rPr>
        <w:t>in verbis:</w:t>
      </w:r>
    </w:p>
    <w:p w:rsidR="00DA24D4" w:rsidRPr="00AF6393" w:rsidP="009761BF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F6393">
        <w:rPr>
          <w:rFonts w:asciiTheme="minorHAnsi" w:hAnsiTheme="minorHAnsi" w:cstheme="minorHAnsi"/>
          <w:i/>
          <w:sz w:val="22"/>
          <w:szCs w:val="22"/>
        </w:rPr>
        <w:t>Art. 16.</w:t>
      </w:r>
      <w:r w:rsidRPr="00AF6393">
        <w:rPr>
          <w:rFonts w:asciiTheme="minorHAnsi" w:hAnsiTheme="minorHAnsi" w:cstheme="minorHAnsi"/>
          <w:b/>
          <w:bCs/>
          <w:i/>
          <w:sz w:val="22"/>
          <w:szCs w:val="22"/>
        </w:rPr>
        <w:t> </w:t>
      </w:r>
      <w:r w:rsidRPr="00AF6393">
        <w:rPr>
          <w:rFonts w:asciiTheme="minorHAnsi" w:hAnsiTheme="minorHAnsi" w:cstheme="minorHAnsi"/>
          <w:i/>
          <w:sz w:val="22"/>
          <w:szCs w:val="22"/>
        </w:rPr>
        <w:t>A criação, expansão ou aperfeiçoamento de ação governamental que acarrete aumento da despesa será acompanhado de:        </w:t>
      </w:r>
      <w:hyperlink r:id="rId6" w:history="1">
        <w:r w:rsidRPr="00AF6393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(Vide ADI 6357)</w:t>
        </w:r>
      </w:hyperlink>
    </w:p>
    <w:p w:rsidR="00DA24D4" w:rsidRPr="00AF6393" w:rsidP="009761BF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" w:name="art16i"/>
      <w:bookmarkEnd w:id="1"/>
      <w:r w:rsidRPr="00AF6393">
        <w:rPr>
          <w:rFonts w:asciiTheme="minorHAnsi" w:hAnsiTheme="minorHAnsi" w:cstheme="minorHAnsi"/>
          <w:i/>
          <w:sz w:val="22"/>
          <w:szCs w:val="22"/>
        </w:rPr>
        <w:t xml:space="preserve">I - </w:t>
      </w:r>
      <w:r w:rsidRPr="00AF6393">
        <w:rPr>
          <w:rFonts w:asciiTheme="minorHAnsi" w:hAnsiTheme="minorHAnsi" w:cstheme="minorHAnsi"/>
          <w:b/>
          <w:i/>
          <w:sz w:val="22"/>
          <w:szCs w:val="22"/>
        </w:rPr>
        <w:t xml:space="preserve">estimativa do impacto orçamentário-financeiro no exercício em que deva entrar em vigor e nos dois </w:t>
      </w:r>
      <w:r w:rsidRPr="00AF6393">
        <w:rPr>
          <w:rFonts w:asciiTheme="minorHAnsi" w:hAnsiTheme="minorHAnsi" w:cstheme="minorHAnsi"/>
          <w:b/>
          <w:i/>
          <w:sz w:val="22"/>
          <w:szCs w:val="22"/>
        </w:rPr>
        <w:t>subseqüentes</w:t>
      </w:r>
      <w:r w:rsidRPr="00AF6393">
        <w:rPr>
          <w:rFonts w:asciiTheme="minorHAnsi" w:hAnsiTheme="minorHAnsi" w:cstheme="minorHAnsi"/>
          <w:b/>
          <w:i/>
          <w:sz w:val="22"/>
          <w:szCs w:val="22"/>
        </w:rPr>
        <w:t>;</w:t>
      </w:r>
    </w:p>
    <w:p w:rsidR="00DA24D4" w:rsidRPr="00AF6393" w:rsidP="009761BF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" w:name="art16ii"/>
      <w:bookmarkEnd w:id="2"/>
      <w:r w:rsidRPr="00AF6393">
        <w:rPr>
          <w:rFonts w:asciiTheme="minorHAnsi" w:hAnsiTheme="minorHAnsi" w:cstheme="minorHAnsi"/>
          <w:i/>
          <w:sz w:val="22"/>
          <w:szCs w:val="22"/>
        </w:rPr>
        <w:t xml:space="preserve">II - </w:t>
      </w:r>
      <w:r w:rsidRPr="00AF6393">
        <w:rPr>
          <w:rFonts w:asciiTheme="minorHAnsi" w:hAnsiTheme="minorHAnsi" w:cstheme="minorHAnsi"/>
          <w:b/>
          <w:i/>
          <w:sz w:val="22"/>
          <w:szCs w:val="22"/>
        </w:rPr>
        <w:t>declaração do ordenador da despesa de que o aumento tem adequação orçamentária e financeira com a lei orçamentária anual e compatibilidade com o plano plurianual e com a lei de diretrizes orçamentárias</w:t>
      </w:r>
      <w:r w:rsidRPr="00AF6393">
        <w:rPr>
          <w:rFonts w:asciiTheme="minorHAnsi" w:hAnsiTheme="minorHAnsi" w:cstheme="minorHAnsi"/>
          <w:i/>
          <w:sz w:val="22"/>
          <w:szCs w:val="22"/>
        </w:rPr>
        <w:t>.</w:t>
      </w:r>
    </w:p>
    <w:p w:rsidR="00DA24D4" w:rsidRPr="00AF6393" w:rsidP="009761BF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3" w:name="art16§1"/>
      <w:bookmarkEnd w:id="3"/>
      <w:r w:rsidRPr="00AF6393">
        <w:rPr>
          <w:rFonts w:asciiTheme="minorHAnsi" w:hAnsiTheme="minorHAnsi" w:cstheme="minorHAnsi"/>
          <w:i/>
          <w:sz w:val="22"/>
          <w:szCs w:val="22"/>
        </w:rPr>
        <w:t>§ 1</w:t>
      </w:r>
      <w:r w:rsidRPr="00AF6393">
        <w:rPr>
          <w:rFonts w:asciiTheme="minorHAnsi" w:hAnsiTheme="minorHAnsi" w:cstheme="minorHAnsi"/>
          <w:i/>
          <w:sz w:val="22"/>
          <w:szCs w:val="22"/>
          <w:u w:val="single"/>
          <w:vertAlign w:val="superscript"/>
        </w:rPr>
        <w:t>o</w:t>
      </w:r>
      <w:r w:rsidRPr="00AF6393">
        <w:rPr>
          <w:rFonts w:asciiTheme="minorHAnsi" w:hAnsiTheme="minorHAnsi" w:cstheme="minorHAnsi"/>
          <w:i/>
          <w:sz w:val="22"/>
          <w:szCs w:val="22"/>
        </w:rPr>
        <w:t> Para os fins desta Lei Complementar, considera-se:</w:t>
      </w:r>
    </w:p>
    <w:p w:rsidR="00DA24D4" w:rsidRPr="00AF6393" w:rsidP="009761BF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4" w:name="art16§1i"/>
      <w:bookmarkEnd w:id="4"/>
      <w:r w:rsidRPr="00AF6393">
        <w:rPr>
          <w:rFonts w:asciiTheme="minorHAnsi" w:hAnsiTheme="minorHAnsi" w:cstheme="minorHAnsi"/>
          <w:i/>
          <w:sz w:val="22"/>
          <w:szCs w:val="22"/>
        </w:rPr>
        <w:t>I - adequada com a lei orçamentária anual, a despesa objeto de dotação específica e suficiente, ou que esteja abrangida por crédito genérico, de forma que somadas todas as despesas da mesma espécie, realizadas e a realizar, previstas no programa de trabalho, não sejam ultrapassados os limites estabelecidos para o exercício;</w:t>
      </w:r>
    </w:p>
    <w:p w:rsidR="00DA24D4" w:rsidRPr="00AF6393" w:rsidP="009761BF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5" w:name="art16§1ii"/>
      <w:bookmarkEnd w:id="5"/>
      <w:r w:rsidRPr="00AF6393">
        <w:rPr>
          <w:rFonts w:asciiTheme="minorHAnsi" w:hAnsiTheme="minorHAnsi" w:cstheme="minorHAnsi"/>
          <w:i/>
          <w:sz w:val="22"/>
          <w:szCs w:val="22"/>
        </w:rPr>
        <w:t>II - compatível com o plano plurianual e a lei de diretrizes orçamentárias, a despesa que se conforme com as diretrizes, objetivos, prioridades e metas previstos nesses instrumentos e não infrinja qualquer de suas disposições.</w:t>
      </w:r>
    </w:p>
    <w:p w:rsidR="00DA24D4" w:rsidRPr="00AF6393" w:rsidP="009761BF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6" w:name="art16§2"/>
      <w:bookmarkEnd w:id="6"/>
      <w:r w:rsidRPr="00AF6393">
        <w:rPr>
          <w:rFonts w:asciiTheme="minorHAnsi" w:hAnsiTheme="minorHAnsi" w:cstheme="minorHAnsi"/>
          <w:i/>
          <w:sz w:val="22"/>
          <w:szCs w:val="22"/>
        </w:rPr>
        <w:t>§ 2</w:t>
      </w:r>
      <w:r w:rsidRPr="00AF6393">
        <w:rPr>
          <w:rFonts w:asciiTheme="minorHAnsi" w:hAnsiTheme="minorHAnsi" w:cstheme="minorHAnsi"/>
          <w:i/>
          <w:sz w:val="22"/>
          <w:szCs w:val="22"/>
          <w:u w:val="single"/>
          <w:vertAlign w:val="superscript"/>
        </w:rPr>
        <w:t>o</w:t>
      </w:r>
      <w:r w:rsidRPr="00AF6393">
        <w:rPr>
          <w:rFonts w:asciiTheme="minorHAnsi" w:hAnsiTheme="minorHAnsi" w:cstheme="minorHAnsi"/>
          <w:i/>
          <w:sz w:val="22"/>
          <w:szCs w:val="22"/>
        </w:rPr>
        <w:t> A estimativa de que trata o inciso I do </w:t>
      </w:r>
      <w:r w:rsidRPr="00AF6393">
        <w:rPr>
          <w:rFonts w:asciiTheme="minorHAnsi" w:hAnsiTheme="minorHAnsi" w:cstheme="minorHAnsi"/>
          <w:i/>
          <w:iCs/>
          <w:sz w:val="22"/>
          <w:szCs w:val="22"/>
        </w:rPr>
        <w:t>caput</w:t>
      </w:r>
      <w:r w:rsidRPr="00AF6393">
        <w:rPr>
          <w:rFonts w:asciiTheme="minorHAnsi" w:hAnsiTheme="minorHAnsi" w:cstheme="minorHAnsi"/>
          <w:i/>
          <w:sz w:val="22"/>
          <w:szCs w:val="22"/>
        </w:rPr>
        <w:t xml:space="preserve"> será acompanhada das premissas e metodologia de </w:t>
      </w:r>
      <w:r w:rsidRPr="00AF6393">
        <w:rPr>
          <w:rFonts w:asciiTheme="minorHAnsi" w:hAnsiTheme="minorHAnsi" w:cstheme="minorHAnsi"/>
          <w:i/>
          <w:sz w:val="22"/>
          <w:szCs w:val="22"/>
        </w:rPr>
        <w:t>cálculo utilizadas</w:t>
      </w:r>
      <w:r w:rsidRPr="00AF6393">
        <w:rPr>
          <w:rFonts w:asciiTheme="minorHAnsi" w:hAnsiTheme="minorHAnsi" w:cstheme="minorHAnsi"/>
          <w:i/>
          <w:sz w:val="22"/>
          <w:szCs w:val="22"/>
        </w:rPr>
        <w:t>.</w:t>
      </w:r>
    </w:p>
    <w:p w:rsidR="00DA24D4" w:rsidRPr="00AF6393" w:rsidP="009761BF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7" w:name="art16§3"/>
      <w:bookmarkEnd w:id="7"/>
      <w:r w:rsidRPr="00AF6393">
        <w:rPr>
          <w:rFonts w:asciiTheme="minorHAnsi" w:hAnsiTheme="minorHAnsi" w:cstheme="minorHAnsi"/>
          <w:i/>
          <w:sz w:val="22"/>
          <w:szCs w:val="22"/>
        </w:rPr>
        <w:t>§ 3</w:t>
      </w:r>
      <w:r w:rsidRPr="00AF6393">
        <w:rPr>
          <w:rFonts w:asciiTheme="minorHAnsi" w:hAnsiTheme="minorHAnsi" w:cstheme="minorHAnsi"/>
          <w:i/>
          <w:sz w:val="22"/>
          <w:szCs w:val="22"/>
          <w:u w:val="single"/>
          <w:vertAlign w:val="superscript"/>
        </w:rPr>
        <w:t>o</w:t>
      </w:r>
      <w:r w:rsidRPr="00AF6393">
        <w:rPr>
          <w:rFonts w:asciiTheme="minorHAnsi" w:hAnsiTheme="minorHAnsi" w:cstheme="minorHAnsi"/>
          <w:i/>
          <w:sz w:val="22"/>
          <w:szCs w:val="22"/>
        </w:rPr>
        <w:t> Ressalva-se do disposto neste artigo a despesa considerada irrelevante, nos termos em que dispuser a lei de diretrizes orçamentárias.</w:t>
      </w:r>
    </w:p>
    <w:p w:rsidR="00DA24D4" w:rsidRPr="00AF6393" w:rsidP="009761BF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8" w:name="art16§4"/>
      <w:bookmarkEnd w:id="8"/>
      <w:r w:rsidRPr="00AF6393">
        <w:rPr>
          <w:rFonts w:asciiTheme="minorHAnsi" w:hAnsiTheme="minorHAnsi" w:cstheme="minorHAnsi"/>
          <w:i/>
          <w:sz w:val="22"/>
          <w:szCs w:val="22"/>
        </w:rPr>
        <w:t>§ 4</w:t>
      </w:r>
      <w:r w:rsidRPr="00AF6393">
        <w:rPr>
          <w:rFonts w:asciiTheme="minorHAnsi" w:hAnsiTheme="minorHAnsi" w:cstheme="minorHAnsi"/>
          <w:i/>
          <w:sz w:val="22"/>
          <w:szCs w:val="22"/>
          <w:u w:val="single"/>
          <w:vertAlign w:val="superscript"/>
        </w:rPr>
        <w:t>o</w:t>
      </w:r>
      <w:r w:rsidRPr="00AF6393">
        <w:rPr>
          <w:rFonts w:asciiTheme="minorHAnsi" w:hAnsiTheme="minorHAnsi" w:cstheme="minorHAnsi"/>
          <w:i/>
          <w:sz w:val="22"/>
          <w:szCs w:val="22"/>
        </w:rPr>
        <w:t> As normas do </w:t>
      </w:r>
      <w:r w:rsidRPr="00AF6393">
        <w:rPr>
          <w:rFonts w:asciiTheme="minorHAnsi" w:hAnsiTheme="minorHAnsi" w:cstheme="minorHAnsi"/>
          <w:i/>
          <w:iCs/>
          <w:sz w:val="22"/>
          <w:szCs w:val="22"/>
        </w:rPr>
        <w:t>caput</w:t>
      </w:r>
      <w:r w:rsidRPr="00AF6393">
        <w:rPr>
          <w:rFonts w:asciiTheme="minorHAnsi" w:hAnsiTheme="minorHAnsi" w:cstheme="minorHAnsi"/>
          <w:i/>
          <w:sz w:val="22"/>
          <w:szCs w:val="22"/>
        </w:rPr>
        <w:t> constituem condição prévia para:</w:t>
      </w:r>
    </w:p>
    <w:p w:rsidR="00DA24D4" w:rsidRPr="00AF6393" w:rsidP="009761BF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9" w:name="art16§4i"/>
      <w:bookmarkEnd w:id="9"/>
      <w:r w:rsidRPr="00AF6393">
        <w:rPr>
          <w:rFonts w:asciiTheme="minorHAnsi" w:hAnsiTheme="minorHAnsi" w:cstheme="minorHAnsi"/>
          <w:i/>
          <w:sz w:val="22"/>
          <w:szCs w:val="22"/>
        </w:rPr>
        <w:t>I - empenho e licitação de serviços, fornecimento de bens ou execução de obras;</w:t>
      </w:r>
    </w:p>
    <w:p w:rsidR="00DA24D4" w:rsidRPr="00AF6393" w:rsidP="009761BF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0" w:name="art16§4ii"/>
      <w:bookmarkEnd w:id="10"/>
      <w:r w:rsidRPr="00AF6393">
        <w:rPr>
          <w:rFonts w:asciiTheme="minorHAnsi" w:hAnsiTheme="minorHAnsi" w:cstheme="minorHAnsi"/>
          <w:i/>
          <w:sz w:val="22"/>
          <w:szCs w:val="22"/>
        </w:rPr>
        <w:t>II - desapropriação de imóveis urbanos a que se refere o </w:t>
      </w:r>
      <w:hyperlink r:id="rId7" w:anchor="art182%C2%A73" w:history="1">
        <w:r w:rsidRPr="00AF6393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§ 3</w:t>
        </w:r>
        <w:r w:rsidRPr="00AF6393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  <w:vertAlign w:val="superscript"/>
          </w:rPr>
          <w:t>o </w:t>
        </w:r>
        <w:r w:rsidRPr="00AF6393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do art. 182 da Constituição</w:t>
        </w:r>
      </w:hyperlink>
      <w:r w:rsidRPr="00AF6393">
        <w:rPr>
          <w:rFonts w:asciiTheme="minorHAnsi" w:hAnsiTheme="minorHAnsi" w:cstheme="minorHAnsi"/>
          <w:i/>
          <w:sz w:val="22"/>
          <w:szCs w:val="22"/>
        </w:rPr>
        <w:t>.</w:t>
      </w:r>
    </w:p>
    <w:p w:rsidR="00DA24D4" w:rsidRPr="00AF6393" w:rsidP="009761BF">
      <w:pPr>
        <w:spacing w:after="0" w:line="240" w:lineRule="auto"/>
        <w:ind w:right="57" w:firstLine="1701"/>
        <w:jc w:val="both"/>
        <w:rPr>
          <w:rFonts w:cstheme="minorHAnsi"/>
          <w:szCs w:val="24"/>
        </w:rPr>
      </w:pPr>
    </w:p>
    <w:p w:rsidR="00103ADD" w:rsidP="00DA24D4">
      <w:pPr>
        <w:spacing w:after="120" w:line="360" w:lineRule="auto"/>
        <w:ind w:right="57" w:firstLine="1701"/>
        <w:jc w:val="both"/>
        <w:rPr>
          <w:rFonts w:cstheme="minorHAnsi"/>
          <w:sz w:val="24"/>
          <w:szCs w:val="24"/>
        </w:rPr>
      </w:pPr>
    </w:p>
    <w:p w:rsidR="00DA24D4" w:rsidRPr="00AF6393" w:rsidP="00DA24D4">
      <w:pPr>
        <w:spacing w:after="120" w:line="360" w:lineRule="auto"/>
        <w:ind w:right="57" w:firstLine="1701"/>
        <w:jc w:val="both"/>
        <w:rPr>
          <w:rFonts w:cstheme="minorHAnsi"/>
          <w:sz w:val="24"/>
          <w:szCs w:val="24"/>
        </w:rPr>
      </w:pPr>
      <w:r w:rsidRPr="00AF6393">
        <w:rPr>
          <w:rFonts w:cstheme="minorHAnsi"/>
          <w:sz w:val="24"/>
          <w:szCs w:val="24"/>
        </w:rPr>
        <w:t xml:space="preserve">Quanto à </w:t>
      </w:r>
      <w:r w:rsidRPr="00AF6393">
        <w:rPr>
          <w:rFonts w:cstheme="minorHAnsi"/>
          <w:sz w:val="24"/>
          <w:szCs w:val="24"/>
        </w:rPr>
        <w:t>definição de despesa obrigatória de caráter continuado</w:t>
      </w:r>
      <w:r w:rsidRPr="00AF6393">
        <w:rPr>
          <w:rFonts w:cstheme="minorHAnsi"/>
          <w:sz w:val="24"/>
          <w:szCs w:val="24"/>
        </w:rPr>
        <w:t xml:space="preserve"> o art. 17</w:t>
      </w:r>
      <w:r w:rsidR="00133205">
        <w:rPr>
          <w:rFonts w:cstheme="minorHAnsi"/>
          <w:sz w:val="24"/>
          <w:szCs w:val="24"/>
        </w:rPr>
        <w:t>,</w:t>
      </w:r>
      <w:r w:rsidRPr="00AF6393">
        <w:rPr>
          <w:rFonts w:cstheme="minorHAnsi"/>
          <w:sz w:val="24"/>
          <w:szCs w:val="24"/>
        </w:rPr>
        <w:t xml:space="preserve"> da LRF estabelece:</w:t>
      </w:r>
    </w:p>
    <w:p w:rsidR="00DA24D4" w:rsidRPr="00AF6393" w:rsidP="00A46AF0">
      <w:pPr>
        <w:pStyle w:val="NormalWeb"/>
        <w:spacing w:before="0" w:beforeAutospacing="0" w:after="8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F6393">
        <w:rPr>
          <w:rFonts w:asciiTheme="minorHAnsi" w:hAnsiTheme="minorHAnsi" w:cstheme="minorHAnsi"/>
          <w:i/>
          <w:sz w:val="22"/>
          <w:szCs w:val="22"/>
        </w:rPr>
        <w:t>Art. 17.</w:t>
      </w:r>
      <w:r w:rsidRPr="00AF6393">
        <w:rPr>
          <w:rFonts w:asciiTheme="minorHAnsi" w:hAnsiTheme="minorHAnsi" w:cstheme="minorHAnsi"/>
          <w:b/>
          <w:bCs/>
          <w:i/>
          <w:sz w:val="22"/>
          <w:szCs w:val="22"/>
        </w:rPr>
        <w:t> </w:t>
      </w:r>
      <w:r w:rsidRPr="00AF6393">
        <w:rPr>
          <w:rFonts w:asciiTheme="minorHAnsi" w:hAnsiTheme="minorHAnsi" w:cstheme="minorHAnsi"/>
          <w:b/>
          <w:i/>
          <w:sz w:val="22"/>
          <w:szCs w:val="22"/>
        </w:rPr>
        <w:t>Considera-se obrigatória de caráter continuado a despesa corrente derivada de lei, medida provisória ou ato administrativo normativo que fixem para o ente a obrigação legal de sua execução por um período superior a dois exercícios.</w:t>
      </w:r>
      <w:r w:rsidRPr="00AF6393">
        <w:rPr>
          <w:rFonts w:asciiTheme="minorHAnsi" w:hAnsiTheme="minorHAnsi" w:cstheme="minorHAnsi"/>
          <w:i/>
          <w:sz w:val="22"/>
          <w:szCs w:val="22"/>
        </w:rPr>
        <w:t>        </w:t>
      </w:r>
      <w:hyperlink r:id="rId6" w:history="1">
        <w:r w:rsidRPr="00AF6393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(Vide ADI 6357)</w:t>
        </w:r>
      </w:hyperlink>
    </w:p>
    <w:p w:rsidR="00DA24D4" w:rsidRPr="00AF6393" w:rsidP="00A46AF0">
      <w:pPr>
        <w:pStyle w:val="NormalWeb"/>
        <w:spacing w:before="0" w:beforeAutospacing="0" w:after="8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1" w:name="art17§1"/>
      <w:bookmarkEnd w:id="11"/>
      <w:r w:rsidRPr="00AF6393">
        <w:rPr>
          <w:rFonts w:asciiTheme="minorHAnsi" w:hAnsiTheme="minorHAnsi" w:cstheme="minorHAnsi"/>
          <w:b/>
          <w:i/>
          <w:sz w:val="22"/>
          <w:szCs w:val="22"/>
          <w:u w:val="single"/>
        </w:rPr>
        <w:t>§ 1</w:t>
      </w:r>
      <w:r w:rsidRPr="00AF6393">
        <w:rPr>
          <w:rFonts w:asciiTheme="minorHAnsi" w:hAnsiTheme="minorHAnsi" w:cstheme="minorHAnsi"/>
          <w:b/>
          <w:i/>
          <w:sz w:val="22"/>
          <w:szCs w:val="22"/>
          <w:u w:val="single"/>
          <w:vertAlign w:val="superscript"/>
        </w:rPr>
        <w:t>o</w:t>
      </w:r>
      <w:r w:rsidRPr="00AF6393">
        <w:rPr>
          <w:rFonts w:asciiTheme="minorHAnsi" w:hAnsiTheme="minorHAnsi" w:cstheme="minorHAnsi"/>
          <w:b/>
          <w:i/>
          <w:sz w:val="22"/>
          <w:szCs w:val="22"/>
          <w:u w:val="single"/>
        </w:rPr>
        <w:t> Os atos que criarem ou aumentarem despesa de que trata o </w:t>
      </w:r>
      <w:r w:rsidRPr="00AF6393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caput</w:t>
      </w:r>
      <w:r w:rsidRPr="00AF6393">
        <w:rPr>
          <w:rFonts w:asciiTheme="minorHAnsi" w:hAnsiTheme="minorHAnsi" w:cstheme="minorHAnsi"/>
          <w:b/>
          <w:i/>
          <w:sz w:val="22"/>
          <w:szCs w:val="22"/>
          <w:u w:val="single"/>
        </w:rPr>
        <w:t> deverão ser instruídos com a estimativa prevista no inciso I do art. 16 e demonstrar a origem dos recursos para seu custeio</w:t>
      </w:r>
      <w:r w:rsidRPr="00AF6393">
        <w:rPr>
          <w:rFonts w:asciiTheme="minorHAnsi" w:hAnsiTheme="minorHAnsi" w:cstheme="minorHAnsi"/>
          <w:i/>
          <w:sz w:val="22"/>
          <w:szCs w:val="22"/>
        </w:rPr>
        <w:t>.     </w:t>
      </w:r>
      <w:hyperlink r:id="rId8" w:anchor="art7" w:history="1">
        <w:r w:rsidRPr="00AF6393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(Vide Lei Complementar nº 176, de 2020)</w:t>
        </w:r>
      </w:hyperlink>
    </w:p>
    <w:p w:rsidR="00DA24D4" w:rsidRPr="00AF6393" w:rsidP="00A46AF0">
      <w:pPr>
        <w:pStyle w:val="NormalWeb"/>
        <w:spacing w:before="0" w:beforeAutospacing="0" w:after="8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2" w:name="art17§2"/>
      <w:bookmarkEnd w:id="12"/>
      <w:r w:rsidRPr="00AF6393">
        <w:rPr>
          <w:rFonts w:asciiTheme="minorHAnsi" w:hAnsiTheme="minorHAnsi" w:cstheme="minorHAnsi"/>
          <w:i/>
          <w:sz w:val="22"/>
          <w:szCs w:val="22"/>
        </w:rPr>
        <w:t>§ 2</w:t>
      </w:r>
      <w:r w:rsidRPr="00AF6393">
        <w:rPr>
          <w:rFonts w:asciiTheme="minorHAnsi" w:hAnsiTheme="minorHAnsi" w:cstheme="minorHAnsi"/>
          <w:i/>
          <w:sz w:val="22"/>
          <w:szCs w:val="22"/>
          <w:u w:val="single"/>
          <w:vertAlign w:val="superscript"/>
        </w:rPr>
        <w:t>o</w:t>
      </w:r>
      <w:r w:rsidRPr="00AF6393">
        <w:rPr>
          <w:rFonts w:asciiTheme="minorHAnsi" w:hAnsiTheme="minorHAnsi" w:cstheme="minorHAnsi"/>
          <w:i/>
          <w:sz w:val="22"/>
          <w:szCs w:val="22"/>
        </w:rPr>
        <w:t> Para efeito do atendimento do § 1</w:t>
      </w:r>
      <w:r w:rsidRPr="00AF6393">
        <w:rPr>
          <w:rFonts w:asciiTheme="minorHAnsi" w:hAnsiTheme="minorHAnsi" w:cstheme="minorHAnsi"/>
          <w:i/>
          <w:sz w:val="22"/>
          <w:szCs w:val="22"/>
          <w:u w:val="single"/>
          <w:vertAlign w:val="superscript"/>
        </w:rPr>
        <w:t>o</w:t>
      </w:r>
      <w:r w:rsidRPr="00AF6393">
        <w:rPr>
          <w:rFonts w:asciiTheme="minorHAnsi" w:hAnsiTheme="minorHAnsi" w:cstheme="minorHAnsi"/>
          <w:i/>
          <w:sz w:val="22"/>
          <w:szCs w:val="22"/>
        </w:rPr>
        <w:t>, o ato será acompanhado de comprovação de que a despesa criada ou aumentada não afetará as metas de resultados fiscais previstas no anexo referido no § 1</w:t>
      </w:r>
      <w:r w:rsidRPr="00AF6393">
        <w:rPr>
          <w:rFonts w:asciiTheme="minorHAnsi" w:hAnsiTheme="minorHAnsi" w:cstheme="minorHAnsi"/>
          <w:i/>
          <w:sz w:val="22"/>
          <w:szCs w:val="22"/>
          <w:u w:val="single"/>
          <w:vertAlign w:val="superscript"/>
        </w:rPr>
        <w:t>o</w:t>
      </w:r>
      <w:r w:rsidRPr="00AF6393">
        <w:rPr>
          <w:rFonts w:asciiTheme="minorHAnsi" w:hAnsiTheme="minorHAnsi" w:cstheme="minorHAnsi"/>
          <w:i/>
          <w:sz w:val="22"/>
          <w:szCs w:val="22"/>
        </w:rPr>
        <w:t> do art. 4</w:t>
      </w:r>
      <w:r w:rsidRPr="00AF6393">
        <w:rPr>
          <w:rFonts w:asciiTheme="minorHAnsi" w:hAnsiTheme="minorHAnsi" w:cstheme="minorHAnsi"/>
          <w:i/>
          <w:sz w:val="22"/>
          <w:szCs w:val="22"/>
          <w:u w:val="single"/>
          <w:vertAlign w:val="superscript"/>
        </w:rPr>
        <w:t>o</w:t>
      </w:r>
      <w:r w:rsidRPr="00AF6393">
        <w:rPr>
          <w:rFonts w:asciiTheme="minorHAnsi" w:hAnsiTheme="minorHAnsi" w:cstheme="minorHAnsi"/>
          <w:i/>
          <w:sz w:val="22"/>
          <w:szCs w:val="22"/>
        </w:rPr>
        <w:t xml:space="preserve">, devendo seus efeitos financeiros, nos períodos seguintes, ser </w:t>
      </w:r>
      <w:r w:rsidRPr="00AF6393">
        <w:rPr>
          <w:rFonts w:asciiTheme="minorHAnsi" w:hAnsiTheme="minorHAnsi" w:cstheme="minorHAnsi"/>
          <w:i/>
          <w:sz w:val="22"/>
          <w:szCs w:val="22"/>
        </w:rPr>
        <w:t>compensados</w:t>
      </w:r>
      <w:r w:rsidRPr="00AF6393">
        <w:rPr>
          <w:rFonts w:asciiTheme="minorHAnsi" w:hAnsiTheme="minorHAnsi" w:cstheme="minorHAnsi"/>
          <w:i/>
          <w:sz w:val="22"/>
          <w:szCs w:val="22"/>
        </w:rPr>
        <w:t xml:space="preserve"> pelo aumento permanente de receita ou pela redução permanente de despesa.        </w:t>
      </w:r>
      <w:hyperlink r:id="rId8" w:anchor="art7" w:history="1">
        <w:r w:rsidRPr="00AF6393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(Vide Lei Complementar nº 176, de 2020)</w:t>
        </w:r>
      </w:hyperlink>
    </w:p>
    <w:p w:rsidR="00DA24D4" w:rsidRPr="00AF6393" w:rsidP="00A46AF0">
      <w:pPr>
        <w:pStyle w:val="NormalWeb"/>
        <w:spacing w:before="0" w:beforeAutospacing="0" w:after="8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3" w:name="art17§3"/>
      <w:bookmarkEnd w:id="13"/>
      <w:r w:rsidRPr="00AF6393">
        <w:rPr>
          <w:rFonts w:asciiTheme="minorHAnsi" w:hAnsiTheme="minorHAnsi" w:cstheme="minorHAnsi"/>
          <w:i/>
          <w:sz w:val="22"/>
          <w:szCs w:val="22"/>
        </w:rPr>
        <w:t>§ 3</w:t>
      </w:r>
      <w:r w:rsidRPr="00AF6393">
        <w:rPr>
          <w:rFonts w:asciiTheme="minorHAnsi" w:hAnsiTheme="minorHAnsi" w:cstheme="minorHAnsi"/>
          <w:i/>
          <w:sz w:val="22"/>
          <w:szCs w:val="22"/>
          <w:u w:val="single"/>
          <w:vertAlign w:val="superscript"/>
        </w:rPr>
        <w:t>o</w:t>
      </w:r>
      <w:r w:rsidRPr="00AF6393">
        <w:rPr>
          <w:rFonts w:asciiTheme="minorHAnsi" w:hAnsiTheme="minorHAnsi" w:cstheme="minorHAnsi"/>
          <w:i/>
          <w:sz w:val="22"/>
          <w:szCs w:val="22"/>
        </w:rPr>
        <w:t> Para efeito do § 2</w:t>
      </w:r>
      <w:r w:rsidRPr="00AF6393">
        <w:rPr>
          <w:rFonts w:asciiTheme="minorHAnsi" w:hAnsiTheme="minorHAnsi" w:cstheme="minorHAnsi"/>
          <w:i/>
          <w:sz w:val="22"/>
          <w:szCs w:val="22"/>
          <w:u w:val="single"/>
          <w:vertAlign w:val="superscript"/>
        </w:rPr>
        <w:t>o</w:t>
      </w:r>
      <w:r w:rsidRPr="00AF6393">
        <w:rPr>
          <w:rFonts w:asciiTheme="minorHAnsi" w:hAnsiTheme="minorHAnsi" w:cstheme="minorHAnsi"/>
          <w:i/>
          <w:sz w:val="22"/>
          <w:szCs w:val="22"/>
        </w:rPr>
        <w:t>, considera-se aumento permanente de receita o proveniente da elevação de alíquotas, ampliação da base de cálculo, majoração ou criação de tributo ou contribuição.      </w:t>
      </w:r>
      <w:hyperlink r:id="rId8" w:anchor="art7" w:history="1">
        <w:r w:rsidRPr="00AF6393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(Vide Lei Complementar nº 176, de 2020)</w:t>
        </w:r>
      </w:hyperlink>
    </w:p>
    <w:p w:rsidR="00DA24D4" w:rsidRPr="00AF6393" w:rsidP="00A46AF0">
      <w:pPr>
        <w:pStyle w:val="NormalWeb"/>
        <w:spacing w:before="0" w:beforeAutospacing="0" w:after="8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4" w:name="art17§4"/>
      <w:bookmarkEnd w:id="14"/>
      <w:r w:rsidRPr="00AF6393">
        <w:rPr>
          <w:rFonts w:asciiTheme="minorHAnsi" w:hAnsiTheme="minorHAnsi" w:cstheme="minorHAnsi"/>
          <w:i/>
          <w:sz w:val="22"/>
          <w:szCs w:val="22"/>
        </w:rPr>
        <w:t>§ 4</w:t>
      </w:r>
      <w:r w:rsidRPr="00AF6393">
        <w:rPr>
          <w:rFonts w:asciiTheme="minorHAnsi" w:hAnsiTheme="minorHAnsi" w:cstheme="minorHAnsi"/>
          <w:i/>
          <w:sz w:val="22"/>
          <w:szCs w:val="22"/>
          <w:u w:val="single"/>
          <w:vertAlign w:val="superscript"/>
        </w:rPr>
        <w:t>o</w:t>
      </w:r>
      <w:r w:rsidRPr="00AF6393">
        <w:rPr>
          <w:rFonts w:asciiTheme="minorHAnsi" w:hAnsiTheme="minorHAnsi" w:cstheme="minorHAnsi"/>
          <w:i/>
          <w:sz w:val="22"/>
          <w:szCs w:val="22"/>
        </w:rPr>
        <w:t> A comprovação referida no § 2</w:t>
      </w:r>
      <w:r w:rsidRPr="00AF6393">
        <w:rPr>
          <w:rFonts w:asciiTheme="minorHAnsi" w:hAnsiTheme="minorHAnsi" w:cstheme="minorHAnsi"/>
          <w:i/>
          <w:sz w:val="22"/>
          <w:szCs w:val="22"/>
          <w:u w:val="single"/>
          <w:vertAlign w:val="superscript"/>
        </w:rPr>
        <w:t>o</w:t>
      </w:r>
      <w:r w:rsidRPr="00AF6393">
        <w:rPr>
          <w:rFonts w:asciiTheme="minorHAnsi" w:hAnsiTheme="minorHAnsi" w:cstheme="minorHAnsi"/>
          <w:i/>
          <w:sz w:val="22"/>
          <w:szCs w:val="22"/>
        </w:rPr>
        <w:t xml:space="preserve">, apresentada pelo proponente, conterá as premissas e metodologia de </w:t>
      </w:r>
      <w:r w:rsidRPr="00AF6393">
        <w:rPr>
          <w:rFonts w:asciiTheme="minorHAnsi" w:hAnsiTheme="minorHAnsi" w:cstheme="minorHAnsi"/>
          <w:i/>
          <w:sz w:val="22"/>
          <w:szCs w:val="22"/>
        </w:rPr>
        <w:t>cálculo utilizadas, sem prejuízo do exame de compatibilidade da despesa com as demais normas do plano plurianual e da lei de diretrizes orçamentárias</w:t>
      </w:r>
      <w:r w:rsidRPr="00AF6393">
        <w:rPr>
          <w:rFonts w:asciiTheme="minorHAnsi" w:hAnsiTheme="minorHAnsi" w:cstheme="minorHAnsi"/>
          <w:i/>
          <w:sz w:val="22"/>
          <w:szCs w:val="22"/>
        </w:rPr>
        <w:t>.       </w:t>
      </w:r>
      <w:hyperlink r:id="rId8" w:anchor="art7" w:history="1">
        <w:r w:rsidRPr="00AF6393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(Vide Lei Complementar nº 176, de 2020)</w:t>
        </w:r>
      </w:hyperlink>
    </w:p>
    <w:p w:rsidR="00DA24D4" w:rsidRPr="00AF6393" w:rsidP="00A46AF0">
      <w:pPr>
        <w:pStyle w:val="NormalWeb"/>
        <w:spacing w:before="0" w:beforeAutospacing="0" w:after="8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5" w:name="art17§5"/>
      <w:bookmarkEnd w:id="15"/>
      <w:r w:rsidRPr="00AF6393">
        <w:rPr>
          <w:rFonts w:asciiTheme="minorHAnsi" w:hAnsiTheme="minorHAnsi" w:cstheme="minorHAnsi"/>
          <w:i/>
          <w:sz w:val="22"/>
          <w:szCs w:val="22"/>
        </w:rPr>
        <w:t>§ 5</w:t>
      </w:r>
      <w:r w:rsidRPr="00AF6393">
        <w:rPr>
          <w:rFonts w:asciiTheme="minorHAnsi" w:hAnsiTheme="minorHAnsi" w:cstheme="minorHAnsi"/>
          <w:i/>
          <w:sz w:val="22"/>
          <w:szCs w:val="22"/>
          <w:u w:val="single"/>
          <w:vertAlign w:val="superscript"/>
        </w:rPr>
        <w:t>o</w:t>
      </w:r>
      <w:r w:rsidRPr="00AF6393">
        <w:rPr>
          <w:rFonts w:asciiTheme="minorHAnsi" w:hAnsiTheme="minorHAnsi" w:cstheme="minorHAnsi"/>
          <w:i/>
          <w:sz w:val="22"/>
          <w:szCs w:val="22"/>
        </w:rPr>
        <w:t> A despesa de que trata este artigo não será executada antes da implementação das medidas referidas no § 2</w:t>
      </w:r>
      <w:r w:rsidRPr="00AF6393">
        <w:rPr>
          <w:rFonts w:asciiTheme="minorHAnsi" w:hAnsiTheme="minorHAnsi" w:cstheme="minorHAnsi"/>
          <w:i/>
          <w:sz w:val="22"/>
          <w:szCs w:val="22"/>
          <w:u w:val="single"/>
          <w:vertAlign w:val="superscript"/>
        </w:rPr>
        <w:t>o</w:t>
      </w:r>
      <w:r w:rsidRPr="00AF6393">
        <w:rPr>
          <w:rFonts w:asciiTheme="minorHAnsi" w:hAnsiTheme="minorHAnsi" w:cstheme="minorHAnsi"/>
          <w:i/>
          <w:sz w:val="22"/>
          <w:szCs w:val="22"/>
        </w:rPr>
        <w:t>, as quais integrarão o instrumento que a criar ou aumentar.      </w:t>
      </w:r>
      <w:hyperlink r:id="rId8" w:anchor="art7" w:history="1">
        <w:r w:rsidRPr="00AF6393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(Vide Lei Complementar nº 176, de 2020)</w:t>
        </w:r>
      </w:hyperlink>
    </w:p>
    <w:p w:rsidR="00DA24D4" w:rsidRPr="00AF6393" w:rsidP="00A46AF0">
      <w:pPr>
        <w:pStyle w:val="NormalWeb"/>
        <w:spacing w:before="0" w:beforeAutospacing="0" w:after="8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6" w:name="art17§6"/>
      <w:bookmarkEnd w:id="16"/>
      <w:r w:rsidRPr="00AF6393">
        <w:rPr>
          <w:rFonts w:asciiTheme="minorHAnsi" w:hAnsiTheme="minorHAnsi" w:cstheme="minorHAnsi"/>
          <w:i/>
          <w:sz w:val="22"/>
          <w:szCs w:val="22"/>
        </w:rPr>
        <w:t>§ 6</w:t>
      </w:r>
      <w:r w:rsidRPr="00AF6393">
        <w:rPr>
          <w:rFonts w:asciiTheme="minorHAnsi" w:hAnsiTheme="minorHAnsi" w:cstheme="minorHAnsi"/>
          <w:i/>
          <w:sz w:val="22"/>
          <w:szCs w:val="22"/>
          <w:u w:val="single"/>
          <w:vertAlign w:val="superscript"/>
        </w:rPr>
        <w:t>o</w:t>
      </w:r>
      <w:r w:rsidRPr="00AF6393">
        <w:rPr>
          <w:rFonts w:asciiTheme="minorHAnsi" w:hAnsiTheme="minorHAnsi" w:cstheme="minorHAnsi"/>
          <w:i/>
          <w:sz w:val="22"/>
          <w:szCs w:val="22"/>
        </w:rPr>
        <w:t> O disposto no § 1</w:t>
      </w:r>
      <w:r w:rsidRPr="00AF6393">
        <w:rPr>
          <w:rFonts w:asciiTheme="minorHAnsi" w:hAnsiTheme="minorHAnsi" w:cstheme="minorHAnsi"/>
          <w:i/>
          <w:sz w:val="22"/>
          <w:szCs w:val="22"/>
          <w:u w:val="single"/>
          <w:vertAlign w:val="superscript"/>
        </w:rPr>
        <w:t>o</w:t>
      </w:r>
      <w:r w:rsidRPr="00AF6393">
        <w:rPr>
          <w:rFonts w:asciiTheme="minorHAnsi" w:hAnsiTheme="minorHAnsi" w:cstheme="minorHAnsi"/>
          <w:i/>
          <w:sz w:val="22"/>
          <w:szCs w:val="22"/>
        </w:rPr>
        <w:t> não se aplica às despesas destinadas ao serviço da dívida nem ao reajustamento de remuneração de pessoal de que trata o inciso X do art. 37 da Constituição.</w:t>
      </w:r>
    </w:p>
    <w:p w:rsidR="00DA24D4" w:rsidRPr="00AF6393" w:rsidP="00A46AF0">
      <w:pPr>
        <w:pStyle w:val="NormalWeb"/>
        <w:spacing w:before="0" w:beforeAutospacing="0" w:after="8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7" w:name="art17§7"/>
      <w:bookmarkEnd w:id="17"/>
      <w:r w:rsidRPr="00AF6393">
        <w:rPr>
          <w:rFonts w:asciiTheme="minorHAnsi" w:hAnsiTheme="minorHAnsi" w:cstheme="minorHAnsi"/>
          <w:i/>
          <w:sz w:val="22"/>
          <w:szCs w:val="22"/>
        </w:rPr>
        <w:t>§ 7</w:t>
      </w:r>
      <w:r w:rsidRPr="00AF6393">
        <w:rPr>
          <w:rFonts w:asciiTheme="minorHAnsi" w:hAnsiTheme="minorHAnsi" w:cstheme="minorHAnsi"/>
          <w:i/>
          <w:sz w:val="22"/>
          <w:szCs w:val="22"/>
          <w:u w:val="single"/>
          <w:vertAlign w:val="superscript"/>
        </w:rPr>
        <w:t>o</w:t>
      </w:r>
      <w:r w:rsidRPr="00AF6393">
        <w:rPr>
          <w:rFonts w:asciiTheme="minorHAnsi" w:hAnsiTheme="minorHAnsi" w:cstheme="minorHAnsi"/>
          <w:i/>
          <w:sz w:val="22"/>
          <w:szCs w:val="22"/>
        </w:rPr>
        <w:t> Considera-se aumento de despesa a prorrogação daquela criada por prazo determinado.</w:t>
      </w:r>
    </w:p>
    <w:p w:rsidR="00DA24D4" w:rsidRPr="00AF6393" w:rsidP="00DA24D4">
      <w:pPr>
        <w:pStyle w:val="NormalWeb"/>
        <w:spacing w:before="240" w:beforeAutospacing="0" w:after="240" w:afterAutospacing="0"/>
        <w:ind w:left="2268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DA24D4" w:rsidRPr="00AF6393" w:rsidP="00DA24D4">
      <w:pPr>
        <w:spacing w:before="120" w:after="120" w:line="360" w:lineRule="auto"/>
        <w:ind w:right="57" w:firstLine="1701"/>
        <w:jc w:val="both"/>
        <w:rPr>
          <w:rFonts w:cstheme="minorHAnsi"/>
          <w:sz w:val="24"/>
          <w:szCs w:val="24"/>
          <w:shd w:val="clear" w:color="auto" w:fill="FFFFFF"/>
        </w:rPr>
      </w:pPr>
      <w:r w:rsidRPr="00AF6393">
        <w:rPr>
          <w:rFonts w:cstheme="minorHAnsi"/>
          <w:sz w:val="24"/>
          <w:szCs w:val="24"/>
          <w:shd w:val="clear" w:color="auto" w:fill="FFFFFF"/>
        </w:rPr>
        <w:t>Outrossim</w:t>
      </w:r>
      <w:r w:rsidRPr="00AF6393">
        <w:rPr>
          <w:rFonts w:cstheme="minorHAnsi"/>
          <w:sz w:val="24"/>
          <w:szCs w:val="24"/>
          <w:shd w:val="clear" w:color="auto" w:fill="FFFFFF"/>
        </w:rPr>
        <w:t xml:space="preserve">, cumpre atentar para o disposto no art. 15 da LRF, </w:t>
      </w:r>
      <w:r w:rsidRPr="00AF6393">
        <w:rPr>
          <w:rFonts w:cstheme="minorHAnsi"/>
          <w:i/>
          <w:sz w:val="24"/>
          <w:szCs w:val="24"/>
          <w:shd w:val="clear" w:color="auto" w:fill="FFFFFF"/>
        </w:rPr>
        <w:t>in verbis</w:t>
      </w:r>
      <w:r w:rsidRPr="00AF6393">
        <w:rPr>
          <w:rFonts w:cstheme="minorHAnsi"/>
          <w:sz w:val="24"/>
          <w:szCs w:val="24"/>
          <w:shd w:val="clear" w:color="auto" w:fill="FFFFFF"/>
        </w:rPr>
        <w:t>:</w:t>
      </w:r>
    </w:p>
    <w:p w:rsidR="00DA24D4" w:rsidP="009761BF">
      <w:pPr>
        <w:spacing w:after="0" w:line="240" w:lineRule="auto"/>
        <w:ind w:left="2268" w:right="57"/>
        <w:jc w:val="both"/>
        <w:rPr>
          <w:rFonts w:cstheme="minorHAnsi"/>
          <w:i/>
          <w:shd w:val="clear" w:color="auto" w:fill="FFFFFF"/>
        </w:rPr>
      </w:pPr>
      <w:r w:rsidRPr="00AF6393">
        <w:rPr>
          <w:rFonts w:cstheme="minorHAnsi"/>
          <w:i/>
          <w:shd w:val="clear" w:color="auto" w:fill="FFFFFF"/>
        </w:rPr>
        <w:t>Art. 15.</w:t>
      </w:r>
      <w:r w:rsidRPr="00AF6393">
        <w:rPr>
          <w:rFonts w:cstheme="minorHAnsi"/>
          <w:b/>
          <w:bCs/>
          <w:i/>
          <w:shd w:val="clear" w:color="auto" w:fill="FFFFFF"/>
        </w:rPr>
        <w:t> </w:t>
      </w:r>
      <w:r w:rsidRPr="00AF6393">
        <w:rPr>
          <w:rFonts w:cstheme="minorHAnsi"/>
          <w:i/>
          <w:shd w:val="clear" w:color="auto" w:fill="FFFFFF"/>
        </w:rPr>
        <w:t>Serão</w:t>
      </w:r>
      <w:r w:rsidRPr="00AF6393">
        <w:rPr>
          <w:rFonts w:cstheme="minorHAnsi"/>
          <w:i/>
          <w:shd w:val="clear" w:color="auto" w:fill="FFFFFF"/>
        </w:rPr>
        <w:t xml:space="preserve"> consideradas não autorizadas, irregulares e lesivas ao patrimônio público a geração de despesa ou assunção de obrigação que não atendam o disposto nos arts. 16 e 17.</w:t>
      </w:r>
    </w:p>
    <w:p w:rsidR="00103ADD" w:rsidRPr="00AF6393" w:rsidP="009761BF">
      <w:pPr>
        <w:spacing w:after="0" w:line="240" w:lineRule="auto"/>
        <w:ind w:left="2268" w:right="57"/>
        <w:jc w:val="both"/>
        <w:rPr>
          <w:rFonts w:cstheme="minorHAnsi"/>
          <w:i/>
        </w:rPr>
      </w:pPr>
    </w:p>
    <w:p w:rsidR="00DA24D4" w:rsidRPr="00AF6393" w:rsidP="00DA24D4">
      <w:pPr>
        <w:spacing w:before="240"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AF6393">
        <w:rPr>
          <w:rFonts w:cstheme="minorHAnsi"/>
          <w:sz w:val="24"/>
          <w:szCs w:val="24"/>
        </w:rPr>
        <w:t xml:space="preserve">Impende ressaltar </w:t>
      </w:r>
      <w:r w:rsidRPr="00AF6393">
        <w:rPr>
          <w:rFonts w:cstheme="minorHAnsi"/>
          <w:sz w:val="24"/>
          <w:szCs w:val="24"/>
        </w:rPr>
        <w:t xml:space="preserve">posicionamento do Supremo Tribunal Federal acerca da extensão da aplicação do art. 113, do Ato das Disposições Constitucionais Transitórias (ADCT) aos Estados e Municípios, estabelecendo a necessidade de apresentação de estimativa do impacto orçamentário e financeiro nas proposições legislativas que criem ou alterem despesa obrigatória ou renúncia de receita, </w:t>
      </w:r>
      <w:r w:rsidRPr="00AF6393">
        <w:rPr>
          <w:rFonts w:cstheme="minorHAnsi"/>
          <w:i/>
          <w:sz w:val="24"/>
          <w:szCs w:val="24"/>
        </w:rPr>
        <w:t>in verbis:</w:t>
      </w:r>
    </w:p>
    <w:p w:rsidR="00DA24D4" w:rsidRPr="00AF6393" w:rsidP="009761BF">
      <w:pPr>
        <w:spacing w:after="0" w:line="240" w:lineRule="auto"/>
        <w:ind w:left="2268"/>
        <w:jc w:val="both"/>
        <w:rPr>
          <w:rFonts w:cstheme="minorHAnsi"/>
        </w:rPr>
      </w:pPr>
      <w:r w:rsidRPr="00AF6393">
        <w:rPr>
          <w:rFonts w:cstheme="minorHAnsi"/>
          <w:i/>
          <w:iCs/>
        </w:rPr>
        <w:t xml:space="preserve">Art. 113. </w:t>
      </w:r>
      <w:r w:rsidRPr="00AF6393">
        <w:rPr>
          <w:rFonts w:cstheme="minorHAnsi"/>
          <w:b/>
          <w:bCs/>
          <w:i/>
          <w:iCs/>
        </w:rPr>
        <w:t>A proposição legislativa</w:t>
      </w:r>
      <w:r w:rsidRPr="00AF6393" w:rsidR="00B41A80">
        <w:rPr>
          <w:rFonts w:cstheme="minorHAnsi"/>
          <w:b/>
          <w:bCs/>
          <w:i/>
          <w:iCs/>
        </w:rPr>
        <w:t xml:space="preserve"> </w:t>
      </w:r>
      <w:r w:rsidRPr="00AF6393">
        <w:rPr>
          <w:rFonts w:cstheme="minorHAnsi"/>
          <w:b/>
          <w:i/>
          <w:iCs/>
        </w:rPr>
        <w:t>que crie ou altere despesa obrigatória</w:t>
      </w:r>
      <w:r w:rsidRPr="00AF6393">
        <w:rPr>
          <w:rFonts w:cstheme="minorHAnsi"/>
          <w:i/>
          <w:iCs/>
        </w:rPr>
        <w:t xml:space="preserve"> ou </w:t>
      </w:r>
      <w:r w:rsidRPr="00AF6393">
        <w:rPr>
          <w:rFonts w:cstheme="minorHAnsi"/>
          <w:bCs/>
          <w:i/>
          <w:iCs/>
        </w:rPr>
        <w:t>renúncia de receita</w:t>
      </w:r>
      <w:r w:rsidRPr="00AF6393">
        <w:rPr>
          <w:rFonts w:cstheme="minorHAnsi"/>
          <w:b/>
          <w:bCs/>
          <w:i/>
          <w:iCs/>
        </w:rPr>
        <w:t xml:space="preserve"> deverá ser acompanhada da estimativa do seu impacto orçamentário e financeiro</w:t>
      </w:r>
      <w:r w:rsidRPr="00AF6393">
        <w:rPr>
          <w:rFonts w:cstheme="minorHAnsi"/>
          <w:i/>
          <w:iCs/>
        </w:rPr>
        <w:t>. (Incluído pela Emenda Constitucional nº 95, de 2016</w:t>
      </w:r>
      <w:r w:rsidRPr="00AF6393">
        <w:rPr>
          <w:rFonts w:cstheme="minorHAnsi"/>
        </w:rPr>
        <w:t>)</w:t>
      </w:r>
    </w:p>
    <w:p w:rsidR="00DA24D4" w:rsidRPr="00AF6393" w:rsidP="00DA24D4">
      <w:pPr>
        <w:spacing w:after="0" w:line="240" w:lineRule="auto"/>
        <w:ind w:left="2268"/>
        <w:jc w:val="both"/>
        <w:rPr>
          <w:rFonts w:cstheme="minorHAnsi"/>
        </w:rPr>
      </w:pPr>
    </w:p>
    <w:p w:rsidR="009761BF" w:rsidRPr="00AF6393" w:rsidP="009761BF">
      <w:pPr>
        <w:spacing w:after="0" w:line="240" w:lineRule="auto"/>
        <w:ind w:firstLine="1701"/>
        <w:jc w:val="both"/>
        <w:rPr>
          <w:rFonts w:cstheme="minorHAnsi"/>
          <w:sz w:val="24"/>
          <w:szCs w:val="24"/>
        </w:rPr>
      </w:pPr>
      <w:r w:rsidRPr="00AF6393">
        <w:rPr>
          <w:rFonts w:cstheme="minorHAnsi"/>
          <w:sz w:val="24"/>
          <w:szCs w:val="24"/>
        </w:rPr>
        <w:t xml:space="preserve">Vejamos algumas decisões da Suprema Corte acerca do tema: </w:t>
      </w:r>
    </w:p>
    <w:p w:rsidR="00DA24D4" w:rsidRPr="00AF6393" w:rsidP="009761BF">
      <w:pPr>
        <w:spacing w:after="0" w:line="240" w:lineRule="auto"/>
        <w:ind w:firstLine="1701"/>
        <w:jc w:val="both"/>
        <w:rPr>
          <w:rStyle w:val="Hyperlink"/>
          <w:rFonts w:cstheme="minorHAnsi"/>
          <w:i/>
          <w:color w:val="auto"/>
          <w:sz w:val="24"/>
          <w:szCs w:val="24"/>
        </w:rPr>
      </w:pPr>
      <w:r w:rsidRPr="00AF6393">
        <w:rPr>
          <w:rFonts w:cstheme="minorHAnsi"/>
          <w:i/>
          <w:sz w:val="24"/>
          <w:szCs w:val="24"/>
        </w:rPr>
        <w:fldChar w:fldCharType="begin"/>
      </w:r>
      <w:r w:rsidRPr="00AF6393">
        <w:rPr>
          <w:rFonts w:cstheme="minorHAnsi"/>
          <w:i/>
          <w:sz w:val="24"/>
          <w:szCs w:val="24"/>
        </w:rPr>
        <w:instrText xml:space="preserve"> HYPERLINK "https://jurisprudencia.stf.jus.br/pages/search/sjur454022/false" </w:instrText>
      </w:r>
      <w:r w:rsidRPr="00AF6393">
        <w:rPr>
          <w:rFonts w:cstheme="minorHAnsi"/>
          <w:i/>
          <w:sz w:val="24"/>
          <w:szCs w:val="24"/>
        </w:rPr>
        <w:fldChar w:fldCharType="separate"/>
      </w:r>
    </w:p>
    <w:p w:rsidR="00DA24D4" w:rsidRPr="00AF6393" w:rsidP="009761BF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AF6393">
        <w:rPr>
          <w:rFonts w:asciiTheme="minorHAnsi" w:hAnsiTheme="minorHAnsi" w:cstheme="minorHAnsi"/>
          <w:color w:val="auto"/>
          <w:u w:val="single"/>
        </w:rPr>
        <w:t>ADI 6118</w:t>
      </w:r>
    </w:p>
    <w:p w:rsidR="00DA24D4" w:rsidRPr="00AF6393" w:rsidP="009761BF">
      <w:pPr>
        <w:spacing w:after="0" w:line="240" w:lineRule="auto"/>
        <w:ind w:left="2268"/>
        <w:jc w:val="both"/>
        <w:rPr>
          <w:rFonts w:cstheme="minorHAnsi"/>
          <w:i/>
        </w:rPr>
      </w:pPr>
      <w:r w:rsidRPr="00AF6393">
        <w:rPr>
          <w:rFonts w:cstheme="minorHAnsi"/>
          <w:i/>
        </w:rPr>
        <w:fldChar w:fldCharType="end"/>
      </w:r>
      <w:r w:rsidRPr="00AF6393">
        <w:rPr>
          <w:rFonts w:cstheme="minorHAnsi"/>
        </w:rPr>
        <w:t>Órgão julgador: </w:t>
      </w:r>
      <w:r w:rsidRPr="00AF6393">
        <w:rPr>
          <w:rFonts w:cstheme="minorHAnsi"/>
          <w:b/>
          <w:bCs/>
        </w:rPr>
        <w:t>Tribunal Pleno</w:t>
      </w:r>
    </w:p>
    <w:p w:rsidR="00DA24D4" w:rsidRPr="00AF6393" w:rsidP="009761BF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AF6393">
        <w:rPr>
          <w:rFonts w:asciiTheme="minorHAnsi" w:hAnsiTheme="minorHAnsi" w:cstheme="minorHAnsi"/>
          <w:color w:val="auto"/>
        </w:rPr>
        <w:t>Relator(</w:t>
      </w:r>
      <w:r w:rsidRPr="00AF6393">
        <w:rPr>
          <w:rFonts w:asciiTheme="minorHAnsi" w:hAnsiTheme="minorHAnsi" w:cstheme="minorHAnsi"/>
          <w:color w:val="auto"/>
        </w:rPr>
        <w:t>a): </w:t>
      </w:r>
      <w:r w:rsidRPr="00AF6393">
        <w:rPr>
          <w:rFonts w:asciiTheme="minorHAnsi" w:hAnsiTheme="minorHAnsi" w:cstheme="minorHAnsi"/>
          <w:b w:val="0"/>
          <w:bCs w:val="0"/>
          <w:color w:val="auto"/>
        </w:rPr>
        <w:t>Min. EDSON FACHIN</w:t>
      </w:r>
    </w:p>
    <w:p w:rsidR="00DA24D4" w:rsidRPr="00AF6393" w:rsidP="009761BF">
      <w:pPr>
        <w:pStyle w:val="Heading4"/>
        <w:spacing w:before="0" w:line="240" w:lineRule="auto"/>
        <w:ind w:left="2268" w:right="300"/>
        <w:jc w:val="both"/>
        <w:rPr>
          <w:rFonts w:asciiTheme="minorHAnsi" w:hAnsiTheme="minorHAnsi" w:cstheme="minorHAnsi"/>
          <w:i w:val="0"/>
          <w:color w:val="auto"/>
        </w:rPr>
      </w:pPr>
      <w:r w:rsidRPr="00AF6393">
        <w:rPr>
          <w:rFonts w:asciiTheme="minorHAnsi" w:hAnsiTheme="minorHAnsi" w:cstheme="minorHAnsi"/>
          <w:color w:val="auto"/>
        </w:rPr>
        <w:t>Julgamento: </w:t>
      </w:r>
      <w:r w:rsidRPr="00AF6393">
        <w:rPr>
          <w:rFonts w:asciiTheme="minorHAnsi" w:hAnsiTheme="minorHAnsi" w:cstheme="minorHAnsi"/>
          <w:b w:val="0"/>
          <w:bCs w:val="0"/>
          <w:color w:val="auto"/>
        </w:rPr>
        <w:t>28/06/2021</w:t>
      </w:r>
    </w:p>
    <w:p w:rsidR="00DA24D4" w:rsidRPr="00AF6393" w:rsidP="009761BF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AF6393">
        <w:rPr>
          <w:rFonts w:asciiTheme="minorHAnsi" w:hAnsiTheme="minorHAnsi" w:cstheme="minorHAnsi"/>
          <w:color w:val="auto"/>
        </w:rPr>
        <w:t>Publicação: </w:t>
      </w:r>
      <w:r w:rsidRPr="00AF6393">
        <w:rPr>
          <w:rFonts w:asciiTheme="minorHAnsi" w:hAnsiTheme="minorHAnsi" w:cstheme="minorHAnsi"/>
          <w:b w:val="0"/>
          <w:bCs w:val="0"/>
          <w:color w:val="auto"/>
        </w:rPr>
        <w:t>06/10/2021</w:t>
      </w:r>
    </w:p>
    <w:p w:rsidR="00DA24D4" w:rsidRPr="00AF6393" w:rsidP="009761BF">
      <w:pPr>
        <w:pStyle w:val="jud-text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F6393">
        <w:rPr>
          <w:rFonts w:asciiTheme="minorHAnsi" w:hAnsiTheme="minorHAnsi" w:cstheme="minorHAnsi"/>
          <w:b/>
          <w:i/>
          <w:sz w:val="22"/>
          <w:szCs w:val="22"/>
        </w:rPr>
        <w:t>Ementa:</w:t>
      </w:r>
      <w:r w:rsidRPr="00AF6393">
        <w:rPr>
          <w:rFonts w:asciiTheme="minorHAnsi" w:hAnsiTheme="minorHAnsi" w:cstheme="minorHAnsi"/>
          <w:i/>
          <w:sz w:val="22"/>
          <w:szCs w:val="22"/>
        </w:rPr>
        <w:t xml:space="preserve"> AÇÃO DIRETA DE INCONSTITUCIONALIDADE. DIREITO FINANCEIRO. LEI N.º 1.238, DE 22 DE JANEIRO DE 2018, DO ESTADO DE RORAIMA. PLANO DE CARGOS, CARREIRAS E REMUNERAÇÕES DOS SERVIDORES DA AGÊNCIA DE DEFESA AGROPECUÁRIA. ALEGAÇÃO DE OFENSA AOS </w:t>
      </w:r>
      <w:r w:rsidRPr="00AF6393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ARTIGOS</w:t>
      </w:r>
      <w:r w:rsidRPr="00AF6393">
        <w:rPr>
          <w:rFonts w:asciiTheme="minorHAnsi" w:hAnsiTheme="minorHAnsi" w:cstheme="minorHAnsi"/>
          <w:i/>
          <w:sz w:val="22"/>
          <w:szCs w:val="22"/>
        </w:rPr>
        <w:t> 169, § 1º, DA CONSTITUIÇÃO FEDERAL, E </w:t>
      </w:r>
      <w:r w:rsidRPr="00AF6393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113 DO</w:t>
      </w:r>
      <w:r w:rsidRPr="00AF6393">
        <w:rPr>
          <w:rFonts w:asciiTheme="minorHAnsi" w:hAnsiTheme="minorHAnsi" w:cstheme="minorHAnsi"/>
          <w:i/>
          <w:sz w:val="22"/>
          <w:szCs w:val="22"/>
        </w:rPr>
        <w:t> ATO DAS DISPOSIÇÕES CONSTITUCIONAIS TRANSITÓRIAS – </w:t>
      </w:r>
      <w:r w:rsidRPr="00AF6393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ADCT</w:t>
      </w:r>
      <w:r w:rsidRPr="00AF6393">
        <w:rPr>
          <w:rFonts w:asciiTheme="minorHAnsi" w:hAnsiTheme="minorHAnsi" w:cstheme="minorHAnsi"/>
          <w:i/>
          <w:sz w:val="22"/>
          <w:szCs w:val="22"/>
        </w:rPr>
        <w:t>. A AUSÊNCIA DE PRÉVIA DOTAÇÃO ORÇAMENTÁRIA NÃO IMPLICA INCONSTITUCIONALIDADE. IMPEDIMENTO DE APLICAÇÃO DA LEI CONCESSIVA DE VANTAGEM OU AUMENTO DE REMUNERAÇÃO A SERVIDORES PÚBLICOS NO RESPECTIVO EXERCÍCIO FINANCEIRO. NÃO CONHECIMENTO DA AÇÃO DIRETA QUANTO À SUPOSTA VIOLAÇÃO DO ARTIGO 169, § 1º, DA CRFB. O </w:t>
      </w:r>
      <w:r w:rsidRPr="00AF6393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 113 DO ADCT</w:t>
      </w:r>
      <w:r w:rsidRPr="00AF6393">
        <w:rPr>
          <w:rFonts w:asciiTheme="minorHAnsi" w:hAnsiTheme="minorHAnsi" w:cstheme="minorHAnsi"/>
          <w:i/>
          <w:sz w:val="22"/>
          <w:szCs w:val="22"/>
        </w:rPr>
        <w:t xml:space="preserve"> DIRIGE-SE A TODOS OS ENTES FEDERATIVOS. AUSÊNCIA DE ESTIMATIVA DE IMPACTO ORÇAMENTÁRIO E FINANCEIRO DA LEI IMPUGNADA. INCONSTITUCIONALIDADE FORMAL. CONHECIMENTO PARCIAL DA AÇÃO E, NA PARTE CONHECIDA, JULGADO PROCEDENTE O PEDIDO. MODULAÇÃO DOS EFEITOS DA DECISÃO. </w:t>
      </w:r>
    </w:p>
    <w:p w:rsidR="00DA24D4" w:rsidRPr="00AF6393" w:rsidP="009761BF">
      <w:pPr>
        <w:pStyle w:val="jud-text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F6393">
        <w:rPr>
          <w:rFonts w:asciiTheme="minorHAnsi" w:hAnsiTheme="minorHAnsi" w:cstheme="minorHAnsi"/>
          <w:i/>
          <w:sz w:val="22"/>
          <w:szCs w:val="22"/>
        </w:rPr>
        <w:t xml:space="preserve">1. A jurisprudência desta Casa firmou-se no sentido de que a ausência de dotação orçamentária prévia apenas impede a aplicação da legislação que implique aumento de despesa no respectivo exercício financeiro, sem que disso decorra a declaração de sua inconstitucionalidade. Precedentes. Ação direta não conhecida quanto à suposta violação do artigo 169, § 1º, da Constituição Federal. </w:t>
      </w:r>
    </w:p>
    <w:p w:rsidR="00DA24D4" w:rsidRPr="00AF6393" w:rsidP="009761BF">
      <w:pPr>
        <w:pStyle w:val="jud-text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F6393">
        <w:rPr>
          <w:rFonts w:asciiTheme="minorHAnsi" w:hAnsiTheme="minorHAnsi" w:cstheme="minorHAnsi"/>
          <w:i/>
          <w:sz w:val="22"/>
          <w:szCs w:val="22"/>
        </w:rPr>
        <w:t xml:space="preserve">2. </w:t>
      </w:r>
      <w:r w:rsidRPr="00AF6393">
        <w:rPr>
          <w:rFonts w:asciiTheme="minorHAnsi" w:hAnsiTheme="minorHAnsi" w:cstheme="minorHAnsi"/>
          <w:b/>
          <w:i/>
          <w:sz w:val="22"/>
          <w:szCs w:val="22"/>
        </w:rPr>
        <w:t>O </w:t>
      </w:r>
      <w:r w:rsidRPr="00AF6393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 113 do ADCT</w:t>
      </w:r>
      <w:r w:rsidRPr="00AF6393">
        <w:rPr>
          <w:rFonts w:asciiTheme="minorHAnsi" w:hAnsiTheme="minorHAnsi" w:cstheme="minorHAnsi"/>
          <w:b/>
          <w:i/>
          <w:sz w:val="22"/>
          <w:szCs w:val="22"/>
        </w:rPr>
        <w:t> estende-se a todos os entes federativos. Precedentes.</w:t>
      </w:r>
    </w:p>
    <w:p w:rsidR="00DA24D4" w:rsidRPr="00AF6393" w:rsidP="009761BF">
      <w:pPr>
        <w:pStyle w:val="jud-text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F6393">
        <w:rPr>
          <w:rFonts w:asciiTheme="minorHAnsi" w:hAnsiTheme="minorHAnsi" w:cstheme="minorHAnsi"/>
          <w:i/>
          <w:sz w:val="22"/>
          <w:szCs w:val="22"/>
        </w:rPr>
        <w:t xml:space="preserve"> 3. </w:t>
      </w:r>
      <w:r w:rsidRPr="00AF6393">
        <w:rPr>
          <w:rFonts w:asciiTheme="minorHAnsi" w:hAnsiTheme="minorHAnsi" w:cstheme="minorHAnsi"/>
          <w:i/>
          <w:sz w:val="22"/>
          <w:szCs w:val="22"/>
        </w:rPr>
        <w:t>A normas impugnadas tratam de Plano de Cargos, Carreiras e Remuneração dos Servidores da Agência de Defesa Agropecuária do Estado de Roraima”</w:t>
      </w:r>
      <w:r w:rsidRPr="00AF6393">
        <w:rPr>
          <w:rFonts w:asciiTheme="minorHAnsi" w:hAnsiTheme="minorHAnsi" w:cstheme="minorHAnsi"/>
          <w:i/>
          <w:sz w:val="22"/>
          <w:szCs w:val="22"/>
        </w:rPr>
        <w:t xml:space="preserve">, instituindo mobilidade na carreira, prevendo cargos de provimento efetivo e em comissão, remuneração para o regime de plantão, progressão horizontal e vertical, concessão de adicionais de interiorização, de qualificação, de fiscalização e de </w:t>
      </w:r>
      <w:r w:rsidRPr="00AF6393">
        <w:rPr>
          <w:rFonts w:asciiTheme="minorHAnsi" w:hAnsiTheme="minorHAnsi" w:cstheme="minorHAnsi"/>
          <w:i/>
          <w:sz w:val="22"/>
          <w:szCs w:val="22"/>
        </w:rPr>
        <w:t>penosidade</w:t>
      </w:r>
      <w:r w:rsidRPr="00AF6393">
        <w:rPr>
          <w:rFonts w:asciiTheme="minorHAnsi" w:hAnsiTheme="minorHAnsi" w:cstheme="minorHAnsi"/>
          <w:i/>
          <w:sz w:val="22"/>
          <w:szCs w:val="22"/>
        </w:rPr>
        <w:t xml:space="preserve">, além de fixar o vencimento básico, e normas conexas à sua efetivação. </w:t>
      </w:r>
      <w:r w:rsidRPr="00AF6393">
        <w:rPr>
          <w:rFonts w:asciiTheme="minorHAnsi" w:hAnsiTheme="minorHAnsi" w:cstheme="minorHAnsi"/>
          <w:b/>
          <w:i/>
          <w:sz w:val="22"/>
          <w:szCs w:val="22"/>
        </w:rPr>
        <w:t>A lei, porém, não foi instruída com a devida estimativa do seu impacto financeiro e orçamentário</w:t>
      </w:r>
      <w:r w:rsidRPr="00AF6393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DA24D4" w:rsidRPr="00AF6393" w:rsidP="009761BF">
      <w:pPr>
        <w:pStyle w:val="jud-text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F6393">
        <w:rPr>
          <w:rFonts w:asciiTheme="minorHAnsi" w:hAnsiTheme="minorHAnsi" w:cstheme="minorHAnsi"/>
          <w:i/>
          <w:sz w:val="22"/>
          <w:szCs w:val="22"/>
        </w:rPr>
        <w:t xml:space="preserve">4. Considerando que a norma produziu efeitos e permitiu o pagamento de verbas de natureza alimentar e considerando a dúvida inicial quanto ao alcance da norma da Constituição Federal, presentes os requisitos do art. 27 da Lei n.º 9.868/99, de modo que, a fim de preservar a segurança jurídica, propõe-se a modulação dos </w:t>
      </w:r>
      <w:r w:rsidRPr="00AF6393">
        <w:rPr>
          <w:rFonts w:asciiTheme="minorHAnsi" w:hAnsiTheme="minorHAnsi" w:cstheme="minorHAnsi"/>
          <w:i/>
          <w:sz w:val="22"/>
          <w:szCs w:val="22"/>
        </w:rPr>
        <w:t xml:space="preserve">efeitos da declaração de inconstitucionalidade a partir da data da publicação da ata do presente julgamento. </w:t>
      </w:r>
    </w:p>
    <w:p w:rsidR="00DA24D4" w:rsidRPr="00AF6393" w:rsidP="009761BF">
      <w:pPr>
        <w:pStyle w:val="jud-text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F6393">
        <w:rPr>
          <w:rFonts w:asciiTheme="minorHAnsi" w:hAnsiTheme="minorHAnsi" w:cstheme="minorHAnsi"/>
          <w:i/>
          <w:sz w:val="22"/>
          <w:szCs w:val="22"/>
        </w:rPr>
        <w:t xml:space="preserve">5. Ação direta parcialmente conhecida e, na parte conhecida, pedido julgado procedente, a fim de declarar inconstitucionais os artigos 4º, incisos II e IV; 6º, parágrafo único; 8º; 10 a 13; 19 a 21; 26; 28 a 30; 32 a 34; 36; 37; 39 a 49; 55 a 57; e os Anexos I a III, todos da Lei nº 1.238, de 22 de janeiro de 2018, do Estado de Roraima, com efeitos </w:t>
      </w:r>
      <w:r w:rsidRPr="00AF6393">
        <w:rPr>
          <w:rFonts w:asciiTheme="minorHAnsi" w:hAnsiTheme="minorHAnsi" w:cstheme="minorHAnsi"/>
          <w:i/>
          <w:sz w:val="22"/>
          <w:szCs w:val="22"/>
        </w:rPr>
        <w:t>ex</w:t>
      </w:r>
      <w:r w:rsidRPr="00AF6393">
        <w:rPr>
          <w:rFonts w:asciiTheme="minorHAnsi" w:hAnsiTheme="minorHAnsi" w:cstheme="minorHAnsi"/>
          <w:i/>
          <w:sz w:val="22"/>
          <w:szCs w:val="22"/>
        </w:rPr>
        <w:t xml:space="preserve"> nunc.</w:t>
      </w:r>
    </w:p>
    <w:p w:rsidR="00DA24D4" w:rsidRPr="00AF6393" w:rsidP="009761BF">
      <w:pPr>
        <w:pStyle w:val="jud-text"/>
        <w:pBdr>
          <w:bottom w:val="single" w:sz="12" w:space="1" w:color="auto"/>
        </w:pBdr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9761BF" w:rsidRPr="00AF6393" w:rsidP="009761BF">
      <w:pPr>
        <w:spacing w:after="0" w:line="240" w:lineRule="auto"/>
        <w:ind w:left="2268"/>
        <w:jc w:val="both"/>
        <w:rPr>
          <w:rFonts w:cstheme="minorHAnsi"/>
          <w:b/>
          <w:i/>
          <w:u w:val="single"/>
        </w:rPr>
      </w:pPr>
    </w:p>
    <w:p w:rsidR="00DA24D4" w:rsidRPr="00AF6393" w:rsidP="009761BF">
      <w:pPr>
        <w:spacing w:after="0" w:line="240" w:lineRule="auto"/>
        <w:ind w:left="2268"/>
        <w:jc w:val="both"/>
        <w:rPr>
          <w:rFonts w:cstheme="minorHAnsi"/>
          <w:b/>
          <w:i/>
          <w:u w:val="single"/>
        </w:rPr>
      </w:pPr>
      <w:r w:rsidRPr="00AF6393">
        <w:rPr>
          <w:rFonts w:cstheme="minorHAnsi"/>
          <w:b/>
          <w:i/>
          <w:u w:val="single"/>
        </w:rPr>
        <w:t>ADI 6102</w:t>
      </w:r>
    </w:p>
    <w:p w:rsidR="00DA24D4" w:rsidRPr="00AF6393" w:rsidP="009761BF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AF6393">
        <w:rPr>
          <w:rFonts w:asciiTheme="minorHAnsi" w:hAnsiTheme="minorHAnsi" w:cstheme="minorHAnsi"/>
          <w:color w:val="auto"/>
        </w:rPr>
        <w:t>Órgão julgador: </w:t>
      </w:r>
      <w:r w:rsidRPr="00AF6393">
        <w:rPr>
          <w:rFonts w:asciiTheme="minorHAnsi" w:hAnsiTheme="minorHAnsi" w:cstheme="minorHAnsi"/>
          <w:b w:val="0"/>
          <w:bCs w:val="0"/>
          <w:color w:val="auto"/>
        </w:rPr>
        <w:t>Tribunal Pleno</w:t>
      </w:r>
    </w:p>
    <w:p w:rsidR="00DA24D4" w:rsidRPr="00AF6393" w:rsidP="009761BF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AF6393">
        <w:rPr>
          <w:rFonts w:asciiTheme="minorHAnsi" w:hAnsiTheme="minorHAnsi" w:cstheme="minorHAnsi"/>
          <w:color w:val="auto"/>
        </w:rPr>
        <w:t>Relator(</w:t>
      </w:r>
      <w:r w:rsidRPr="00AF6393">
        <w:rPr>
          <w:rFonts w:asciiTheme="minorHAnsi" w:hAnsiTheme="minorHAnsi" w:cstheme="minorHAnsi"/>
          <w:color w:val="auto"/>
        </w:rPr>
        <w:t>a): </w:t>
      </w:r>
      <w:r w:rsidRPr="00AF6393">
        <w:rPr>
          <w:rFonts w:asciiTheme="minorHAnsi" w:hAnsiTheme="minorHAnsi" w:cstheme="minorHAnsi"/>
          <w:b w:val="0"/>
          <w:bCs w:val="0"/>
          <w:color w:val="auto"/>
        </w:rPr>
        <w:t>Min. ROSA WEBER</w:t>
      </w:r>
    </w:p>
    <w:p w:rsidR="00DA24D4" w:rsidRPr="00AF6393" w:rsidP="009761BF">
      <w:pPr>
        <w:pStyle w:val="Heading4"/>
        <w:spacing w:before="0" w:line="240" w:lineRule="auto"/>
        <w:ind w:left="2268" w:right="300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AF6393">
        <w:rPr>
          <w:rFonts w:asciiTheme="minorHAnsi" w:hAnsiTheme="minorHAnsi" w:cstheme="minorHAnsi"/>
          <w:color w:val="auto"/>
        </w:rPr>
        <w:t>Julgamento: </w:t>
      </w:r>
      <w:r w:rsidRPr="00AF6393">
        <w:rPr>
          <w:rFonts w:asciiTheme="minorHAnsi" w:hAnsiTheme="minorHAnsi" w:cstheme="minorHAnsi"/>
          <w:b w:val="0"/>
          <w:bCs w:val="0"/>
          <w:color w:val="auto"/>
        </w:rPr>
        <w:t>21/12/2020</w:t>
      </w:r>
    </w:p>
    <w:p w:rsidR="00DA24D4" w:rsidRPr="00AF6393" w:rsidP="009761BF">
      <w:pPr>
        <w:pStyle w:val="jud-text"/>
        <w:pBdr>
          <w:bottom w:val="single" w:sz="12" w:space="1" w:color="auto"/>
        </w:pBdr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F6393">
        <w:rPr>
          <w:rFonts w:asciiTheme="minorHAnsi" w:hAnsiTheme="minorHAnsi" w:cstheme="minorHAnsi"/>
          <w:b/>
          <w:i/>
          <w:sz w:val="22"/>
          <w:szCs w:val="22"/>
        </w:rPr>
        <w:t>EMENTA</w:t>
      </w:r>
      <w:r w:rsidRPr="00AF6393">
        <w:rPr>
          <w:rFonts w:asciiTheme="minorHAnsi" w:hAnsiTheme="minorHAnsi" w:cstheme="minorHAnsi"/>
          <w:i/>
          <w:sz w:val="22"/>
          <w:szCs w:val="22"/>
        </w:rPr>
        <w:t xml:space="preserve"> AÇÃO DIRETA DE INCONSTITUCIONALIDADE. DIREITO FINANCEIRO. LEI Nº 1.237, DE 22 DE JANEIRO DE 2018, DO ESTADO DE RORAIMA. </w:t>
      </w:r>
      <w:r w:rsidRPr="00AF6393">
        <w:rPr>
          <w:rFonts w:asciiTheme="minorHAnsi" w:hAnsiTheme="minorHAnsi" w:cstheme="minorHAnsi"/>
          <w:b/>
          <w:i/>
          <w:sz w:val="22"/>
          <w:szCs w:val="22"/>
        </w:rPr>
        <w:t>PLANO DE CARGOS, CARREIRAS E REMUNERAÇÕES DOS SERVIDORES PÚBLICOS EFETIVOS DA ÁREA ADMINISTRATIVA DA UNIVERSIDADE ESTADUAL DE RORAIMA – UERR.</w:t>
      </w:r>
      <w:r w:rsidRPr="00AF6393">
        <w:rPr>
          <w:rFonts w:asciiTheme="minorHAnsi" w:hAnsiTheme="minorHAnsi" w:cstheme="minorHAnsi"/>
          <w:i/>
          <w:sz w:val="22"/>
          <w:szCs w:val="22"/>
        </w:rPr>
        <w:t xml:space="preserve"> ALEGAÇÃO DE OFENSA AOS </w:t>
      </w:r>
      <w:r w:rsidRPr="00AF6393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ARTIGOS</w:t>
      </w:r>
      <w:r w:rsidRPr="00AF6393">
        <w:rPr>
          <w:rFonts w:asciiTheme="minorHAnsi" w:hAnsiTheme="minorHAnsi" w:cstheme="minorHAnsi"/>
          <w:i/>
          <w:sz w:val="22"/>
          <w:szCs w:val="22"/>
        </w:rPr>
        <w:t xml:space="preserve"> 169, § 1º, DA CONSTITUIÇÃO FEDERAL, E  </w:t>
      </w:r>
      <w:r w:rsidRPr="00AF6393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113</w:t>
      </w:r>
      <w:r w:rsidRPr="00AF6393">
        <w:rPr>
          <w:rFonts w:asciiTheme="minorHAnsi" w:hAnsiTheme="minorHAnsi" w:cstheme="minorHAnsi"/>
          <w:i/>
          <w:sz w:val="22"/>
          <w:szCs w:val="22"/>
        </w:rPr>
        <w:t> DO </w:t>
      </w:r>
      <w:r w:rsidRPr="00AF6393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ATO DAS DISPOSIÇÕES CONSTITUCIONAIS TRANSITÓRIAS</w:t>
      </w:r>
      <w:r w:rsidRPr="00AF6393">
        <w:rPr>
          <w:rFonts w:asciiTheme="minorHAnsi" w:hAnsiTheme="minorHAnsi" w:cstheme="minorHAnsi"/>
          <w:i/>
          <w:sz w:val="22"/>
          <w:szCs w:val="22"/>
        </w:rPr>
        <w:t> – </w:t>
      </w:r>
      <w:r w:rsidRPr="00AF6393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ADCT</w:t>
      </w:r>
      <w:r w:rsidRPr="00AF6393">
        <w:rPr>
          <w:rFonts w:asciiTheme="minorHAnsi" w:hAnsiTheme="minorHAnsi" w:cstheme="minorHAnsi"/>
          <w:i/>
          <w:sz w:val="22"/>
          <w:szCs w:val="22"/>
        </w:rPr>
        <w:t>. A AUSÊNCIA DE PRÉVIA DOTAÇÃO ORÇAMENTÁRIA NÃO IMPLICA INCONSTITUCIONALIDADE. IMPEDIMENTO DE APLICAÇÃO DA LEI CONCESSIVA DE VANTAGEM OU AUMENTO DE REMUNERAÇÃO A SERVIDORES PÚBLICOS NO RESPECTIVO EXERCÍCIO FINANCEIRO. NÃO CONHECIMENTO DA AÇÃO DIRETA QUANTO À SUPOSTA VIOLAÇÃO DO </w:t>
      </w:r>
      <w:r w:rsidRPr="00AF6393">
        <w:rPr>
          <w:rStyle w:val="Emphasis"/>
          <w:rFonts w:asciiTheme="minorHAnsi" w:hAnsiTheme="minorHAnsi" w:cstheme="minorHAnsi"/>
          <w:bCs/>
          <w:sz w:val="22"/>
          <w:szCs w:val="22"/>
        </w:rPr>
        <w:t>ARTIGO</w:t>
      </w:r>
      <w:r w:rsidRPr="00AF6393">
        <w:rPr>
          <w:rFonts w:asciiTheme="minorHAnsi" w:hAnsiTheme="minorHAnsi" w:cstheme="minorHAnsi"/>
          <w:i/>
          <w:sz w:val="22"/>
          <w:szCs w:val="22"/>
        </w:rPr>
        <w:t xml:space="preserve"> 169, § 1º, DA CONSTITUIÇÃO FEDERAL. </w:t>
      </w:r>
      <w:r w:rsidRPr="00AF6393">
        <w:rPr>
          <w:rFonts w:asciiTheme="minorHAnsi" w:hAnsiTheme="minorHAnsi" w:cstheme="minorHAnsi"/>
          <w:b/>
          <w:i/>
          <w:sz w:val="22"/>
          <w:szCs w:val="22"/>
        </w:rPr>
        <w:t>O </w:t>
      </w:r>
      <w:r w:rsidRPr="00AF6393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 113</w:t>
      </w:r>
      <w:r w:rsidRPr="00AF6393">
        <w:rPr>
          <w:rFonts w:asciiTheme="minorHAnsi" w:hAnsiTheme="minorHAnsi" w:cstheme="minorHAnsi"/>
          <w:b/>
          <w:i/>
          <w:sz w:val="22"/>
          <w:szCs w:val="22"/>
        </w:rPr>
        <w:t> DO </w:t>
      </w:r>
      <w:r w:rsidRPr="00AF6393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ADCT</w:t>
      </w:r>
      <w:r w:rsidRPr="00AF6393">
        <w:rPr>
          <w:rFonts w:asciiTheme="minorHAnsi" w:hAnsiTheme="minorHAnsi" w:cstheme="minorHAnsi"/>
          <w:b/>
          <w:i/>
          <w:sz w:val="22"/>
          <w:szCs w:val="22"/>
        </w:rPr>
        <w:t xml:space="preserve"> DIRIGE-SE A TODOS OS ENTES FEDERATIVOS. AUSÊNCIA DE ESTIMATIVA DE IMPACTO ORÇAMENTÁRIO E FINANCEIRO DA LEI IMPUGNADA. INCONSTITUCIONALIDADE FORMAL. </w:t>
      </w:r>
      <w:r w:rsidRPr="00AF6393">
        <w:rPr>
          <w:rFonts w:asciiTheme="minorHAnsi" w:hAnsiTheme="minorHAnsi" w:cstheme="minorHAnsi"/>
          <w:i/>
          <w:sz w:val="22"/>
          <w:szCs w:val="22"/>
        </w:rPr>
        <w:t>CONHECIMENTO PARCIAL DA AÇÃO E, NA PARTE CONHECIDA, JULGADO PROCEDENTE O PEDIDO. MODULAÇÃO DOS EFEITOS DA DECISÃO. 1. A jurisprudência desta Casa firmou-se no sentido de que a ausência de dotação orçamentária prévia apenas impede a aplicação da legislação que implique aumento de despesa no respectivo exercício financeiro, sem que disso decorra a declaração de sua inconstitucionalidade. Precedentes. Ação direta não conhecida quanto à suposta violação do </w:t>
      </w:r>
      <w:r w:rsidRPr="00AF6393">
        <w:rPr>
          <w:rStyle w:val="Emphasis"/>
          <w:rFonts w:asciiTheme="minorHAnsi" w:hAnsiTheme="minorHAnsi" w:cstheme="minorHAnsi"/>
          <w:bCs/>
          <w:sz w:val="22"/>
          <w:szCs w:val="22"/>
        </w:rPr>
        <w:t>artigo</w:t>
      </w:r>
      <w:r w:rsidRPr="00AF6393">
        <w:rPr>
          <w:rFonts w:asciiTheme="minorHAnsi" w:hAnsiTheme="minorHAnsi" w:cstheme="minorHAnsi"/>
          <w:i/>
          <w:sz w:val="22"/>
          <w:szCs w:val="22"/>
        </w:rPr>
        <w:t xml:space="preserve"> 169, § 1º, da Constituição Federal. </w:t>
      </w:r>
      <w:r w:rsidRPr="00AF6393">
        <w:rPr>
          <w:rFonts w:asciiTheme="minorHAnsi" w:hAnsiTheme="minorHAnsi" w:cstheme="minorHAnsi"/>
          <w:b/>
          <w:i/>
          <w:sz w:val="22"/>
          <w:szCs w:val="22"/>
          <w:u w:val="single"/>
        </w:rPr>
        <w:t>2. O </w:t>
      </w:r>
      <w:r w:rsidRPr="00AF6393">
        <w:rPr>
          <w:rStyle w:val="Emphasis"/>
          <w:rFonts w:asciiTheme="minorHAnsi" w:hAnsiTheme="minorHAnsi" w:cstheme="minorHAnsi"/>
          <w:b/>
          <w:bCs/>
          <w:sz w:val="22"/>
          <w:szCs w:val="22"/>
          <w:u w:val="single"/>
        </w:rPr>
        <w:t>artigo 113</w:t>
      </w:r>
      <w:r w:rsidRPr="00AF6393">
        <w:rPr>
          <w:rFonts w:asciiTheme="minorHAnsi" w:hAnsiTheme="minorHAnsi" w:cstheme="minorHAnsi"/>
          <w:b/>
          <w:i/>
          <w:sz w:val="22"/>
          <w:szCs w:val="22"/>
          <w:u w:val="single"/>
        </w:rPr>
        <w:t> do </w:t>
      </w:r>
      <w:r w:rsidRPr="00AF6393">
        <w:rPr>
          <w:rStyle w:val="Emphasis"/>
          <w:rFonts w:asciiTheme="minorHAnsi" w:hAnsiTheme="minorHAnsi" w:cstheme="minorHAnsi"/>
          <w:b/>
          <w:bCs/>
          <w:sz w:val="22"/>
          <w:szCs w:val="22"/>
          <w:u w:val="single"/>
        </w:rPr>
        <w:t>ADCT</w:t>
      </w:r>
      <w:r w:rsidRPr="00AF6393">
        <w:rPr>
          <w:rFonts w:asciiTheme="minorHAnsi" w:hAnsiTheme="minorHAnsi" w:cstheme="minorHAnsi"/>
          <w:b/>
          <w:i/>
          <w:sz w:val="22"/>
          <w:szCs w:val="22"/>
          <w:u w:val="single"/>
        </w:rPr>
        <w:t> tem caráter nacional e irradia obrigações a todos os entes federativos. Precedentes. 3. A Lei nº 1.237/2018 do Estado de Roraima cria e altera despesas obrigatórias de forma a gerar impacto orçamentário. A ausência de prévia instrução da proposta legislativa com a estimativa do impacto financeiro e orçamentário, nos termos do </w:t>
      </w:r>
      <w:r w:rsidRPr="00AF6393">
        <w:rPr>
          <w:rStyle w:val="Emphasis"/>
          <w:rFonts w:asciiTheme="minorHAnsi" w:hAnsiTheme="minorHAnsi" w:cstheme="minorHAnsi"/>
          <w:b/>
          <w:bCs/>
          <w:sz w:val="22"/>
          <w:szCs w:val="22"/>
          <w:u w:val="single"/>
        </w:rPr>
        <w:t>art. 113</w:t>
      </w:r>
      <w:r w:rsidRPr="00AF6393">
        <w:rPr>
          <w:rFonts w:asciiTheme="minorHAnsi" w:hAnsiTheme="minorHAnsi" w:cstheme="minorHAnsi"/>
          <w:b/>
          <w:i/>
          <w:sz w:val="22"/>
          <w:szCs w:val="22"/>
          <w:u w:val="single"/>
        </w:rPr>
        <w:t> do </w:t>
      </w:r>
      <w:r w:rsidRPr="00AF6393">
        <w:rPr>
          <w:rStyle w:val="Emphasis"/>
          <w:rFonts w:asciiTheme="minorHAnsi" w:hAnsiTheme="minorHAnsi" w:cstheme="minorHAnsi"/>
          <w:b/>
          <w:bCs/>
          <w:sz w:val="22"/>
          <w:szCs w:val="22"/>
          <w:u w:val="single"/>
        </w:rPr>
        <w:t>ADCT</w:t>
      </w:r>
      <w:r w:rsidRPr="00AF6393">
        <w:rPr>
          <w:rFonts w:asciiTheme="minorHAnsi" w:hAnsiTheme="minorHAnsi" w:cstheme="minorHAnsi"/>
          <w:b/>
          <w:i/>
          <w:sz w:val="22"/>
          <w:szCs w:val="22"/>
          <w:u w:val="single"/>
        </w:rPr>
        <w:t>, aplicável a todos os entes federativos, implica inconstitucionalidade formal.</w:t>
      </w:r>
      <w:r w:rsidRPr="00AF6393">
        <w:rPr>
          <w:rFonts w:asciiTheme="minorHAnsi" w:hAnsiTheme="minorHAnsi" w:cstheme="minorHAnsi"/>
          <w:i/>
          <w:sz w:val="22"/>
          <w:szCs w:val="22"/>
        </w:rPr>
        <w:t xml:space="preserve"> 4. O ato normativo, não obstante viciado na sua origem, acarretou o </w:t>
      </w:r>
      <w:r w:rsidRPr="00AF6393">
        <w:rPr>
          <w:rFonts w:asciiTheme="minorHAnsi" w:hAnsiTheme="minorHAnsi" w:cstheme="minorHAnsi"/>
          <w:i/>
          <w:sz w:val="22"/>
          <w:szCs w:val="22"/>
        </w:rPr>
        <w:t>pagamento a servidores. O caráter alimentício das verbas auferidas demonstra a inviabilidade de ressarcimento dos valores. Modulação dos efeitos da decisão para proteger a confiança legítima que resultou na aplicação da lei e preservar a boa-fé objetiva. 5. Conhecimento parcial da ação direta e, na parte conhecida, julgado procedente o pedido para declarar a inconstitucionalidade formal da Lei nº 1.237, de 22 de janeiro de 2018, do Estado de Roraima.</w:t>
      </w:r>
    </w:p>
    <w:p w:rsidR="00DA24D4" w:rsidRPr="00AF6393" w:rsidP="00DA24D4">
      <w:pPr>
        <w:spacing w:after="120" w:line="360" w:lineRule="auto"/>
        <w:ind w:firstLine="1701"/>
        <w:jc w:val="both"/>
        <w:rPr>
          <w:rFonts w:cstheme="minorHAnsi"/>
          <w:sz w:val="12"/>
          <w:szCs w:val="12"/>
        </w:rPr>
      </w:pPr>
    </w:p>
    <w:p w:rsidR="00DA24D4" w:rsidRPr="00AF6393" w:rsidP="00DA24D4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AF6393">
        <w:rPr>
          <w:rFonts w:cstheme="minorHAnsi"/>
          <w:sz w:val="24"/>
          <w:szCs w:val="24"/>
        </w:rPr>
        <w:t>No mesmo sentido, colacionamos decisão da Corte Paulista:</w:t>
      </w:r>
    </w:p>
    <w:p w:rsidR="00DA24D4" w:rsidRPr="00AF6393" w:rsidP="009761BF">
      <w:pPr>
        <w:spacing w:after="0" w:line="240" w:lineRule="auto"/>
        <w:ind w:left="2268"/>
        <w:jc w:val="both"/>
        <w:rPr>
          <w:rFonts w:cstheme="minorHAnsi"/>
          <w:i/>
        </w:rPr>
      </w:pPr>
      <w:r w:rsidRPr="00AF6393">
        <w:rPr>
          <w:rFonts w:cstheme="minorHAnsi"/>
          <w:i/>
        </w:rPr>
        <w:t xml:space="preserve">AÇÃO DIRETA DE INCONSTITUCIONALIDADE Lei Municipal nº 5.398, de 28 de abril de 2020, do Município de Mogi Guaçu, de iniciativa parlamentar, autorizando o Poder Executivo a parcelar o recolhimento do Imposto de Transmissão de Bens Imóveis </w:t>
      </w:r>
      <w:r w:rsidRPr="00AF6393">
        <w:rPr>
          <w:rFonts w:cstheme="minorHAnsi"/>
          <w:i/>
        </w:rPr>
        <w:t>ITBI ,</w:t>
      </w:r>
      <w:r w:rsidRPr="00AF6393">
        <w:rPr>
          <w:rFonts w:cstheme="minorHAnsi"/>
          <w:i/>
        </w:rPr>
        <w:t xml:space="preserve"> a qualquer título, sem incidência de juros e correção monetária. Observância ao art. 113 do ADCT. Inocorrência. Inconstitucionalidade. Ação objetiva. Causa de pedido aberta. Obrigação de estimativa de impacto orçamentário e financeiro nos casos em que a lei implique renúncia de receita.</w:t>
      </w:r>
      <w:r w:rsidRPr="00AF6393">
        <w:rPr>
          <w:rFonts w:cstheme="minorHAnsi"/>
          <w:b/>
          <w:i/>
        </w:rPr>
        <w:t xml:space="preserve"> Recente orientação do </w:t>
      </w:r>
      <w:r w:rsidRPr="00AF6393">
        <w:rPr>
          <w:rFonts w:cstheme="minorHAnsi"/>
          <w:b/>
          <w:i/>
        </w:rPr>
        <w:t>Eg</w:t>
      </w:r>
      <w:r w:rsidRPr="00AF6393">
        <w:rPr>
          <w:rFonts w:cstheme="minorHAnsi"/>
          <w:b/>
          <w:i/>
        </w:rPr>
        <w:t xml:space="preserve">. Supremo Tribunal Federal, aplicando o art. 113, do ADCT, a todos os entes federativos. Revisão do posicionamento deste C. Órgão Especial adotando a linha superiormente fixada. </w:t>
      </w:r>
      <w:r w:rsidRPr="00AF6393">
        <w:rPr>
          <w:rFonts w:cstheme="minorHAnsi"/>
          <w:i/>
        </w:rPr>
        <w:t xml:space="preserve">Ação </w:t>
      </w:r>
      <w:r w:rsidRPr="00AF6393">
        <w:rPr>
          <w:rFonts w:cstheme="minorHAnsi"/>
          <w:i/>
        </w:rPr>
        <w:t>procedente.</w:t>
      </w:r>
      <w:r w:rsidRPr="00AF6393">
        <w:rPr>
          <w:rFonts w:cstheme="minorHAnsi"/>
          <w:i/>
        </w:rPr>
        <w:t>(TJSP. ADI nº 2.197.983-75.2020.8.26.0000. Relator Des. Evaristo dos Santos. Data do julgamento: 17/11/2021)</w:t>
      </w:r>
    </w:p>
    <w:p w:rsidR="00DA24D4" w:rsidRPr="00AF6393" w:rsidP="00DA24D4">
      <w:pPr>
        <w:spacing w:after="120"/>
        <w:ind w:left="2268"/>
        <w:jc w:val="both"/>
        <w:rPr>
          <w:rFonts w:cstheme="minorHAnsi"/>
          <w:i/>
          <w:sz w:val="12"/>
          <w:szCs w:val="12"/>
        </w:rPr>
      </w:pPr>
    </w:p>
    <w:p w:rsidR="00DA24D4" w:rsidRPr="00AF6393" w:rsidP="00DA24D4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AF6393">
        <w:rPr>
          <w:rFonts w:cstheme="minorHAnsi"/>
          <w:sz w:val="24"/>
          <w:szCs w:val="24"/>
        </w:rPr>
        <w:t>Destarte, consoante entendimento jurisprudencial</w:t>
      </w:r>
      <w:r w:rsidR="00660836">
        <w:rPr>
          <w:rFonts w:cstheme="minorHAnsi"/>
          <w:sz w:val="24"/>
          <w:szCs w:val="24"/>
        </w:rPr>
        <w:t>,</w:t>
      </w:r>
      <w:r w:rsidRPr="00AF6393">
        <w:rPr>
          <w:rFonts w:cstheme="minorHAnsi"/>
          <w:sz w:val="24"/>
          <w:szCs w:val="24"/>
        </w:rPr>
        <w:t xml:space="preserve"> o art. 113 do ADCT aplica-se a todos os entes da federação, sendo requisito de validade formal de leis que criem despesa ou concedam benefícios fiscais à instrução da proposta legislativa com a estimativa do impacto financeiro e orçamentário.</w:t>
      </w:r>
    </w:p>
    <w:p w:rsidR="002368A8" w:rsidRPr="00AF6393" w:rsidP="00DA24D4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AF6393">
        <w:rPr>
          <w:rFonts w:cstheme="minorHAnsi"/>
          <w:sz w:val="24"/>
          <w:szCs w:val="24"/>
        </w:rPr>
        <w:t>Do mesmo modo,</w:t>
      </w:r>
      <w:r w:rsidRPr="00AF6393" w:rsidR="00D6592C">
        <w:rPr>
          <w:rFonts w:cstheme="minorHAnsi"/>
          <w:sz w:val="24"/>
          <w:szCs w:val="24"/>
        </w:rPr>
        <w:t xml:space="preserve"> </w:t>
      </w:r>
      <w:r w:rsidR="00C75111">
        <w:rPr>
          <w:rFonts w:cstheme="minorHAnsi"/>
          <w:sz w:val="24"/>
          <w:szCs w:val="24"/>
        </w:rPr>
        <w:t>o art. 188-A, d</w:t>
      </w:r>
      <w:r w:rsidRPr="00AF6393" w:rsidR="0007201B">
        <w:rPr>
          <w:rFonts w:cstheme="minorHAnsi"/>
          <w:sz w:val="24"/>
          <w:szCs w:val="24"/>
        </w:rPr>
        <w:t xml:space="preserve">a LM nº 4.877/2013 </w:t>
      </w:r>
      <w:r w:rsidR="00D746A8">
        <w:rPr>
          <w:rFonts w:cstheme="minorHAnsi"/>
          <w:sz w:val="24"/>
          <w:szCs w:val="24"/>
        </w:rPr>
        <w:t>(</w:t>
      </w:r>
      <w:r w:rsidRPr="00AF6393" w:rsidR="0007201B">
        <w:rPr>
          <w:rFonts w:cstheme="minorHAnsi"/>
          <w:sz w:val="24"/>
          <w:szCs w:val="24"/>
        </w:rPr>
        <w:t>alterada pela LM nº 6.396/2022</w:t>
      </w:r>
      <w:r w:rsidR="00D746A8">
        <w:rPr>
          <w:rFonts w:cstheme="minorHAnsi"/>
          <w:sz w:val="24"/>
          <w:szCs w:val="24"/>
        </w:rPr>
        <w:t>)</w:t>
      </w:r>
      <w:r w:rsidRPr="00AF6393" w:rsidR="0007201B">
        <w:rPr>
          <w:rFonts w:cstheme="minorHAnsi"/>
          <w:sz w:val="24"/>
          <w:szCs w:val="24"/>
        </w:rPr>
        <w:t xml:space="preserve"> destaca a necessidade de </w:t>
      </w:r>
      <w:r w:rsidRPr="00AF6393" w:rsidR="0007201B">
        <w:rPr>
          <w:rFonts w:cstheme="minorHAnsi"/>
          <w:sz w:val="24"/>
          <w:szCs w:val="24"/>
        </w:rPr>
        <w:t>apresentação de estudo técnico elaborado por atu</w:t>
      </w:r>
      <w:r w:rsidRPr="00AF6393" w:rsidR="00551549">
        <w:rPr>
          <w:rFonts w:cstheme="minorHAnsi"/>
          <w:sz w:val="24"/>
          <w:szCs w:val="24"/>
        </w:rPr>
        <w:t>ário quanto às proposições que possam provocar majoração potencial dos benefícios pagos pelo RPPS</w:t>
      </w:r>
      <w:r w:rsidRPr="00AF6393" w:rsidR="00551549">
        <w:rPr>
          <w:rFonts w:cstheme="minorHAnsi"/>
          <w:sz w:val="24"/>
          <w:szCs w:val="24"/>
        </w:rPr>
        <w:t>:</w:t>
      </w:r>
    </w:p>
    <w:p w:rsidR="00D6592C" w:rsidP="004908F5">
      <w:pPr>
        <w:spacing w:after="120" w:line="240" w:lineRule="auto"/>
        <w:ind w:left="2268"/>
        <w:jc w:val="both"/>
        <w:rPr>
          <w:rFonts w:cstheme="minorHAnsi"/>
          <w:i/>
        </w:rPr>
      </w:pPr>
      <w:r w:rsidRPr="002D4D61">
        <w:rPr>
          <w:rFonts w:cstheme="minorHAnsi"/>
          <w:i/>
        </w:rPr>
        <w:t>Art. 188-A. A partir de 31 de março de 2023, na hipótese de alteração legal relacionada à estrutura funcional e remuneratória dos segurados do VALIPREV, à ampliação e reformulação dos quadros existentes e às demais políticas de pessoal do ente empregador municipal que possam provocar a majoração potencial dos benefícios do regime próprio, a unidade gestora, a partir de estudo técnico elaborado por atuário legalmente habilitado, acompanhado.</w:t>
      </w:r>
    </w:p>
    <w:p w:rsidR="002D4D61" w:rsidRPr="002D4D61" w:rsidP="004908F5">
      <w:pPr>
        <w:spacing w:after="120" w:line="240" w:lineRule="auto"/>
        <w:ind w:left="2268"/>
        <w:jc w:val="both"/>
        <w:rPr>
          <w:rFonts w:cstheme="minorHAnsi"/>
          <w:i/>
        </w:rPr>
      </w:pPr>
    </w:p>
    <w:p w:rsidR="004908F5" w:rsidP="0042514B">
      <w:pPr>
        <w:pStyle w:val="BodyText"/>
        <w:spacing w:after="0" w:line="360" w:lineRule="auto"/>
        <w:ind w:firstLine="1701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>Outrossim</w:t>
      </w:r>
      <w:r>
        <w:rPr>
          <w:rFonts w:asciiTheme="minorHAnsi" w:hAnsiTheme="minorHAnsi" w:cstheme="minorHAnsi"/>
          <w:szCs w:val="24"/>
        </w:rPr>
        <w:t xml:space="preserve">, cabe atentar para o disposto no art. 21, </w:t>
      </w:r>
      <w:r w:rsidR="002D4D61">
        <w:rPr>
          <w:rFonts w:asciiTheme="minorHAnsi" w:hAnsiTheme="minorHAnsi" w:cstheme="minorHAnsi"/>
          <w:szCs w:val="24"/>
        </w:rPr>
        <w:t xml:space="preserve">inciso II, da LRF, </w:t>
      </w:r>
      <w:r w:rsidR="002D4D61">
        <w:rPr>
          <w:rFonts w:asciiTheme="minorHAnsi" w:hAnsiTheme="minorHAnsi" w:cstheme="minorHAnsi"/>
          <w:i/>
          <w:szCs w:val="24"/>
        </w:rPr>
        <w:t xml:space="preserve">in </w:t>
      </w:r>
      <w:r w:rsidR="002D4D61">
        <w:rPr>
          <w:rFonts w:asciiTheme="minorHAnsi" w:hAnsiTheme="minorHAnsi" w:cstheme="minorHAnsi"/>
          <w:i/>
          <w:szCs w:val="24"/>
        </w:rPr>
        <w:t>verbis</w:t>
      </w:r>
      <w:r w:rsidR="002D4D61">
        <w:rPr>
          <w:rFonts w:asciiTheme="minorHAnsi" w:hAnsiTheme="minorHAnsi" w:cstheme="minorHAnsi"/>
          <w:i/>
          <w:szCs w:val="24"/>
        </w:rPr>
        <w:t>:</w:t>
      </w:r>
    </w:p>
    <w:p w:rsidR="005F669D" w:rsidRPr="002D4D61" w:rsidP="0042514B">
      <w:pPr>
        <w:pStyle w:val="BodyText"/>
        <w:spacing w:after="0" w:line="360" w:lineRule="auto"/>
        <w:ind w:firstLine="1701"/>
        <w:jc w:val="both"/>
        <w:rPr>
          <w:rFonts w:asciiTheme="minorHAnsi" w:hAnsiTheme="minorHAnsi" w:cstheme="minorHAnsi"/>
          <w:i/>
          <w:szCs w:val="24"/>
        </w:rPr>
      </w:pPr>
    </w:p>
    <w:p w:rsidR="004908F5" w:rsidRPr="002D4D61" w:rsidP="0042514B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D4D61">
        <w:rPr>
          <w:rFonts w:asciiTheme="minorHAnsi" w:hAnsiTheme="minorHAnsi" w:cstheme="minorHAnsi"/>
          <w:i/>
          <w:sz w:val="22"/>
          <w:szCs w:val="22"/>
        </w:rPr>
        <w:t>Art. 21. É nulo de pleno direito:          </w:t>
      </w:r>
      <w:hyperlink r:id="rId9" w:anchor="art7" w:history="1">
        <w:r w:rsidRPr="002D4D61">
          <w:rPr>
            <w:rFonts w:asciiTheme="minorHAnsi" w:hAnsiTheme="minorHAnsi" w:cstheme="minorHAnsi"/>
            <w:i/>
            <w:sz w:val="22"/>
            <w:szCs w:val="22"/>
          </w:rPr>
          <w:t>(Redação dada pela Lei Complementar nº 173, de 2020)</w:t>
        </w:r>
      </w:hyperlink>
    </w:p>
    <w:p w:rsidR="002D4D61" w:rsidRPr="002D4D61" w:rsidP="0042514B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D4D61">
        <w:rPr>
          <w:rFonts w:asciiTheme="minorHAnsi" w:hAnsiTheme="minorHAnsi" w:cstheme="minorHAnsi"/>
          <w:i/>
          <w:sz w:val="22"/>
          <w:szCs w:val="22"/>
        </w:rPr>
        <w:t>(...)</w:t>
      </w:r>
    </w:p>
    <w:p w:rsidR="002D4D61" w:rsidP="0042514B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D4D61">
        <w:rPr>
          <w:rFonts w:asciiTheme="minorHAnsi" w:hAnsiTheme="minorHAnsi" w:cstheme="minorHAnsi"/>
          <w:i/>
          <w:sz w:val="22"/>
          <w:szCs w:val="22"/>
        </w:rPr>
        <w:t>II - o ato de que resulte aumento da despesa com pessoal nos 180 (cento e oitenta) dias anteriores ao final do mandato do titular de Poder ou órgão referido no art. 20;       </w:t>
      </w:r>
      <w:hyperlink r:id="rId9" w:anchor="art7" w:history="1">
        <w:r w:rsidRPr="002D4D61">
          <w:rPr>
            <w:rFonts w:asciiTheme="minorHAnsi" w:hAnsiTheme="minorHAnsi" w:cstheme="minorHAnsi"/>
            <w:i/>
            <w:sz w:val="22"/>
            <w:szCs w:val="22"/>
          </w:rPr>
          <w:t>(Redação dada pela Lei Complementar nº 173, de 2020)</w:t>
        </w:r>
      </w:hyperlink>
      <w:r w:rsidRPr="002D4D61">
        <w:rPr>
          <w:rFonts w:asciiTheme="minorHAnsi" w:hAnsiTheme="minorHAnsi" w:cstheme="minorHAnsi"/>
          <w:i/>
          <w:sz w:val="22"/>
          <w:szCs w:val="22"/>
        </w:rPr>
        <w:t> </w:t>
      </w:r>
      <w:r w:rsidRPr="002D4D61">
        <w:rPr>
          <w:rFonts w:asciiTheme="minorHAnsi" w:hAnsiTheme="minorHAnsi" w:cstheme="minorHAnsi"/>
          <w:i/>
          <w:sz w:val="22"/>
          <w:szCs w:val="22"/>
        </w:rPr>
        <w:t>  </w:t>
      </w:r>
    </w:p>
    <w:p w:rsidR="002D4D61" w:rsidRPr="002D4D61" w:rsidP="0042514B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2D4D61" w:rsidP="0042514B">
      <w:pPr>
        <w:pStyle w:val="BodyText"/>
        <w:ind w:left="2268"/>
        <w:jc w:val="both"/>
        <w:rPr>
          <w:rFonts w:asciiTheme="minorHAnsi" w:hAnsiTheme="minorHAnsi" w:cstheme="minorHAnsi"/>
          <w:i/>
          <w:szCs w:val="24"/>
        </w:rPr>
      </w:pPr>
      <w:r w:rsidRPr="002D4D61">
        <w:rPr>
          <w:rFonts w:asciiTheme="minorHAnsi" w:hAnsiTheme="minorHAnsi" w:cstheme="minorHAnsi"/>
          <w:i/>
          <w:szCs w:val="24"/>
        </w:rPr>
        <w:t> </w:t>
      </w:r>
    </w:p>
    <w:p w:rsidR="005F669D" w:rsidRPr="002D4D61" w:rsidP="0042514B">
      <w:pPr>
        <w:pStyle w:val="BodyText"/>
        <w:ind w:left="2268"/>
        <w:jc w:val="both"/>
        <w:rPr>
          <w:rFonts w:asciiTheme="minorHAnsi" w:hAnsiTheme="minorHAnsi" w:cstheme="minorHAnsi"/>
          <w:i/>
          <w:szCs w:val="24"/>
        </w:rPr>
      </w:pPr>
      <w:bookmarkStart w:id="18" w:name="_GoBack"/>
      <w:bookmarkEnd w:id="18"/>
    </w:p>
    <w:p w:rsidR="004A2620" w:rsidP="0042514B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Desta feita</w:t>
      </w:r>
      <w:r w:rsidRPr="00FD4C9B" w:rsidR="00DA01C5">
        <w:rPr>
          <w:rFonts w:asciiTheme="minorHAnsi" w:hAnsiTheme="minorHAnsi" w:cstheme="minorHAnsi"/>
          <w:szCs w:val="24"/>
        </w:rPr>
        <w:t xml:space="preserve">, </w:t>
      </w:r>
      <w:r w:rsidR="004908F5">
        <w:rPr>
          <w:rFonts w:asciiTheme="minorHAnsi" w:hAnsiTheme="minorHAnsi" w:cstheme="minorHAnsi"/>
          <w:szCs w:val="24"/>
        </w:rPr>
        <w:t xml:space="preserve">cumpre observar </w:t>
      </w:r>
      <w:r w:rsidRPr="00FD4C9B" w:rsidR="00DA01C5">
        <w:rPr>
          <w:rFonts w:asciiTheme="minorHAnsi" w:hAnsiTheme="minorHAnsi" w:cstheme="minorHAnsi"/>
          <w:szCs w:val="24"/>
        </w:rPr>
        <w:t xml:space="preserve">que a proposição </w:t>
      </w:r>
      <w:r w:rsidRPr="00FD4C9B" w:rsidR="00FD4C9B">
        <w:rPr>
          <w:rFonts w:asciiTheme="minorHAnsi" w:hAnsiTheme="minorHAnsi" w:cstheme="minorHAnsi"/>
          <w:b/>
          <w:szCs w:val="24"/>
        </w:rPr>
        <w:t>não</w:t>
      </w:r>
      <w:r w:rsidRPr="00FD4C9B" w:rsidR="00FD4C9B">
        <w:rPr>
          <w:rFonts w:asciiTheme="minorHAnsi" w:hAnsiTheme="minorHAnsi" w:cstheme="minorHAnsi"/>
          <w:szCs w:val="24"/>
        </w:rPr>
        <w:t xml:space="preserve"> </w:t>
      </w:r>
      <w:r w:rsidRPr="00FD4C9B" w:rsidR="00DA01C5">
        <w:rPr>
          <w:rFonts w:asciiTheme="minorHAnsi" w:hAnsiTheme="minorHAnsi" w:cstheme="minorHAnsi"/>
          <w:szCs w:val="24"/>
        </w:rPr>
        <w:t>se enco</w:t>
      </w:r>
      <w:r w:rsidRPr="00FD4C9B" w:rsidR="00583AAC">
        <w:rPr>
          <w:rFonts w:asciiTheme="minorHAnsi" w:hAnsiTheme="minorHAnsi" w:cstheme="minorHAnsi"/>
          <w:szCs w:val="24"/>
        </w:rPr>
        <w:t xml:space="preserve">ntra </w:t>
      </w:r>
      <w:r w:rsidR="004908F5">
        <w:rPr>
          <w:rFonts w:asciiTheme="minorHAnsi" w:hAnsiTheme="minorHAnsi" w:cstheme="minorHAnsi"/>
          <w:szCs w:val="24"/>
        </w:rPr>
        <w:t>acompanhada d</w:t>
      </w:r>
      <w:r w:rsidRPr="00FD4C9B" w:rsidR="00DA01C5">
        <w:rPr>
          <w:rFonts w:asciiTheme="minorHAnsi" w:hAnsiTheme="minorHAnsi" w:cstheme="minorHAnsi"/>
          <w:szCs w:val="24"/>
        </w:rPr>
        <w:t>a estimativa de impacto orçamentário-financeiro</w:t>
      </w:r>
      <w:r w:rsidR="002D4D61">
        <w:rPr>
          <w:rFonts w:asciiTheme="minorHAnsi" w:hAnsiTheme="minorHAnsi" w:cstheme="minorHAnsi"/>
          <w:szCs w:val="24"/>
        </w:rPr>
        <w:t xml:space="preserve"> e</w:t>
      </w:r>
      <w:r w:rsidRPr="00FD4C9B" w:rsidR="002D4D61">
        <w:rPr>
          <w:rFonts w:asciiTheme="minorHAnsi" w:hAnsiTheme="minorHAnsi" w:cstheme="minorHAnsi"/>
          <w:szCs w:val="24"/>
        </w:rPr>
        <w:t xml:space="preserve"> declaração do ordenador de despesa</w:t>
      </w:r>
      <w:r w:rsidR="002D4D61">
        <w:rPr>
          <w:rFonts w:asciiTheme="minorHAnsi" w:hAnsiTheme="minorHAnsi" w:cstheme="minorHAnsi"/>
          <w:szCs w:val="24"/>
        </w:rPr>
        <w:t>,</w:t>
      </w:r>
      <w:r w:rsidR="009637A2">
        <w:rPr>
          <w:rFonts w:asciiTheme="minorHAnsi" w:hAnsiTheme="minorHAnsi" w:cstheme="minorHAnsi"/>
          <w:szCs w:val="24"/>
        </w:rPr>
        <w:t xml:space="preserve"> bem como da</w:t>
      </w:r>
      <w:r w:rsidRPr="00FD4C9B" w:rsidR="00583AAC">
        <w:rPr>
          <w:rFonts w:asciiTheme="minorHAnsi" w:hAnsiTheme="minorHAnsi" w:cstheme="minorHAnsi"/>
          <w:szCs w:val="24"/>
        </w:rPr>
        <w:t xml:space="preserve"> avaliação atuarial</w:t>
      </w:r>
      <w:r w:rsidR="002D4D61">
        <w:rPr>
          <w:rFonts w:asciiTheme="minorHAnsi" w:hAnsiTheme="minorHAnsi" w:cstheme="minorHAnsi"/>
          <w:szCs w:val="24"/>
        </w:rPr>
        <w:t xml:space="preserve"> e</w:t>
      </w:r>
      <w:r w:rsidR="009637A2">
        <w:rPr>
          <w:rFonts w:asciiTheme="minorHAnsi" w:hAnsiTheme="minorHAnsi" w:cstheme="minorHAnsi"/>
          <w:szCs w:val="24"/>
        </w:rPr>
        <w:t xml:space="preserve"> da</w:t>
      </w:r>
      <w:r w:rsidR="002D4D61">
        <w:rPr>
          <w:rFonts w:asciiTheme="minorHAnsi" w:hAnsiTheme="minorHAnsi" w:cstheme="minorHAnsi"/>
          <w:szCs w:val="24"/>
        </w:rPr>
        <w:t xml:space="preserve"> demonstração de que não haverá aumento de despesa nos últimos 180 (cento e oitenta) dias de mandato, ressalta-se</w:t>
      </w:r>
      <w:r w:rsidRPr="00FD4C9B" w:rsidR="00317D1C">
        <w:rPr>
          <w:rFonts w:asciiTheme="minorHAnsi" w:hAnsiTheme="minorHAnsi" w:cstheme="minorHAnsi"/>
          <w:szCs w:val="24"/>
        </w:rPr>
        <w:t xml:space="preserve"> </w:t>
      </w:r>
      <w:r w:rsidR="002D4D61">
        <w:rPr>
          <w:rFonts w:asciiTheme="minorHAnsi" w:hAnsiTheme="minorHAnsi" w:cstheme="minorHAnsi"/>
          <w:szCs w:val="24"/>
        </w:rPr>
        <w:t>que a análise do</w:t>
      </w:r>
      <w:r w:rsidRPr="00FD4C9B" w:rsidR="002D4D61">
        <w:rPr>
          <w:rFonts w:asciiTheme="minorHAnsi" w:hAnsiTheme="minorHAnsi" w:cstheme="minorHAnsi"/>
          <w:szCs w:val="24"/>
        </w:rPr>
        <w:t>s aspectos orçamentários, financeiros e contábeis incumbe à Comissão de Finanças e Orçamento.</w:t>
      </w:r>
      <w:r>
        <w:rPr>
          <w:rFonts w:asciiTheme="minorHAnsi" w:hAnsiTheme="minorHAnsi" w:cstheme="minorHAnsi"/>
          <w:szCs w:val="24"/>
        </w:rPr>
        <w:t xml:space="preserve"> Nesse ponto, insta registrar que consta do processo legislativo o Oficio nº70/2024 juntado posteriormente ao envio do projeto de lei em análise a esta Procuradoria. No referido documento, observa-se manifestação</w:t>
      </w:r>
      <w:r w:rsidR="00C75111">
        <w:rPr>
          <w:rFonts w:asciiTheme="minorHAnsi" w:hAnsiTheme="minorHAnsi" w:cstheme="minorHAnsi"/>
          <w:szCs w:val="24"/>
        </w:rPr>
        <w:t xml:space="preserve"> do Departamento de Finanças e Planejamento da Secretaria da Fazenda Municipal, em que é possível extrair alinhamento com o posicionamento adotado inicialmente pela FIA de que não há impacto orçamentário-financeiro, sem, contudo, comprovação efetiva dessa ausência. </w:t>
      </w:r>
    </w:p>
    <w:p w:rsidR="001900C3" w:rsidRPr="00AE7B73" w:rsidP="0042514B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Quanto</w:t>
      </w:r>
      <w:r w:rsidRPr="00AE7B73">
        <w:rPr>
          <w:rFonts w:asciiTheme="minorHAnsi" w:hAnsiTheme="minorHAnsi" w:cstheme="minorHAnsi"/>
          <w:szCs w:val="24"/>
        </w:rPr>
        <w:t xml:space="preserve"> ao aspecto gramatical e lógico o projeto atende aos preceitos da Lei Complementar nº 95 de 1998 que dispõe sobre a elaboração, redação, </w:t>
      </w:r>
      <w:r w:rsidRPr="00AE7B73">
        <w:rPr>
          <w:rFonts w:asciiTheme="minorHAnsi" w:hAnsiTheme="minorHAnsi" w:cstheme="minorHAnsi"/>
          <w:szCs w:val="24"/>
        </w:rPr>
        <w:t>alteração</w:t>
      </w:r>
      <w:r w:rsidRPr="00AE7B73">
        <w:rPr>
          <w:rFonts w:asciiTheme="minorHAnsi" w:hAnsiTheme="minorHAnsi" w:cstheme="minorHAnsi"/>
          <w:szCs w:val="24"/>
        </w:rPr>
        <w:t xml:space="preserve"> </w:t>
      </w:r>
      <w:r w:rsidRPr="00AE7B73">
        <w:rPr>
          <w:rFonts w:asciiTheme="minorHAnsi" w:hAnsiTheme="minorHAnsi" w:cstheme="minorHAnsi"/>
          <w:szCs w:val="24"/>
        </w:rPr>
        <w:t>e</w:t>
      </w:r>
      <w:r w:rsidRPr="00AE7B73">
        <w:rPr>
          <w:rFonts w:asciiTheme="minorHAnsi" w:hAnsiTheme="minorHAnsi" w:cstheme="minorHAnsi"/>
          <w:szCs w:val="24"/>
        </w:rPr>
        <w:t xml:space="preserve"> consolidação das leis, conforme determina o parágrafo único do art. 59 da Constituição Federal.</w:t>
      </w:r>
    </w:p>
    <w:p w:rsidR="00C911DC" w:rsidRPr="004362ED" w:rsidP="0042514B">
      <w:pPr>
        <w:pStyle w:val="corpodapea"/>
        <w:spacing w:before="0" w:beforeAutospacing="0" w:after="120" w:afterAutospacing="0" w:line="360" w:lineRule="auto"/>
        <w:ind w:firstLine="1701"/>
        <w:jc w:val="both"/>
        <w:rPr>
          <w:rFonts w:ascii="Calibri" w:hAnsi="Calibri" w:cs="Calibri"/>
          <w:color w:val="FF0000"/>
        </w:rPr>
      </w:pPr>
      <w:r w:rsidRPr="00A15A15">
        <w:rPr>
          <w:rFonts w:ascii="Calibri" w:hAnsi="Calibri" w:cs="Calibri"/>
          <w:i/>
        </w:rPr>
        <w:t>Ex</w:t>
      </w:r>
      <w:r w:rsidRPr="00A15A15">
        <w:rPr>
          <w:rFonts w:ascii="Calibri" w:hAnsi="Calibri" w:cs="Calibri"/>
          <w:i/>
        </w:rPr>
        <w:t xml:space="preserve"> positis</w:t>
      </w:r>
      <w:r w:rsidRPr="00A15A15" w:rsidR="00100254">
        <w:rPr>
          <w:rFonts w:ascii="Calibri" w:hAnsi="Calibri" w:cs="Calibri"/>
        </w:rPr>
        <w:t xml:space="preserve">, </w:t>
      </w:r>
      <w:r w:rsidRPr="0055657F" w:rsidR="0005469C">
        <w:rPr>
          <w:rFonts w:ascii="Calibri" w:hAnsi="Calibri" w:cs="Calibri"/>
        </w:rPr>
        <w:t>observadas</w:t>
      </w:r>
      <w:r w:rsidRPr="0055657F" w:rsidR="0045739B">
        <w:rPr>
          <w:rFonts w:ascii="Calibri" w:hAnsi="Calibri" w:cs="Calibri"/>
        </w:rPr>
        <w:t xml:space="preserve"> as ressalvas</w:t>
      </w:r>
      <w:r w:rsidR="00A477E0">
        <w:rPr>
          <w:rFonts w:ascii="Calibri" w:hAnsi="Calibri" w:cs="Calibri"/>
        </w:rPr>
        <w:t xml:space="preserve"> acima</w:t>
      </w:r>
      <w:r w:rsidRPr="0055657F" w:rsidR="00BE185D">
        <w:rPr>
          <w:rFonts w:ascii="Calibri" w:hAnsi="Calibri" w:cs="Calibri"/>
        </w:rPr>
        <w:t xml:space="preserve"> o </w:t>
      </w:r>
      <w:r w:rsidRPr="00A15A15" w:rsidR="00BE185D">
        <w:rPr>
          <w:rFonts w:ascii="Calibri" w:hAnsi="Calibri" w:cs="Calibri"/>
        </w:rPr>
        <w:t>projeto poderá reunir condições de constitucionalidade e legalidade</w:t>
      </w:r>
      <w:r w:rsidRPr="00A15A15" w:rsidR="00606DAE">
        <w:rPr>
          <w:rFonts w:ascii="Calibri" w:hAnsi="Calibri" w:cs="Calibri"/>
        </w:rPr>
        <w:t>.</w:t>
      </w:r>
      <w:r w:rsidRPr="00A15A15" w:rsidR="00D36612">
        <w:rPr>
          <w:rFonts w:ascii="Calibri" w:hAnsi="Calibri" w:cs="Calibri"/>
        </w:rPr>
        <w:t xml:space="preserve"> </w:t>
      </w:r>
      <w:r w:rsidRPr="00A15A15" w:rsidR="00606DAE">
        <w:rPr>
          <w:rFonts w:eastAsia="Calibri" w:asciiTheme="minorHAnsi" w:hAnsiTheme="minorHAnsi" w:cstheme="minorHAnsi"/>
        </w:rPr>
        <w:t xml:space="preserve">No exame do </w:t>
      </w:r>
      <w:r w:rsidRPr="00A15A15" w:rsidR="0061442B">
        <w:rPr>
          <w:rFonts w:eastAsia="Calibri" w:asciiTheme="minorHAnsi" w:hAnsiTheme="minorHAnsi" w:cstheme="minorHAnsi"/>
        </w:rPr>
        <w:t xml:space="preserve">mérito, o Plenário </w:t>
      </w:r>
      <w:r w:rsidRPr="00A15A15" w:rsidR="00606DAE">
        <w:rPr>
          <w:rFonts w:eastAsia="Calibri" w:asciiTheme="minorHAnsi" w:hAnsiTheme="minorHAnsi" w:cstheme="minorHAnsi"/>
        </w:rPr>
        <w:t>é soberano.</w:t>
      </w:r>
    </w:p>
    <w:p w:rsidR="001900C3" w:rsidRPr="00A46AF0" w:rsidP="0042514B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A46AF0">
        <w:rPr>
          <w:rFonts w:cstheme="minorHAnsi"/>
          <w:sz w:val="24"/>
          <w:szCs w:val="24"/>
        </w:rPr>
        <w:t>É o parecer</w:t>
      </w:r>
      <w:r w:rsidRPr="00A46AF0" w:rsidR="00606DAE">
        <w:rPr>
          <w:rFonts w:cstheme="minorHAnsi"/>
          <w:sz w:val="24"/>
          <w:szCs w:val="24"/>
        </w:rPr>
        <w:t>, a superior consideração.</w:t>
      </w:r>
    </w:p>
    <w:p w:rsidR="00623AD7" w:rsidRPr="00A46AF0" w:rsidP="0042514B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0F0072">
        <w:rPr>
          <w:rFonts w:cstheme="minorHAnsi"/>
          <w:sz w:val="24"/>
          <w:szCs w:val="24"/>
        </w:rPr>
        <w:t>Procuradoria</w:t>
      </w:r>
      <w:r w:rsidRPr="000F0072" w:rsidR="0026619A">
        <w:rPr>
          <w:rFonts w:cstheme="minorHAnsi"/>
          <w:sz w:val="24"/>
          <w:szCs w:val="24"/>
        </w:rPr>
        <w:t xml:space="preserve">, </w:t>
      </w:r>
      <w:r w:rsidR="004908F5">
        <w:rPr>
          <w:rFonts w:cstheme="minorHAnsi"/>
          <w:sz w:val="24"/>
          <w:szCs w:val="24"/>
        </w:rPr>
        <w:t>05</w:t>
      </w:r>
      <w:r w:rsidRPr="000F0072" w:rsidR="007827C1">
        <w:rPr>
          <w:rFonts w:cstheme="minorHAnsi"/>
          <w:sz w:val="24"/>
          <w:szCs w:val="24"/>
        </w:rPr>
        <w:t xml:space="preserve"> </w:t>
      </w:r>
      <w:r w:rsidRPr="000F0072">
        <w:rPr>
          <w:rFonts w:cstheme="minorHAnsi"/>
          <w:sz w:val="24"/>
          <w:szCs w:val="24"/>
        </w:rPr>
        <w:t xml:space="preserve">de </w:t>
      </w:r>
      <w:r w:rsidR="004908F5">
        <w:rPr>
          <w:rFonts w:cstheme="minorHAnsi"/>
          <w:sz w:val="24"/>
          <w:szCs w:val="24"/>
        </w:rPr>
        <w:t>junho</w:t>
      </w:r>
      <w:r w:rsidRPr="000F0072" w:rsidR="007827C1">
        <w:rPr>
          <w:rFonts w:cstheme="minorHAnsi"/>
          <w:sz w:val="24"/>
          <w:szCs w:val="24"/>
        </w:rPr>
        <w:t xml:space="preserve"> </w:t>
      </w:r>
      <w:r w:rsidRPr="00A46AF0">
        <w:rPr>
          <w:rFonts w:cstheme="minorHAnsi"/>
          <w:sz w:val="24"/>
          <w:szCs w:val="24"/>
        </w:rPr>
        <w:t>de 20</w:t>
      </w:r>
      <w:r w:rsidRPr="00A46AF0" w:rsidR="00F66849">
        <w:rPr>
          <w:rFonts w:cstheme="minorHAnsi"/>
          <w:sz w:val="24"/>
          <w:szCs w:val="24"/>
        </w:rPr>
        <w:t>2</w:t>
      </w:r>
      <w:r w:rsidRPr="00A46AF0" w:rsidR="007827C1">
        <w:rPr>
          <w:rFonts w:cstheme="minorHAnsi"/>
          <w:sz w:val="24"/>
          <w:szCs w:val="24"/>
        </w:rPr>
        <w:t>4</w:t>
      </w:r>
      <w:r w:rsidRPr="00A46AF0">
        <w:rPr>
          <w:rFonts w:cstheme="minorHAnsi"/>
          <w:sz w:val="24"/>
          <w:szCs w:val="24"/>
        </w:rPr>
        <w:t>.</w:t>
      </w:r>
    </w:p>
    <w:p w:rsidR="00604774" w:rsidRPr="00A46AF0" w:rsidP="00604774">
      <w:pPr>
        <w:tabs>
          <w:tab w:val="left" w:pos="288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604774" w:rsidRPr="00A46AF0" w:rsidP="00604774">
      <w:pPr>
        <w:spacing w:after="0" w:line="240" w:lineRule="auto"/>
        <w:rPr>
          <w:rFonts w:cstheme="minorHAnsi"/>
          <w:b/>
          <w:sz w:val="24"/>
          <w:szCs w:val="24"/>
        </w:rPr>
      </w:pPr>
      <w:r w:rsidRPr="00A46AF0">
        <w:rPr>
          <w:rFonts w:cstheme="minorHAnsi"/>
          <w:b/>
          <w:sz w:val="24"/>
          <w:szCs w:val="24"/>
        </w:rPr>
        <w:t>Rosemeire de Souza Cardoso Barbosa                                 Tiago Fadel Malghosian</w:t>
      </w:r>
    </w:p>
    <w:p w:rsidR="00604774" w:rsidRPr="00A46AF0" w:rsidP="0060477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46AF0">
        <w:rPr>
          <w:rFonts w:cstheme="minorHAnsi"/>
          <w:b/>
          <w:sz w:val="24"/>
          <w:szCs w:val="24"/>
        </w:rPr>
        <w:t>Procuradora - OAB/SP 308.298                               Procurador - OAB/SP 319.159</w:t>
      </w:r>
    </w:p>
    <w:p w:rsidR="00203CA1" w:rsidRPr="00A46AF0" w:rsidP="0042514B">
      <w:pPr>
        <w:pStyle w:val="BodyText"/>
        <w:spacing w:after="0"/>
        <w:jc w:val="center"/>
      </w:pPr>
      <w:r w:rsidRPr="00A46AF0">
        <w:rPr>
          <w:rFonts w:asciiTheme="minorHAnsi" w:hAnsiTheme="minorHAnsi" w:cstheme="minorHAnsi"/>
          <w:b/>
          <w:szCs w:val="24"/>
        </w:rPr>
        <w:t>Assinatura eletrônica                                              Assinatura eletrônica</w:t>
      </w:r>
    </w:p>
    <w:sectPr w:rsidSect="00106ADB">
      <w:headerReference w:type="default" r:id="rId10"/>
      <w:foot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4A2620" w:rsidP="00CF4A3C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4A2620" w:rsidP="003C2F5F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Ângelo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4A2620" w:rsidP="003C2F5F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4A2620" w:rsidP="003C2F5F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5F669D">
              <w:rPr>
                <w:b/>
                <w:bCs/>
                <w:noProof/>
                <w:sz w:val="18"/>
                <w:szCs w:val="18"/>
              </w:rPr>
              <w:t>11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5F669D">
              <w:rPr>
                <w:b/>
                <w:bCs/>
                <w:noProof/>
                <w:sz w:val="18"/>
                <w:szCs w:val="18"/>
              </w:rPr>
              <w:t>12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A2620">
      <w:pPr>
        <w:spacing w:after="0" w:line="240" w:lineRule="auto"/>
      </w:pPr>
      <w:r>
        <w:separator/>
      </w:r>
    </w:p>
  </w:footnote>
  <w:footnote w:type="continuationSeparator" w:id="1">
    <w:p w:rsidR="004A2620">
      <w:pPr>
        <w:spacing w:after="0" w:line="240" w:lineRule="auto"/>
      </w:pPr>
      <w:r>
        <w:continuationSeparator/>
      </w:r>
    </w:p>
  </w:footnote>
  <w:footnote w:id="2">
    <w:p w:rsidR="004A2620" w:rsidRPr="00F154E2" w:rsidP="001B2556">
      <w:pPr>
        <w:pStyle w:val="FootnoteText"/>
        <w:jc w:val="both"/>
        <w:rPr>
          <w:sz w:val="18"/>
          <w:szCs w:val="18"/>
        </w:rPr>
      </w:pPr>
      <w:r w:rsidRPr="00F154E2">
        <w:rPr>
          <w:rStyle w:val="FootnoteReference"/>
          <w:sz w:val="18"/>
          <w:szCs w:val="18"/>
        </w:rPr>
        <w:footnoteRef/>
      </w:r>
      <w:r w:rsidRPr="00F154E2">
        <w:rPr>
          <w:sz w:val="18"/>
          <w:szCs w:val="18"/>
        </w:rPr>
        <w:t xml:space="preserve"> “</w:t>
      </w:r>
      <w:r w:rsidRPr="00F154E2">
        <w:rPr>
          <w:i/>
          <w:iCs/>
          <w:sz w:val="18"/>
          <w:szCs w:val="18"/>
        </w:rPr>
        <w:t>Art. 38. Compete à Comissão de Justiça e Redação manifestar-se sobre todos os assuntos entregues</w:t>
      </w:r>
      <w:r>
        <w:rPr>
          <w:i/>
          <w:iCs/>
          <w:sz w:val="18"/>
          <w:szCs w:val="18"/>
        </w:rPr>
        <w:t xml:space="preserve"> </w:t>
      </w:r>
      <w:r w:rsidRPr="00F154E2">
        <w:rPr>
          <w:i/>
          <w:iCs/>
          <w:sz w:val="18"/>
          <w:szCs w:val="18"/>
        </w:rPr>
        <w:t>à sua apreciação, quanto ao seu aspecto constitucional, legal ou jurídico e quanto ao seu aspecto gramatical e lógico, quando solicitado o seu parecer por imposição regimental ou deliberação de um terço dos Vereadores da Câmara. § 1º É</w:t>
      </w:r>
      <w:r w:rsidRPr="00F154E2">
        <w:rPr>
          <w:i/>
          <w:iCs/>
          <w:sz w:val="18"/>
          <w:szCs w:val="18"/>
        </w:rPr>
        <w:t xml:space="preserve">  </w:t>
      </w:r>
      <w:r w:rsidRPr="00F154E2">
        <w:rPr>
          <w:i/>
          <w:iCs/>
          <w:sz w:val="18"/>
          <w:szCs w:val="18"/>
        </w:rPr>
        <w:t>obrigatória  a  audiência  da  Comissão  sobre  todos  os  projetos  que  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</w:t>
      </w:r>
      <w:r w:rsidRPr="00F154E2">
        <w:rPr>
          <w:sz w:val="18"/>
          <w:szCs w:val="18"/>
        </w:rPr>
        <w:t>.”</w:t>
      </w:r>
    </w:p>
  </w:footnote>
  <w:footnote w:id="3">
    <w:p w:rsidR="004A2620" w:rsidP="00E048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048B9">
        <w:rPr>
          <w:rFonts w:cstheme="minorHAnsi"/>
          <w:i/>
        </w:rPr>
        <w:t xml:space="preserve">Nesse sentido é o entendimento do Supremo Tribunal Federal: </w:t>
      </w:r>
      <w:r>
        <w:rPr>
          <w:rFonts w:cstheme="minorHAnsi"/>
          <w:i/>
        </w:rPr>
        <w:t>“</w:t>
      </w:r>
      <w:r w:rsidRPr="006405CE">
        <w:rPr>
          <w:rFonts w:cstheme="minorHAnsi"/>
          <w:i/>
        </w:rPr>
        <w:t xml:space="preserve">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6405CE">
        <w:rPr>
          <w:rFonts w:cstheme="minorHAnsi"/>
          <w:i/>
        </w:rPr>
        <w:t>ex</w:t>
      </w:r>
      <w:r>
        <w:rPr>
          <w:rFonts w:cstheme="minorHAnsi"/>
          <w:i/>
        </w:rPr>
        <w:t xml:space="preserve"> </w:t>
      </w:r>
      <w:r w:rsidRPr="006405CE">
        <w:rPr>
          <w:rFonts w:cstheme="minorHAnsi"/>
          <w:i/>
        </w:rPr>
        <w:t>oficio</w:t>
      </w:r>
      <w:r w:rsidRPr="006405CE">
        <w:rPr>
          <w:rFonts w:cstheme="minorHAnsi"/>
          <w:i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2620" w:rsidP="003C2F5F">
    <w:pPr>
      <w:pStyle w:val="Header"/>
      <w:jc w:val="center"/>
      <w:rPr>
        <w:b/>
        <w:sz w:val="26"/>
        <w:lang w:val="pt-PT"/>
      </w:rPr>
    </w:pPr>
  </w:p>
  <w:p w:rsidR="004A2620" w:rsidP="003C2F5F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620" w:rsidP="003C2F5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377376498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31671447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D746A8" w:rsidP="003C2F5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6425190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4A2620" w:rsidP="003C2F5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A2620" w:rsidP="003C2F5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A2620" w:rsidP="003C2F5F">
    <w:pPr>
      <w:pStyle w:val="Header"/>
    </w:pPr>
  </w:p>
  <w:p w:rsidR="004A2620" w:rsidP="003C2F5F">
    <w:pPr>
      <w:pStyle w:val="Header"/>
    </w:pPr>
  </w:p>
  <w:p w:rsidR="004A2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3C3F22"/>
    <w:multiLevelType w:val="hybridMultilevel"/>
    <w:tmpl w:val="47B08C6C"/>
    <w:lvl w:ilvl="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5A541183"/>
    <w:multiLevelType w:val="hybridMultilevel"/>
    <w:tmpl w:val="353E09F0"/>
    <w:lvl w:ilvl="0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0DD6"/>
    <w:rsid w:val="00004354"/>
    <w:rsid w:val="00006589"/>
    <w:rsid w:val="000104A3"/>
    <w:rsid w:val="000123E0"/>
    <w:rsid w:val="00015CD7"/>
    <w:rsid w:val="000238EF"/>
    <w:rsid w:val="000473A6"/>
    <w:rsid w:val="00047E2E"/>
    <w:rsid w:val="00051FC7"/>
    <w:rsid w:val="00053428"/>
    <w:rsid w:val="00053466"/>
    <w:rsid w:val="00054297"/>
    <w:rsid w:val="0005469C"/>
    <w:rsid w:val="00055A36"/>
    <w:rsid w:val="00055CC4"/>
    <w:rsid w:val="00055D2C"/>
    <w:rsid w:val="00057AD0"/>
    <w:rsid w:val="00060B2C"/>
    <w:rsid w:val="000639CF"/>
    <w:rsid w:val="0006637E"/>
    <w:rsid w:val="00066D8D"/>
    <w:rsid w:val="00067624"/>
    <w:rsid w:val="0007201B"/>
    <w:rsid w:val="00072E0F"/>
    <w:rsid w:val="000854D9"/>
    <w:rsid w:val="000863AF"/>
    <w:rsid w:val="00093998"/>
    <w:rsid w:val="00095B06"/>
    <w:rsid w:val="000A1978"/>
    <w:rsid w:val="000A2B7F"/>
    <w:rsid w:val="000A7266"/>
    <w:rsid w:val="000B17B5"/>
    <w:rsid w:val="000B34F9"/>
    <w:rsid w:val="000C070B"/>
    <w:rsid w:val="000C4719"/>
    <w:rsid w:val="000D62E2"/>
    <w:rsid w:val="000E0541"/>
    <w:rsid w:val="000E0DF9"/>
    <w:rsid w:val="000E24FC"/>
    <w:rsid w:val="000E337C"/>
    <w:rsid w:val="000F0072"/>
    <w:rsid w:val="000F53FD"/>
    <w:rsid w:val="000F7DF6"/>
    <w:rsid w:val="00100254"/>
    <w:rsid w:val="0010042C"/>
    <w:rsid w:val="00103ADD"/>
    <w:rsid w:val="00106ADB"/>
    <w:rsid w:val="0011226D"/>
    <w:rsid w:val="001150B0"/>
    <w:rsid w:val="00116058"/>
    <w:rsid w:val="001166FA"/>
    <w:rsid w:val="001215B4"/>
    <w:rsid w:val="0012397D"/>
    <w:rsid w:val="0012754F"/>
    <w:rsid w:val="00130A14"/>
    <w:rsid w:val="00133205"/>
    <w:rsid w:val="00133B04"/>
    <w:rsid w:val="00133C76"/>
    <w:rsid w:val="001407ED"/>
    <w:rsid w:val="00146235"/>
    <w:rsid w:val="00150E74"/>
    <w:rsid w:val="00153313"/>
    <w:rsid w:val="001539FC"/>
    <w:rsid w:val="00166B9A"/>
    <w:rsid w:val="00166D4B"/>
    <w:rsid w:val="00171311"/>
    <w:rsid w:val="00175485"/>
    <w:rsid w:val="001774F7"/>
    <w:rsid w:val="00186563"/>
    <w:rsid w:val="00186BFA"/>
    <w:rsid w:val="001900C3"/>
    <w:rsid w:val="00190A5F"/>
    <w:rsid w:val="001B2556"/>
    <w:rsid w:val="001B380C"/>
    <w:rsid w:val="001B39B0"/>
    <w:rsid w:val="001C4948"/>
    <w:rsid w:val="001D010E"/>
    <w:rsid w:val="001E51A9"/>
    <w:rsid w:val="001F1A60"/>
    <w:rsid w:val="001F3BE9"/>
    <w:rsid w:val="002028C4"/>
    <w:rsid w:val="00203CA1"/>
    <w:rsid w:val="00205944"/>
    <w:rsid w:val="00205E1D"/>
    <w:rsid w:val="00207DF5"/>
    <w:rsid w:val="00213957"/>
    <w:rsid w:val="0021588B"/>
    <w:rsid w:val="0021594C"/>
    <w:rsid w:val="0021665B"/>
    <w:rsid w:val="00220523"/>
    <w:rsid w:val="002239E2"/>
    <w:rsid w:val="00226636"/>
    <w:rsid w:val="00231CF9"/>
    <w:rsid w:val="002368A8"/>
    <w:rsid w:val="00236FCB"/>
    <w:rsid w:val="00253D01"/>
    <w:rsid w:val="00255609"/>
    <w:rsid w:val="002557C2"/>
    <w:rsid w:val="00256E21"/>
    <w:rsid w:val="00260899"/>
    <w:rsid w:val="00264F4E"/>
    <w:rsid w:val="0026619A"/>
    <w:rsid w:val="0026716F"/>
    <w:rsid w:val="00270161"/>
    <w:rsid w:val="00277FC6"/>
    <w:rsid w:val="00290799"/>
    <w:rsid w:val="0029742D"/>
    <w:rsid w:val="002A0294"/>
    <w:rsid w:val="002A0BF9"/>
    <w:rsid w:val="002B0918"/>
    <w:rsid w:val="002B1B24"/>
    <w:rsid w:val="002B3EF9"/>
    <w:rsid w:val="002B6DD7"/>
    <w:rsid w:val="002C144B"/>
    <w:rsid w:val="002C174B"/>
    <w:rsid w:val="002C4D6D"/>
    <w:rsid w:val="002C50FF"/>
    <w:rsid w:val="002D0400"/>
    <w:rsid w:val="002D1F88"/>
    <w:rsid w:val="002D41EC"/>
    <w:rsid w:val="002D4D61"/>
    <w:rsid w:val="002D6487"/>
    <w:rsid w:val="002E06DC"/>
    <w:rsid w:val="002E0B93"/>
    <w:rsid w:val="002E1150"/>
    <w:rsid w:val="002F1549"/>
    <w:rsid w:val="002F5795"/>
    <w:rsid w:val="002F70C1"/>
    <w:rsid w:val="00300025"/>
    <w:rsid w:val="003128C1"/>
    <w:rsid w:val="00313041"/>
    <w:rsid w:val="003132A3"/>
    <w:rsid w:val="003144F3"/>
    <w:rsid w:val="00317D1C"/>
    <w:rsid w:val="003210F0"/>
    <w:rsid w:val="00324F15"/>
    <w:rsid w:val="00325CCF"/>
    <w:rsid w:val="0033392B"/>
    <w:rsid w:val="003359E4"/>
    <w:rsid w:val="00350F60"/>
    <w:rsid w:val="0037518E"/>
    <w:rsid w:val="00377D3B"/>
    <w:rsid w:val="00380583"/>
    <w:rsid w:val="003856D7"/>
    <w:rsid w:val="00391CD8"/>
    <w:rsid w:val="003A2CF3"/>
    <w:rsid w:val="003A5BDC"/>
    <w:rsid w:val="003A6461"/>
    <w:rsid w:val="003B0076"/>
    <w:rsid w:val="003B4A9E"/>
    <w:rsid w:val="003B4ED0"/>
    <w:rsid w:val="003B55E5"/>
    <w:rsid w:val="003C2F5F"/>
    <w:rsid w:val="003C4DB0"/>
    <w:rsid w:val="003C6555"/>
    <w:rsid w:val="003D371E"/>
    <w:rsid w:val="003D3D50"/>
    <w:rsid w:val="003D6EE3"/>
    <w:rsid w:val="003E0BCD"/>
    <w:rsid w:val="003E371A"/>
    <w:rsid w:val="003F0920"/>
    <w:rsid w:val="003F610A"/>
    <w:rsid w:val="003F6ED2"/>
    <w:rsid w:val="0040409A"/>
    <w:rsid w:val="00405F0A"/>
    <w:rsid w:val="00407A33"/>
    <w:rsid w:val="004105AB"/>
    <w:rsid w:val="00415C7A"/>
    <w:rsid w:val="00417261"/>
    <w:rsid w:val="00417BC0"/>
    <w:rsid w:val="004247A0"/>
    <w:rsid w:val="0042514B"/>
    <w:rsid w:val="00427BE6"/>
    <w:rsid w:val="00427F0B"/>
    <w:rsid w:val="0043016F"/>
    <w:rsid w:val="00433A4C"/>
    <w:rsid w:val="004362ED"/>
    <w:rsid w:val="004427D4"/>
    <w:rsid w:val="0045236F"/>
    <w:rsid w:val="0045739B"/>
    <w:rsid w:val="00460D02"/>
    <w:rsid w:val="00461C3E"/>
    <w:rsid w:val="00465FE0"/>
    <w:rsid w:val="004706E1"/>
    <w:rsid w:val="004738DA"/>
    <w:rsid w:val="00477E5C"/>
    <w:rsid w:val="00483544"/>
    <w:rsid w:val="00487FAF"/>
    <w:rsid w:val="0049045A"/>
    <w:rsid w:val="004908F5"/>
    <w:rsid w:val="004921E1"/>
    <w:rsid w:val="004A2620"/>
    <w:rsid w:val="004A287A"/>
    <w:rsid w:val="004D6EED"/>
    <w:rsid w:val="004E19C8"/>
    <w:rsid w:val="005056F7"/>
    <w:rsid w:val="005101D9"/>
    <w:rsid w:val="00530134"/>
    <w:rsid w:val="005315BA"/>
    <w:rsid w:val="00531B48"/>
    <w:rsid w:val="00533C55"/>
    <w:rsid w:val="00541DF2"/>
    <w:rsid w:val="00543ECE"/>
    <w:rsid w:val="0054429B"/>
    <w:rsid w:val="00551549"/>
    <w:rsid w:val="00551B9D"/>
    <w:rsid w:val="00553A9B"/>
    <w:rsid w:val="00553C12"/>
    <w:rsid w:val="0055657F"/>
    <w:rsid w:val="005649C7"/>
    <w:rsid w:val="005660DC"/>
    <w:rsid w:val="00572C26"/>
    <w:rsid w:val="0058062A"/>
    <w:rsid w:val="00581C96"/>
    <w:rsid w:val="00582F11"/>
    <w:rsid w:val="00583AAC"/>
    <w:rsid w:val="00585C59"/>
    <w:rsid w:val="00591032"/>
    <w:rsid w:val="00593369"/>
    <w:rsid w:val="00596241"/>
    <w:rsid w:val="00597DEC"/>
    <w:rsid w:val="005A1CB4"/>
    <w:rsid w:val="005B66AE"/>
    <w:rsid w:val="005C097C"/>
    <w:rsid w:val="005C3000"/>
    <w:rsid w:val="005D32D8"/>
    <w:rsid w:val="005E0BB6"/>
    <w:rsid w:val="005E1AFB"/>
    <w:rsid w:val="005E2A7A"/>
    <w:rsid w:val="005F669D"/>
    <w:rsid w:val="005F696D"/>
    <w:rsid w:val="00604774"/>
    <w:rsid w:val="00606DAE"/>
    <w:rsid w:val="00613C31"/>
    <w:rsid w:val="0061442B"/>
    <w:rsid w:val="00614CF9"/>
    <w:rsid w:val="006173D7"/>
    <w:rsid w:val="00621DC7"/>
    <w:rsid w:val="00622640"/>
    <w:rsid w:val="00622D40"/>
    <w:rsid w:val="00623AD7"/>
    <w:rsid w:val="00625539"/>
    <w:rsid w:val="00625D82"/>
    <w:rsid w:val="00626BE1"/>
    <w:rsid w:val="0063663D"/>
    <w:rsid w:val="00636DF5"/>
    <w:rsid w:val="006405CE"/>
    <w:rsid w:val="00644ED3"/>
    <w:rsid w:val="006504F4"/>
    <w:rsid w:val="00650EA3"/>
    <w:rsid w:val="006538A9"/>
    <w:rsid w:val="0065692D"/>
    <w:rsid w:val="00660836"/>
    <w:rsid w:val="00660921"/>
    <w:rsid w:val="006652A9"/>
    <w:rsid w:val="006712A4"/>
    <w:rsid w:val="006753C3"/>
    <w:rsid w:val="0067562F"/>
    <w:rsid w:val="00685B1F"/>
    <w:rsid w:val="00686242"/>
    <w:rsid w:val="00687B41"/>
    <w:rsid w:val="006A10A0"/>
    <w:rsid w:val="006A1A17"/>
    <w:rsid w:val="006A5B5D"/>
    <w:rsid w:val="006B0996"/>
    <w:rsid w:val="006B1DD9"/>
    <w:rsid w:val="006C09C4"/>
    <w:rsid w:val="006D1203"/>
    <w:rsid w:val="006D2F36"/>
    <w:rsid w:val="006E00C4"/>
    <w:rsid w:val="006E069F"/>
    <w:rsid w:val="006E3BE4"/>
    <w:rsid w:val="006E43B0"/>
    <w:rsid w:val="006E4468"/>
    <w:rsid w:val="006E4F1C"/>
    <w:rsid w:val="006F0642"/>
    <w:rsid w:val="006F5D83"/>
    <w:rsid w:val="006F6EBB"/>
    <w:rsid w:val="0070570A"/>
    <w:rsid w:val="007111F6"/>
    <w:rsid w:val="0071405C"/>
    <w:rsid w:val="0072563D"/>
    <w:rsid w:val="007277F2"/>
    <w:rsid w:val="0073426E"/>
    <w:rsid w:val="00737B30"/>
    <w:rsid w:val="00740965"/>
    <w:rsid w:val="00742CBA"/>
    <w:rsid w:val="00743338"/>
    <w:rsid w:val="007445E7"/>
    <w:rsid w:val="007479A7"/>
    <w:rsid w:val="00753377"/>
    <w:rsid w:val="007711FB"/>
    <w:rsid w:val="00777A7B"/>
    <w:rsid w:val="0078268A"/>
    <w:rsid w:val="007827C1"/>
    <w:rsid w:val="0079319A"/>
    <w:rsid w:val="007979E0"/>
    <w:rsid w:val="007A3E43"/>
    <w:rsid w:val="007B6A5A"/>
    <w:rsid w:val="007B6D1D"/>
    <w:rsid w:val="007C31B1"/>
    <w:rsid w:val="007C7735"/>
    <w:rsid w:val="007D24E4"/>
    <w:rsid w:val="007D36E7"/>
    <w:rsid w:val="007D56D6"/>
    <w:rsid w:val="007D6467"/>
    <w:rsid w:val="007E1938"/>
    <w:rsid w:val="007E1F99"/>
    <w:rsid w:val="007E3525"/>
    <w:rsid w:val="007E4F2D"/>
    <w:rsid w:val="007E578D"/>
    <w:rsid w:val="007E684E"/>
    <w:rsid w:val="007E6D19"/>
    <w:rsid w:val="007E6E69"/>
    <w:rsid w:val="007F74E9"/>
    <w:rsid w:val="007F7923"/>
    <w:rsid w:val="00805484"/>
    <w:rsid w:val="00815A67"/>
    <w:rsid w:val="00815A68"/>
    <w:rsid w:val="0081713D"/>
    <w:rsid w:val="00824105"/>
    <w:rsid w:val="00833548"/>
    <w:rsid w:val="00840756"/>
    <w:rsid w:val="008439CC"/>
    <w:rsid w:val="00843AF6"/>
    <w:rsid w:val="00844F2A"/>
    <w:rsid w:val="0085120B"/>
    <w:rsid w:val="008549DB"/>
    <w:rsid w:val="00854DB0"/>
    <w:rsid w:val="00862797"/>
    <w:rsid w:val="00866252"/>
    <w:rsid w:val="00867CEC"/>
    <w:rsid w:val="00867EC0"/>
    <w:rsid w:val="008706BC"/>
    <w:rsid w:val="008743BF"/>
    <w:rsid w:val="00880E5C"/>
    <w:rsid w:val="008872A9"/>
    <w:rsid w:val="008973C1"/>
    <w:rsid w:val="008A49B2"/>
    <w:rsid w:val="008A7EDC"/>
    <w:rsid w:val="008B446B"/>
    <w:rsid w:val="008B6D80"/>
    <w:rsid w:val="008B6E2A"/>
    <w:rsid w:val="008C29F0"/>
    <w:rsid w:val="008C6F6B"/>
    <w:rsid w:val="008D48C2"/>
    <w:rsid w:val="008D545A"/>
    <w:rsid w:val="008D67BD"/>
    <w:rsid w:val="008E20DD"/>
    <w:rsid w:val="008E7C91"/>
    <w:rsid w:val="008F1AFA"/>
    <w:rsid w:val="008F5FCA"/>
    <w:rsid w:val="008F624B"/>
    <w:rsid w:val="0090214D"/>
    <w:rsid w:val="00904331"/>
    <w:rsid w:val="009065F0"/>
    <w:rsid w:val="00907BC1"/>
    <w:rsid w:val="00915792"/>
    <w:rsid w:val="0092151D"/>
    <w:rsid w:val="00921557"/>
    <w:rsid w:val="00921DF8"/>
    <w:rsid w:val="00922316"/>
    <w:rsid w:val="00924DE9"/>
    <w:rsid w:val="00926D60"/>
    <w:rsid w:val="00931C0C"/>
    <w:rsid w:val="00940236"/>
    <w:rsid w:val="0094325E"/>
    <w:rsid w:val="009441BB"/>
    <w:rsid w:val="009513F9"/>
    <w:rsid w:val="0095460B"/>
    <w:rsid w:val="00955AD1"/>
    <w:rsid w:val="00961518"/>
    <w:rsid w:val="009637A2"/>
    <w:rsid w:val="0097085A"/>
    <w:rsid w:val="009714BC"/>
    <w:rsid w:val="0097182D"/>
    <w:rsid w:val="00973E66"/>
    <w:rsid w:val="009761BF"/>
    <w:rsid w:val="00984CA1"/>
    <w:rsid w:val="00985CD8"/>
    <w:rsid w:val="00987A68"/>
    <w:rsid w:val="00987EDC"/>
    <w:rsid w:val="00987F5C"/>
    <w:rsid w:val="00990D8F"/>
    <w:rsid w:val="00991BA0"/>
    <w:rsid w:val="009928A9"/>
    <w:rsid w:val="00995E87"/>
    <w:rsid w:val="009A6ACD"/>
    <w:rsid w:val="009C736C"/>
    <w:rsid w:val="009D0766"/>
    <w:rsid w:val="009D276A"/>
    <w:rsid w:val="009D7605"/>
    <w:rsid w:val="009F0F77"/>
    <w:rsid w:val="009F136E"/>
    <w:rsid w:val="009F1FC7"/>
    <w:rsid w:val="00A02F51"/>
    <w:rsid w:val="00A03A91"/>
    <w:rsid w:val="00A15A15"/>
    <w:rsid w:val="00A21575"/>
    <w:rsid w:val="00A32BE6"/>
    <w:rsid w:val="00A33922"/>
    <w:rsid w:val="00A369D9"/>
    <w:rsid w:val="00A40406"/>
    <w:rsid w:val="00A44636"/>
    <w:rsid w:val="00A455A2"/>
    <w:rsid w:val="00A46AF0"/>
    <w:rsid w:val="00A477E0"/>
    <w:rsid w:val="00A60925"/>
    <w:rsid w:val="00A65EAF"/>
    <w:rsid w:val="00A7003F"/>
    <w:rsid w:val="00A731C0"/>
    <w:rsid w:val="00A77EA2"/>
    <w:rsid w:val="00A816F6"/>
    <w:rsid w:val="00A84A80"/>
    <w:rsid w:val="00A975C6"/>
    <w:rsid w:val="00A97D65"/>
    <w:rsid w:val="00AA19F5"/>
    <w:rsid w:val="00AA41CC"/>
    <w:rsid w:val="00AA456C"/>
    <w:rsid w:val="00AB02F8"/>
    <w:rsid w:val="00AB285F"/>
    <w:rsid w:val="00AB426C"/>
    <w:rsid w:val="00AB7670"/>
    <w:rsid w:val="00AC06CC"/>
    <w:rsid w:val="00AC632E"/>
    <w:rsid w:val="00AC6375"/>
    <w:rsid w:val="00AD2EF4"/>
    <w:rsid w:val="00AD41DD"/>
    <w:rsid w:val="00AE0392"/>
    <w:rsid w:val="00AE2B4B"/>
    <w:rsid w:val="00AE459A"/>
    <w:rsid w:val="00AE51EB"/>
    <w:rsid w:val="00AE7B73"/>
    <w:rsid w:val="00AF0F9C"/>
    <w:rsid w:val="00AF3F22"/>
    <w:rsid w:val="00AF6393"/>
    <w:rsid w:val="00AF6C0A"/>
    <w:rsid w:val="00B138C8"/>
    <w:rsid w:val="00B20851"/>
    <w:rsid w:val="00B21513"/>
    <w:rsid w:val="00B22126"/>
    <w:rsid w:val="00B276B3"/>
    <w:rsid w:val="00B36919"/>
    <w:rsid w:val="00B40ABD"/>
    <w:rsid w:val="00B41A80"/>
    <w:rsid w:val="00B4272B"/>
    <w:rsid w:val="00B51914"/>
    <w:rsid w:val="00B56B84"/>
    <w:rsid w:val="00B6446F"/>
    <w:rsid w:val="00B72BD3"/>
    <w:rsid w:val="00B77DD5"/>
    <w:rsid w:val="00B812F7"/>
    <w:rsid w:val="00B82BF4"/>
    <w:rsid w:val="00B854F6"/>
    <w:rsid w:val="00B9191A"/>
    <w:rsid w:val="00BA60E8"/>
    <w:rsid w:val="00BA71BB"/>
    <w:rsid w:val="00BB2737"/>
    <w:rsid w:val="00BB304E"/>
    <w:rsid w:val="00BB4A3C"/>
    <w:rsid w:val="00BB699B"/>
    <w:rsid w:val="00BC1CA3"/>
    <w:rsid w:val="00BD7376"/>
    <w:rsid w:val="00BE185D"/>
    <w:rsid w:val="00BE272B"/>
    <w:rsid w:val="00BF1E38"/>
    <w:rsid w:val="00BF6582"/>
    <w:rsid w:val="00C01DE1"/>
    <w:rsid w:val="00C037D3"/>
    <w:rsid w:val="00C121CA"/>
    <w:rsid w:val="00C16375"/>
    <w:rsid w:val="00C20AFC"/>
    <w:rsid w:val="00C21FD3"/>
    <w:rsid w:val="00C334CE"/>
    <w:rsid w:val="00C3429A"/>
    <w:rsid w:val="00C50F96"/>
    <w:rsid w:val="00C54AEF"/>
    <w:rsid w:val="00C60F3F"/>
    <w:rsid w:val="00C63910"/>
    <w:rsid w:val="00C65153"/>
    <w:rsid w:val="00C66E7B"/>
    <w:rsid w:val="00C70FA0"/>
    <w:rsid w:val="00C75111"/>
    <w:rsid w:val="00C772FB"/>
    <w:rsid w:val="00C817F1"/>
    <w:rsid w:val="00C864BE"/>
    <w:rsid w:val="00C911DC"/>
    <w:rsid w:val="00C96BE2"/>
    <w:rsid w:val="00CA36F2"/>
    <w:rsid w:val="00CB55DD"/>
    <w:rsid w:val="00CB7CF4"/>
    <w:rsid w:val="00CC39E5"/>
    <w:rsid w:val="00CC3BFA"/>
    <w:rsid w:val="00CD2341"/>
    <w:rsid w:val="00CF4A3C"/>
    <w:rsid w:val="00D03012"/>
    <w:rsid w:val="00D13B78"/>
    <w:rsid w:val="00D15B5D"/>
    <w:rsid w:val="00D238D6"/>
    <w:rsid w:val="00D25C04"/>
    <w:rsid w:val="00D36612"/>
    <w:rsid w:val="00D36C99"/>
    <w:rsid w:val="00D3794D"/>
    <w:rsid w:val="00D406E4"/>
    <w:rsid w:val="00D43148"/>
    <w:rsid w:val="00D50B43"/>
    <w:rsid w:val="00D53070"/>
    <w:rsid w:val="00D568DE"/>
    <w:rsid w:val="00D56ED0"/>
    <w:rsid w:val="00D57968"/>
    <w:rsid w:val="00D64D8F"/>
    <w:rsid w:val="00D6592C"/>
    <w:rsid w:val="00D7028D"/>
    <w:rsid w:val="00D746A8"/>
    <w:rsid w:val="00D8253A"/>
    <w:rsid w:val="00D90938"/>
    <w:rsid w:val="00DA01C5"/>
    <w:rsid w:val="00DA067C"/>
    <w:rsid w:val="00DA24D4"/>
    <w:rsid w:val="00DA44BB"/>
    <w:rsid w:val="00DA6666"/>
    <w:rsid w:val="00DB5847"/>
    <w:rsid w:val="00DC20AB"/>
    <w:rsid w:val="00DC44C8"/>
    <w:rsid w:val="00DE0549"/>
    <w:rsid w:val="00DF2599"/>
    <w:rsid w:val="00DF2C1A"/>
    <w:rsid w:val="00DF3DFD"/>
    <w:rsid w:val="00DF4942"/>
    <w:rsid w:val="00E010C5"/>
    <w:rsid w:val="00E03BF8"/>
    <w:rsid w:val="00E048B9"/>
    <w:rsid w:val="00E05FB0"/>
    <w:rsid w:val="00E07310"/>
    <w:rsid w:val="00E106FD"/>
    <w:rsid w:val="00E11F59"/>
    <w:rsid w:val="00E15FCD"/>
    <w:rsid w:val="00E17B92"/>
    <w:rsid w:val="00E20CE9"/>
    <w:rsid w:val="00E31A94"/>
    <w:rsid w:val="00E3389E"/>
    <w:rsid w:val="00E3474E"/>
    <w:rsid w:val="00E34A9C"/>
    <w:rsid w:val="00E36ACA"/>
    <w:rsid w:val="00E405EE"/>
    <w:rsid w:val="00E41EA1"/>
    <w:rsid w:val="00E441A0"/>
    <w:rsid w:val="00E46B47"/>
    <w:rsid w:val="00E476CB"/>
    <w:rsid w:val="00E47C0C"/>
    <w:rsid w:val="00E503EA"/>
    <w:rsid w:val="00E6171D"/>
    <w:rsid w:val="00E66F59"/>
    <w:rsid w:val="00E7573E"/>
    <w:rsid w:val="00E77219"/>
    <w:rsid w:val="00E77D24"/>
    <w:rsid w:val="00E813C9"/>
    <w:rsid w:val="00E816BA"/>
    <w:rsid w:val="00E91634"/>
    <w:rsid w:val="00E94D05"/>
    <w:rsid w:val="00E9745E"/>
    <w:rsid w:val="00EA0024"/>
    <w:rsid w:val="00EA669D"/>
    <w:rsid w:val="00EB49A2"/>
    <w:rsid w:val="00EB4F80"/>
    <w:rsid w:val="00EB765E"/>
    <w:rsid w:val="00EC39A3"/>
    <w:rsid w:val="00EC6150"/>
    <w:rsid w:val="00EE2FE4"/>
    <w:rsid w:val="00EE6021"/>
    <w:rsid w:val="00EE69B1"/>
    <w:rsid w:val="00F04D1C"/>
    <w:rsid w:val="00F05ADA"/>
    <w:rsid w:val="00F154E2"/>
    <w:rsid w:val="00F1565F"/>
    <w:rsid w:val="00F20FEF"/>
    <w:rsid w:val="00F253CD"/>
    <w:rsid w:val="00F3073D"/>
    <w:rsid w:val="00F31232"/>
    <w:rsid w:val="00F36423"/>
    <w:rsid w:val="00F36FF8"/>
    <w:rsid w:val="00F40D80"/>
    <w:rsid w:val="00F47288"/>
    <w:rsid w:val="00F47A9E"/>
    <w:rsid w:val="00F505B3"/>
    <w:rsid w:val="00F53BEF"/>
    <w:rsid w:val="00F564CF"/>
    <w:rsid w:val="00F643C7"/>
    <w:rsid w:val="00F66849"/>
    <w:rsid w:val="00F726DD"/>
    <w:rsid w:val="00F740A6"/>
    <w:rsid w:val="00F847EE"/>
    <w:rsid w:val="00F96CC6"/>
    <w:rsid w:val="00FA1D5B"/>
    <w:rsid w:val="00FB0318"/>
    <w:rsid w:val="00FB0BAE"/>
    <w:rsid w:val="00FB463A"/>
    <w:rsid w:val="00FB7CDD"/>
    <w:rsid w:val="00FC59A5"/>
    <w:rsid w:val="00FD0FCB"/>
    <w:rsid w:val="00FD2E08"/>
    <w:rsid w:val="00FD4C9B"/>
    <w:rsid w:val="00FD744D"/>
    <w:rsid w:val="00FE16DE"/>
    <w:rsid w:val="00FE2247"/>
    <w:rsid w:val="00FE410F"/>
    <w:rsid w:val="00FE4464"/>
    <w:rsid w:val="00FE6997"/>
    <w:rsid w:val="00FF0189"/>
    <w:rsid w:val="00FF16C9"/>
    <w:rsid w:val="00FF3035"/>
    <w:rsid w:val="00FF4735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har"/>
    <w:uiPriority w:val="9"/>
    <w:semiHidden/>
    <w:unhideWhenUsed/>
    <w:qFormat/>
    <w:rsid w:val="004301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semiHidden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2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DefaultParagraphFont"/>
    <w:link w:val="Heading4"/>
    <w:uiPriority w:val="9"/>
    <w:semiHidden/>
    <w:rsid w:val="00430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d-text">
    <w:name w:val="jud-text"/>
    <w:basedOn w:val="Normal"/>
    <w:rsid w:val="0043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ptexto">
    <w:name w:val="tptexto"/>
    <w:basedOn w:val="Normal"/>
    <w:rsid w:val="00E7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E7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0A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unhideWhenUsed/>
    <w:rsid w:val="008F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761BF"/>
    <w:rPr>
      <w:color w:val="800080" w:themeColor="followedHyperlink"/>
      <w:u w:val="single"/>
    </w:rPr>
  </w:style>
  <w:style w:type="paragraph" w:customStyle="1" w:styleId="LO-normal3">
    <w:name w:val="LO-normal3"/>
    <w:rsid w:val="00203CA1"/>
    <w:pPr>
      <w:suppressAutoHyphens/>
      <w:spacing w:before="120" w:after="120" w:line="360" w:lineRule="auto"/>
      <w:ind w:firstLine="2835"/>
      <w:jc w:val="both"/>
    </w:pPr>
    <w:rPr>
      <w:rFonts w:ascii="Arial" w:eastAsia="Arial" w:hAnsi="Arial" w:cs="Arial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B276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portal.stf.jus.br/processos/detalhe.asp?incidente=5883343" TargetMode="External" /><Relationship Id="rId7" Type="http://schemas.openxmlformats.org/officeDocument/2006/relationships/hyperlink" Target="http://www.planalto.gov.br/ccivil_03/Constituicao/Constituicao.htm" TargetMode="External" /><Relationship Id="rId8" Type="http://schemas.openxmlformats.org/officeDocument/2006/relationships/hyperlink" Target="http://www.planalto.gov.br/ccivil_03/leis/lcp/Lcp176.htm" TargetMode="External" /><Relationship Id="rId9" Type="http://schemas.openxmlformats.org/officeDocument/2006/relationships/hyperlink" Target="https://www.planalto.gov.br/ccivil_03/leis/lcp/Lcp173.ht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F154-2A6F-4BBE-B837-07657A83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3663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Tiago Fadel Malghosian</cp:lastModifiedBy>
  <cp:revision>14</cp:revision>
  <cp:lastPrinted>2024-04-02T17:23:00Z</cp:lastPrinted>
  <dcterms:created xsi:type="dcterms:W3CDTF">2024-06-05T14:46:00Z</dcterms:created>
  <dcterms:modified xsi:type="dcterms:W3CDTF">2024-06-10T14:26:00Z</dcterms:modified>
</cp:coreProperties>
</file>