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A76693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A76693">
        <w:rPr>
          <w:rFonts w:ascii="Calibri" w:hAnsi="Calibri" w:cs="Calibri"/>
          <w:b/>
          <w:color w:val="auto"/>
        </w:rPr>
        <w:t>Parecer Jurídico nº</w:t>
      </w:r>
      <w:r w:rsidRPr="00A76693" w:rsidR="00DA5745">
        <w:rPr>
          <w:rFonts w:ascii="Calibri" w:hAnsi="Calibri" w:cs="Calibri"/>
          <w:b/>
          <w:color w:val="auto"/>
        </w:rPr>
        <w:t xml:space="preserve"> </w:t>
      </w:r>
      <w:r w:rsidRPr="00A76693" w:rsidR="00A76693">
        <w:rPr>
          <w:rFonts w:ascii="Calibri" w:hAnsi="Calibri" w:cs="Calibri"/>
          <w:b/>
          <w:color w:val="auto"/>
        </w:rPr>
        <w:t>155</w:t>
      </w:r>
      <w:r w:rsidRPr="00A76693">
        <w:rPr>
          <w:rFonts w:ascii="Calibri" w:hAnsi="Calibri" w:cs="Calibri"/>
          <w:b/>
          <w:color w:val="auto"/>
        </w:rPr>
        <w:t>/202</w:t>
      </w:r>
      <w:r w:rsidRPr="00A76693" w:rsidR="004D4D75">
        <w:rPr>
          <w:rFonts w:ascii="Calibri" w:hAnsi="Calibri" w:cs="Calibri"/>
          <w:b/>
          <w:color w:val="auto"/>
        </w:rPr>
        <w:t>4</w:t>
      </w:r>
      <w:r w:rsidRPr="00A76693">
        <w:rPr>
          <w:rFonts w:ascii="Calibri" w:hAnsi="Calibri" w:cs="Calibri"/>
          <w:b/>
          <w:color w:val="auto"/>
        </w:rPr>
        <w:t>.</w:t>
      </w:r>
    </w:p>
    <w:p w:rsidR="004D4D75" w:rsidP="00B6516B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/>
          <w:bCs/>
          <w:szCs w:val="24"/>
        </w:rPr>
        <w:t>Assunto</w:t>
      </w:r>
      <w:r w:rsidRPr="000B4AF0">
        <w:rPr>
          <w:rFonts w:ascii="Calibri" w:hAnsi="Calibri" w:cs="Calibri"/>
          <w:bCs/>
          <w:szCs w:val="24"/>
        </w:rPr>
        <w:t xml:space="preserve">: </w:t>
      </w:r>
      <w:r w:rsidRPr="000B4AF0" w:rsidR="00D61860">
        <w:rPr>
          <w:rFonts w:ascii="Calibri" w:hAnsi="Calibri" w:cs="Calibri"/>
          <w:b/>
          <w:bCs/>
          <w:szCs w:val="24"/>
        </w:rPr>
        <w:t xml:space="preserve">Projeto de Lei nº </w:t>
      </w:r>
      <w:r w:rsidR="00B30635">
        <w:rPr>
          <w:rFonts w:ascii="Calibri" w:hAnsi="Calibri" w:cs="Calibri"/>
          <w:b/>
          <w:bCs/>
          <w:szCs w:val="24"/>
        </w:rPr>
        <w:t>61</w:t>
      </w:r>
      <w:r w:rsidRPr="000B4AF0">
        <w:rPr>
          <w:rFonts w:ascii="Calibri" w:hAnsi="Calibri" w:cs="Calibri"/>
          <w:b/>
          <w:bCs/>
          <w:szCs w:val="24"/>
        </w:rPr>
        <w:t>/202</w:t>
      </w:r>
      <w:r>
        <w:rPr>
          <w:rFonts w:ascii="Calibri" w:hAnsi="Calibri" w:cs="Calibri"/>
          <w:b/>
          <w:bCs/>
          <w:szCs w:val="24"/>
        </w:rPr>
        <w:t>4</w:t>
      </w:r>
      <w:r w:rsidRPr="000B4AF0" w:rsidR="00DA5745">
        <w:rPr>
          <w:rFonts w:ascii="Calibri" w:hAnsi="Calibri" w:cs="Calibri"/>
          <w:bCs/>
          <w:szCs w:val="24"/>
        </w:rPr>
        <w:t xml:space="preserve"> </w:t>
      </w:r>
      <w:r w:rsidRPr="000B4AF0" w:rsidR="00DF5B72">
        <w:rPr>
          <w:rFonts w:ascii="Calibri" w:hAnsi="Calibri" w:cs="Calibri"/>
          <w:bCs/>
          <w:szCs w:val="24"/>
        </w:rPr>
        <w:t>–</w:t>
      </w:r>
      <w:r w:rsidR="00C2464F">
        <w:rPr>
          <w:rFonts w:ascii="Calibri" w:hAnsi="Calibri" w:cs="Calibri"/>
          <w:bCs/>
          <w:szCs w:val="24"/>
        </w:rPr>
        <w:t xml:space="preserve"> </w:t>
      </w:r>
      <w:r w:rsidR="00AA64D3">
        <w:rPr>
          <w:rFonts w:ascii="Calibri" w:hAnsi="Calibri" w:cs="Calibri"/>
          <w:bCs/>
          <w:szCs w:val="24"/>
        </w:rPr>
        <w:t>“</w:t>
      </w:r>
      <w:r w:rsidRPr="00AA64D3">
        <w:rPr>
          <w:rFonts w:ascii="Calibri" w:hAnsi="Calibri" w:cs="Calibri"/>
          <w:bCs/>
          <w:i/>
          <w:szCs w:val="24"/>
        </w:rPr>
        <w:t>Altera a Lei nº</w:t>
      </w:r>
      <w:r w:rsidRPr="00AA64D3" w:rsidR="00D72280">
        <w:rPr>
          <w:rFonts w:ascii="Calibri" w:hAnsi="Calibri" w:cs="Calibri"/>
          <w:bCs/>
          <w:i/>
          <w:szCs w:val="24"/>
        </w:rPr>
        <w:t xml:space="preserve"> 6.516, de </w:t>
      </w:r>
      <w:r w:rsidRPr="00AA64D3" w:rsidR="00D72280">
        <w:rPr>
          <w:rFonts w:ascii="Calibri" w:hAnsi="Calibri" w:cs="Calibri"/>
          <w:bCs/>
          <w:i/>
          <w:szCs w:val="24"/>
        </w:rPr>
        <w:t>2</w:t>
      </w:r>
      <w:r w:rsidRPr="00AA64D3" w:rsidR="00D72280">
        <w:rPr>
          <w:rFonts w:ascii="Calibri" w:hAnsi="Calibri" w:cs="Calibri"/>
          <w:bCs/>
          <w:i/>
          <w:szCs w:val="24"/>
        </w:rPr>
        <w:t xml:space="preserve"> de outubro de 2023</w:t>
      </w:r>
      <w:r w:rsidRPr="00AA64D3">
        <w:rPr>
          <w:rFonts w:ascii="Calibri" w:hAnsi="Calibri" w:cs="Calibri"/>
          <w:bCs/>
          <w:i/>
          <w:szCs w:val="24"/>
        </w:rPr>
        <w:t>, instituindo o Torneio da Fé: Futsal de Todas as Crenças no Município de Valinhos</w:t>
      </w:r>
      <w:r w:rsidR="00AA64D3">
        <w:rPr>
          <w:rFonts w:ascii="Calibri" w:hAnsi="Calibri" w:cs="Calibri"/>
          <w:bCs/>
          <w:szCs w:val="24"/>
        </w:rPr>
        <w:t>”</w:t>
      </w:r>
      <w:r w:rsidRPr="004D4D75">
        <w:rPr>
          <w:rFonts w:ascii="Calibri" w:hAnsi="Calibri" w:cs="Calibri"/>
          <w:bCs/>
          <w:szCs w:val="24"/>
        </w:rPr>
        <w:t>.</w:t>
      </w:r>
    </w:p>
    <w:p w:rsidR="00533DB6" w:rsidRPr="00533DB6" w:rsidP="00B6516B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Autor</w:t>
      </w:r>
      <w:r w:rsidRPr="00061871" w:rsidR="004253B9">
        <w:rPr>
          <w:rFonts w:ascii="Calibri" w:hAnsi="Calibri" w:cs="Calibri"/>
          <w:b/>
          <w:szCs w:val="24"/>
        </w:rPr>
        <w:t xml:space="preserve">: </w:t>
      </w:r>
      <w:r w:rsidRPr="00061871" w:rsidR="004253B9">
        <w:rPr>
          <w:rFonts w:ascii="Calibri" w:hAnsi="Calibri" w:cs="Calibri"/>
          <w:szCs w:val="24"/>
        </w:rPr>
        <w:t>Vereador</w:t>
      </w:r>
      <w:r w:rsidR="00B30635">
        <w:rPr>
          <w:rFonts w:ascii="Calibri" w:hAnsi="Calibri" w:cs="Calibri"/>
          <w:szCs w:val="24"/>
        </w:rPr>
        <w:t>es</w:t>
      </w:r>
      <w:r>
        <w:rPr>
          <w:rFonts w:ascii="Calibri" w:hAnsi="Calibri" w:cs="Calibri"/>
          <w:szCs w:val="24"/>
        </w:rPr>
        <w:t xml:space="preserve"> </w:t>
      </w:r>
      <w:r w:rsidR="004D4D75">
        <w:rPr>
          <w:rFonts w:ascii="Calibri" w:hAnsi="Calibri" w:cs="Calibri"/>
          <w:szCs w:val="24"/>
        </w:rPr>
        <w:t xml:space="preserve">Alécio </w:t>
      </w:r>
      <w:r w:rsidR="004D4D75">
        <w:rPr>
          <w:rFonts w:ascii="Calibri" w:hAnsi="Calibri" w:cs="Calibri"/>
          <w:szCs w:val="24"/>
        </w:rPr>
        <w:t>Cau</w:t>
      </w:r>
      <w:r w:rsidRPr="00533DB6">
        <w:rPr>
          <w:rFonts w:ascii="Calibri" w:hAnsi="Calibri" w:cs="Calibri"/>
          <w:bCs/>
          <w:szCs w:val="24"/>
        </w:rPr>
        <w:t>, Edinho Garcia, Gabriel Bueno, Marcelo Yoshida, Tunico, Mayr</w:t>
      </w:r>
      <w:r>
        <w:rPr>
          <w:rFonts w:ascii="Calibri" w:hAnsi="Calibri" w:cs="Calibri"/>
          <w:bCs/>
          <w:szCs w:val="24"/>
        </w:rPr>
        <w:t>.</w:t>
      </w:r>
    </w:p>
    <w:p w:rsidR="006E1D73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>À Comissão de Justiça e Redação,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 xml:space="preserve">Exmo. </w:t>
      </w:r>
      <w:r w:rsidRPr="000B4AF0" w:rsidR="00B14DD5">
        <w:rPr>
          <w:rFonts w:ascii="Calibri" w:hAnsi="Calibri" w:cs="Calibri"/>
          <w:b/>
          <w:i/>
          <w:color w:val="auto"/>
        </w:rPr>
        <w:t>Sr.</w:t>
      </w:r>
      <w:r w:rsidRPr="000B4AF0" w:rsidR="00B14DD5">
        <w:rPr>
          <w:rFonts w:ascii="Calibri" w:hAnsi="Calibri" w:cs="Calibri"/>
          <w:b/>
          <w:i/>
          <w:color w:val="auto"/>
        </w:rPr>
        <w:t xml:space="preserve"> Presidente </w:t>
      </w:r>
      <w:r w:rsidRPr="000B4AF0" w:rsidR="00A02FF7">
        <w:rPr>
          <w:rFonts w:ascii="Calibri" w:hAnsi="Calibri" w:cs="Calibri"/>
          <w:b/>
          <w:i/>
          <w:color w:val="auto"/>
        </w:rPr>
        <w:t>Vereador Gabriel Bueno</w:t>
      </w:r>
      <w:r w:rsidRPr="000B4AF0">
        <w:rPr>
          <w:rFonts w:ascii="Calibri" w:hAnsi="Calibri" w:cs="Calibri"/>
          <w:b/>
          <w:i/>
          <w:color w:val="auto"/>
        </w:rPr>
        <w:t>.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61871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4D4D75" w:rsidP="004D4D75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 xml:space="preserve">Trata-se de parecer jurídico relativo ao projeto em epígrafe que </w:t>
      </w:r>
      <w:r w:rsidRPr="00C2464F" w:rsidR="00A039F0">
        <w:rPr>
          <w:rFonts w:ascii="Calibri" w:hAnsi="Calibri" w:cs="Calibri"/>
          <w:i/>
          <w:szCs w:val="24"/>
        </w:rPr>
        <w:t>“</w:t>
      </w:r>
      <w:r w:rsidRPr="004D4D75">
        <w:rPr>
          <w:rFonts w:ascii="Calibri" w:hAnsi="Calibri" w:cs="Calibri"/>
          <w:i/>
          <w:szCs w:val="24"/>
        </w:rPr>
        <w:t xml:space="preserve">Altera a Lei nº 6.516, de </w:t>
      </w:r>
      <w:r w:rsidRPr="004D4D75">
        <w:rPr>
          <w:rFonts w:ascii="Calibri" w:hAnsi="Calibri" w:cs="Calibri"/>
          <w:i/>
          <w:szCs w:val="24"/>
        </w:rPr>
        <w:t>2</w:t>
      </w:r>
      <w:r w:rsidRPr="004D4D75">
        <w:rPr>
          <w:rFonts w:ascii="Calibri" w:hAnsi="Calibri" w:cs="Calibri"/>
          <w:i/>
          <w:szCs w:val="24"/>
        </w:rPr>
        <w:t xml:space="preserve"> de outubro de 2023, instituindo o Torneio da Fé: Futsal de Todas as Crenças no Município de Valinhos</w:t>
      </w:r>
      <w:r>
        <w:rPr>
          <w:rFonts w:ascii="Calibri" w:hAnsi="Calibri" w:cs="Calibri"/>
          <w:i/>
          <w:szCs w:val="24"/>
        </w:rPr>
        <w:t>”</w:t>
      </w:r>
      <w:r w:rsidR="009658CB">
        <w:rPr>
          <w:rFonts w:ascii="Calibri" w:hAnsi="Calibri" w:cs="Calibri"/>
          <w:i/>
          <w:szCs w:val="24"/>
        </w:rPr>
        <w:t xml:space="preserve">, </w:t>
      </w:r>
      <w:r w:rsidR="009658CB">
        <w:rPr>
          <w:rFonts w:ascii="Calibri" w:hAnsi="Calibri" w:cs="Calibri"/>
          <w:szCs w:val="24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219"/>
        <w:gridCol w:w="4425"/>
      </w:tblGrid>
      <w:tr w:rsidTr="00FC253A">
        <w:tblPrEx>
          <w:tblW w:w="0" w:type="auto"/>
          <w:tblLook w:val="04A0"/>
        </w:tblPrEx>
        <w:trPr>
          <w:trHeight w:val="403"/>
        </w:trPr>
        <w:tc>
          <w:tcPr>
            <w:tcW w:w="4219" w:type="dxa"/>
          </w:tcPr>
          <w:p w:rsidR="009658CB" w:rsidRPr="005F5F1A" w:rsidP="009658CB">
            <w:pPr>
              <w:pStyle w:val="Default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5F5F1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L</w:t>
            </w: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ei nº 6.516/2023</w:t>
            </w:r>
          </w:p>
        </w:tc>
        <w:tc>
          <w:tcPr>
            <w:tcW w:w="4425" w:type="dxa"/>
          </w:tcPr>
          <w:p w:rsidR="009658CB" w:rsidRPr="005F5F1A" w:rsidP="009658CB">
            <w:pPr>
              <w:pStyle w:val="Default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Projeto de Lei nº 61</w:t>
            </w:r>
            <w:bookmarkStart w:id="0" w:name="_GoBack"/>
            <w:bookmarkEnd w:id="0"/>
            <w:r w:rsidRPr="005F5F1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/2024</w:t>
            </w:r>
          </w:p>
        </w:tc>
      </w:tr>
      <w:tr w:rsidTr="00FC253A">
        <w:tblPrEx>
          <w:tblW w:w="0" w:type="auto"/>
          <w:tblLook w:val="04A0"/>
        </w:tblPrEx>
        <w:tc>
          <w:tcPr>
            <w:tcW w:w="4219" w:type="dxa"/>
          </w:tcPr>
          <w:p w:rsidR="009658CB" w:rsidRPr="009658CB" w:rsidP="009658CB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426433">
            <w:pPr>
              <w:widowControl w:val="0"/>
              <w:tabs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58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Institui o Campeonato de Futsal Gospel no Município de Valinhos e o insere no Calendário Oficial de Esportes.</w:t>
            </w:r>
          </w:p>
        </w:tc>
        <w:tc>
          <w:tcPr>
            <w:tcW w:w="4425" w:type="dxa"/>
          </w:tcPr>
          <w:p w:rsidR="009658CB" w:rsidP="009658CB">
            <w:pPr>
              <w:pStyle w:val="Default"/>
              <w:ind w:left="317" w:right="204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Art. 1º Fica alterada a ementa da Lei nº 6.516, de 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2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de outubro de 2023, que passa a vigorar com a seguinte redação: </w:t>
            </w:r>
          </w:p>
          <w:p w:rsidR="009658CB" w:rsidRPr="00426433" w:rsidP="009658CB">
            <w:pPr>
              <w:pStyle w:val="Default"/>
              <w:ind w:left="575" w:right="204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12"/>
                <w:szCs w:val="12"/>
              </w:rPr>
            </w:pPr>
          </w:p>
          <w:p w:rsidR="009658CB" w:rsidRPr="009658CB" w:rsidP="009658CB">
            <w:pPr>
              <w:pStyle w:val="Default"/>
              <w:ind w:left="317" w:right="204"/>
              <w:jc w:val="both"/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“Institui o Torneio da Fé: Futsal de Todas as Crenças no Município de Valinhos e o insere no Calendário Oficial de Esportes.”</w:t>
            </w:r>
          </w:p>
        </w:tc>
      </w:tr>
      <w:tr w:rsidTr="00FC253A">
        <w:tblPrEx>
          <w:tblW w:w="0" w:type="auto"/>
          <w:tblLook w:val="04A0"/>
        </w:tblPrEx>
        <w:tc>
          <w:tcPr>
            <w:tcW w:w="4219" w:type="dxa"/>
          </w:tcPr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58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Art. 1º Fica instituído e incluído no Calendário Oficial de Esportes do Município de Valinhos o Campeonato adulto de Futsal Gospel.</w:t>
            </w:r>
          </w:p>
          <w:p w:rsidR="009658CB" w:rsidRPr="009658CB" w:rsidP="009658CB">
            <w:pPr>
              <w:pStyle w:val="Default"/>
              <w:ind w:left="142" w:right="137"/>
              <w:jc w:val="both"/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425" w:type="dxa"/>
          </w:tcPr>
          <w:p w:rsidR="009658CB" w:rsidP="00FC253A">
            <w:pPr>
              <w:pStyle w:val="Default"/>
              <w:tabs>
                <w:tab w:val="left" w:pos="1185"/>
              </w:tabs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Art. 2º O artigo 1º da Lei nº 6.516, de 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2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de outubro de 2023, passa a vigorar com a seguinte redação:</w:t>
            </w:r>
          </w:p>
          <w:p w:rsidR="009658CB" w:rsidP="00FC253A">
            <w:pPr>
              <w:pStyle w:val="Default"/>
              <w:tabs>
                <w:tab w:val="left" w:pos="1185"/>
              </w:tabs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  <w:p w:rsidR="009658CB" w:rsidRPr="00810AF2" w:rsidP="009658CB">
            <w:pPr>
              <w:pStyle w:val="Default"/>
              <w:tabs>
                <w:tab w:val="left" w:pos="1185"/>
              </w:tabs>
              <w:ind w:left="317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"Art. 1º Fica instituído e incluído no Calendário Oficial de Esportes do Município de Valinhos o Torneio da Fé: Futsal de Todas as Crenças."</w:t>
            </w:r>
          </w:p>
        </w:tc>
      </w:tr>
      <w:tr w:rsidTr="00FC253A">
        <w:tblPrEx>
          <w:tblW w:w="0" w:type="auto"/>
          <w:tblLook w:val="04A0"/>
        </w:tblPrEx>
        <w:tc>
          <w:tcPr>
            <w:tcW w:w="4219" w:type="dxa"/>
          </w:tcPr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9658CB" w:rsidRP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58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Art. </w:t>
            </w:r>
            <w:r w:rsidRPr="009658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1º ...</w:t>
            </w:r>
          </w:p>
          <w:p w:rsidR="009658CB" w:rsidP="009658CB">
            <w:pPr>
              <w:widowControl w:val="0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ind w:left="284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58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Parágrafo único. O Campeonato de Futsal Gospel sempre se realizará no mês de março de cada ano com participação da comunidade Evangélica na organização.</w:t>
            </w:r>
          </w:p>
        </w:tc>
        <w:tc>
          <w:tcPr>
            <w:tcW w:w="4425" w:type="dxa"/>
          </w:tcPr>
          <w:p w:rsidR="009658CB" w:rsidP="009658CB">
            <w:pPr>
              <w:pStyle w:val="Default"/>
              <w:tabs>
                <w:tab w:val="left" w:pos="1185"/>
              </w:tabs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Art. 3º O parágrafo único do artigo 1º da Lei nº 6.516, de</w:t>
            </w:r>
            <w:r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2</w:t>
            </w:r>
            <w:r w:rsidRPr="009658CB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de outubro de 2023, passa a vigorar com a seguinte redação: </w:t>
            </w:r>
          </w:p>
          <w:p w:rsidR="009658CB" w:rsidRPr="00426433" w:rsidP="009658CB">
            <w:pPr>
              <w:pStyle w:val="Default"/>
              <w:tabs>
                <w:tab w:val="left" w:pos="1185"/>
              </w:tabs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12"/>
                <w:szCs w:val="12"/>
              </w:rPr>
            </w:pPr>
          </w:p>
          <w:p w:rsidR="009658CB" w:rsidRPr="009658CB" w:rsidP="009658CB">
            <w:pPr>
              <w:pStyle w:val="Default"/>
              <w:tabs>
                <w:tab w:val="left" w:pos="1185"/>
              </w:tabs>
              <w:ind w:left="317" w:right="206"/>
              <w:jc w:val="both"/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9658CB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"Parágrafo único. O Torneio da Fé: Futsal de Todas as Crenças sempre se realizará no mês de março de cada ano com participação de todas as comunidades religiosas na organização."</w:t>
            </w:r>
          </w:p>
        </w:tc>
      </w:tr>
    </w:tbl>
    <w:p w:rsidR="00C2464F" w:rsidP="00C2464F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EE5F14">
        <w:rPr>
          <w:rFonts w:asciiTheme="minorHAnsi" w:hAnsiTheme="minorHAnsi" w:cstheme="minorHAnsi"/>
          <w:i/>
          <w:szCs w:val="24"/>
        </w:rPr>
        <w:t>Ab initio</w:t>
      </w:r>
      <w:r w:rsidRPr="00EE5F14">
        <w:rPr>
          <w:rFonts w:asciiTheme="minorHAnsi" w:hAnsiTheme="minorHAnsi" w:cstheme="minorHAnsi"/>
          <w:szCs w:val="24"/>
        </w:rPr>
        <w:t>, cumpre destacar a atribuição regimental à Comissão de Justiça e Redação estabelecida no artigo 38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EE5F14">
        <w:rPr>
          <w:rFonts w:asciiTheme="minorHAnsi" w:hAnsiTheme="minorHAnsi" w:cstheme="minorHAnsi"/>
          <w:szCs w:val="24"/>
        </w:rPr>
        <w:t xml:space="preserve">. </w:t>
      </w:r>
    </w:p>
    <w:p w:rsidR="00230290" w:rsidRPr="000B4AF0" w:rsidP="00061871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ressalta-se que a opinião jurídica </w:t>
      </w:r>
      <w:r w:rsidRPr="000B4AF0" w:rsidR="00641AD2">
        <w:rPr>
          <w:rFonts w:ascii="Calibri" w:hAnsi="Calibri" w:cs="Calibri"/>
          <w:szCs w:val="24"/>
        </w:rPr>
        <w:t>exarada neste</w:t>
      </w:r>
      <w:r w:rsidRPr="000B4AF0">
        <w:rPr>
          <w:rFonts w:ascii="Calibri" w:hAnsi="Calibri" w:cs="Calibri"/>
          <w:szCs w:val="24"/>
        </w:rPr>
        <w:t xml:space="preserve"> parecer </w:t>
      </w:r>
      <w:r w:rsidRPr="00061871">
        <w:rPr>
          <w:rFonts w:ascii="Calibri" w:hAnsi="Calibri" w:cs="Calibri"/>
          <w:szCs w:val="24"/>
          <w:u w:val="single"/>
        </w:rPr>
        <w:t>não tem força vinculante</w:t>
      </w:r>
      <w:r>
        <w:rPr>
          <w:rStyle w:val="FootnoteReference"/>
          <w:rFonts w:ascii="Calibri" w:hAnsi="Calibri" w:cs="Calibri"/>
          <w:szCs w:val="24"/>
        </w:rPr>
        <w:footnoteReference w:id="3"/>
      </w:r>
      <w:r w:rsidRPr="000B4AF0">
        <w:rPr>
          <w:rFonts w:ascii="Calibri" w:hAnsi="Calibri" w:cs="Calibri"/>
          <w:szCs w:val="24"/>
        </w:rPr>
        <w:t>, portanto é peça opinativa, não fundamentando decisão proferida pelas Comissões.</w:t>
      </w:r>
      <w:r w:rsidRPr="000B4AF0" w:rsidR="000C474F">
        <w:rPr>
          <w:rFonts w:ascii="Calibri" w:hAnsi="Calibri" w:cs="Calibri"/>
          <w:szCs w:val="24"/>
        </w:rPr>
        <w:t xml:space="preserve"> </w:t>
      </w:r>
    </w:p>
    <w:p w:rsidR="00230290" w:rsidRPr="000B4AF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 xml:space="preserve">Desse modo, passamos à </w:t>
      </w:r>
      <w:r w:rsidRPr="000B4AF0">
        <w:rPr>
          <w:rFonts w:ascii="Calibri" w:hAnsi="Calibri" w:cs="Calibri"/>
          <w:b/>
          <w:szCs w:val="24"/>
        </w:rPr>
        <w:t>análise técnica</w:t>
      </w:r>
      <w:r w:rsidRPr="000B4AF0">
        <w:rPr>
          <w:rFonts w:ascii="Calibri" w:hAnsi="Calibri" w:cs="Calibri"/>
          <w:szCs w:val="24"/>
        </w:rPr>
        <w:t xml:space="preserve"> do projeto em epígrafe referenciado.</w:t>
      </w:r>
    </w:p>
    <w:p w:rsidR="000C474F" w:rsidRPr="000B4AF0" w:rsidP="000C474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>No</w:t>
      </w:r>
      <w:r w:rsidRPr="000B4AF0">
        <w:rPr>
          <w:rFonts w:asciiTheme="minorHAnsi" w:hAnsiTheme="minorHAnsi" w:cstheme="minorHAnsi"/>
          <w:color w:val="auto"/>
        </w:rPr>
        <w:t xml:space="preserve"> que tange à </w:t>
      </w:r>
      <w:r w:rsidRPr="000B4AF0">
        <w:rPr>
          <w:rFonts w:asciiTheme="minorHAnsi" w:hAnsiTheme="minorHAnsi" w:cstheme="minorHAnsi"/>
          <w:b/>
          <w:color w:val="auto"/>
        </w:rPr>
        <w:t xml:space="preserve">competência </w:t>
      </w:r>
      <w:r w:rsidRPr="000B4AF0" w:rsidR="00CD2DAD">
        <w:rPr>
          <w:rFonts w:asciiTheme="minorHAnsi" w:hAnsiTheme="minorHAnsi" w:cstheme="minorHAnsi"/>
          <w:b/>
          <w:color w:val="auto"/>
        </w:rPr>
        <w:t>legislativa</w:t>
      </w:r>
      <w:r w:rsidRPr="000B4AF0" w:rsidR="00B14DD5">
        <w:rPr>
          <w:rFonts w:asciiTheme="minorHAnsi" w:hAnsiTheme="minorHAnsi" w:cstheme="minorHAnsi"/>
          <w:b/>
          <w:color w:val="auto"/>
        </w:rPr>
        <w:t xml:space="preserve"> municipal</w:t>
      </w:r>
      <w:r w:rsidRPr="000B4AF0" w:rsidR="00CD2DAD">
        <w:rPr>
          <w:rFonts w:asciiTheme="minorHAnsi" w:hAnsiTheme="minorHAnsi" w:cstheme="minorHAnsi"/>
          <w:color w:val="auto"/>
        </w:rPr>
        <w:t xml:space="preserve"> a propositura </w:t>
      </w:r>
      <w:r w:rsidR="001C27AE">
        <w:rPr>
          <w:rFonts w:asciiTheme="minorHAnsi" w:hAnsiTheme="minorHAnsi" w:cstheme="minorHAnsi"/>
          <w:color w:val="auto"/>
        </w:rPr>
        <w:t>reveste-se</w:t>
      </w:r>
      <w:r w:rsidRPr="000B4AF0">
        <w:rPr>
          <w:rFonts w:asciiTheme="minorHAnsi" w:hAnsiTheme="minorHAnsi" w:cstheme="minorHAnsi"/>
          <w:color w:val="auto"/>
        </w:rPr>
        <w:t xml:space="preserve"> de constitucionalidade</w:t>
      </w:r>
      <w:r w:rsidR="00F40654">
        <w:rPr>
          <w:rFonts w:asciiTheme="minorHAnsi" w:hAnsiTheme="minorHAnsi" w:cstheme="minorHAnsi"/>
          <w:color w:val="auto"/>
        </w:rPr>
        <w:t xml:space="preserve"> por</w:t>
      </w:r>
      <w:r w:rsidRPr="000B4AF0">
        <w:rPr>
          <w:rFonts w:asciiTheme="minorHAnsi" w:hAnsiTheme="minorHAnsi" w:cstheme="minorHAnsi"/>
          <w:color w:val="auto"/>
        </w:rPr>
        <w:t xml:space="preserve"> força da Constituição</w:t>
      </w:r>
      <w:r w:rsidRPr="000B4AF0">
        <w:rPr>
          <w:rFonts w:asciiTheme="minorHAnsi" w:hAnsiTheme="minorHAnsi" w:cstheme="minorHAnsi"/>
          <w:color w:val="auto"/>
        </w:rPr>
        <w:t xml:space="preserve"> Federal</w:t>
      </w:r>
      <w:r w:rsidR="001C27AE">
        <w:rPr>
          <w:rFonts w:asciiTheme="minorHAnsi" w:hAnsiTheme="minorHAnsi" w:cstheme="minorHAnsi"/>
          <w:color w:val="auto"/>
        </w:rPr>
        <w:t>,</w:t>
      </w:r>
      <w:r w:rsidRPr="000B4AF0">
        <w:rPr>
          <w:rFonts w:asciiTheme="minorHAnsi" w:hAnsiTheme="minorHAnsi" w:cstheme="minorHAnsi"/>
          <w:color w:val="auto"/>
        </w:rPr>
        <w:t xml:space="preserve"> que atribuiu aos</w:t>
      </w:r>
      <w:r w:rsidRPr="000B4AF0">
        <w:rPr>
          <w:rFonts w:asciiTheme="minorHAnsi" w:hAnsiTheme="minorHAnsi" w:cstheme="minorHAnsi"/>
          <w:color w:val="auto"/>
        </w:rPr>
        <w:t xml:space="preserve"> Municípios autonomia legislativa, consubstanciada na capacidade de legislar sobre assuntos de interesse local (art. 30, inciso I, da CRFB). </w:t>
      </w:r>
    </w:p>
    <w:p w:rsidR="005B347A" w:rsidRPr="000B4AF0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0B4AF0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 w:rsidRPr="000B4AF0">
        <w:rPr>
          <w:rFonts w:asciiTheme="minorHAnsi" w:hAnsiTheme="minorHAnsi" w:cstheme="minorHAnsi"/>
          <w:i/>
          <w:sz w:val="22"/>
          <w:szCs w:val="22"/>
        </w:rPr>
        <w:t>”</w:t>
      </w:r>
    </w:p>
    <w:p w:rsidR="00C2464F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347A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>Art.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Pr="000B4AF0"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C2464F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347A" w:rsidRPr="000B4AF0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0B4AF0" w:rsidP="009C607C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essa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privatividade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, essa unicidade, bem reduzido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0B4AF0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O que define e caracteriza o 'interesse local', inscrito como dogma constitucional, é a predominância do interesse do Município sobre o do Estado ou da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União". 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gn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)(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in Direito Municipal Brasileiro, 6ª ed., atualizada por Izabel Camargo Lopes Monteiro e Yara Darcy Police Monteiro, 1993, Malheiros, p. 98)</w:t>
      </w:r>
    </w:p>
    <w:p w:rsidR="00230290" w:rsidRPr="000B4AF0" w:rsidP="00DF5B7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4AF0">
        <w:rPr>
          <w:rFonts w:asciiTheme="minorHAnsi" w:hAnsiTheme="minorHAnsi" w:cstheme="minorHAnsi"/>
          <w:szCs w:val="24"/>
        </w:rPr>
        <w:t xml:space="preserve"> </w:t>
      </w: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no que tange à </w:t>
      </w:r>
      <w:r w:rsidRPr="000B4AF0" w:rsidR="00A02EF7">
        <w:rPr>
          <w:rFonts w:ascii="Calibri" w:hAnsi="Calibri" w:cs="Calibri"/>
          <w:b/>
          <w:szCs w:val="24"/>
        </w:rPr>
        <w:t>iniciativa</w:t>
      </w:r>
      <w:r w:rsidRPr="000B4AF0">
        <w:rPr>
          <w:rFonts w:ascii="Calibri" w:hAnsi="Calibri" w:cs="Calibri"/>
          <w:b/>
          <w:szCs w:val="24"/>
        </w:rPr>
        <w:t xml:space="preserve"> para deflagrar o processo legislativo, </w:t>
      </w:r>
      <w:r w:rsidRPr="000B4AF0" w:rsidR="00061871">
        <w:rPr>
          <w:rFonts w:ascii="Calibri" w:hAnsi="Calibri" w:cs="Calibri"/>
          <w:szCs w:val="24"/>
        </w:rPr>
        <w:t>artigo 24, § 2º</w:t>
      </w:r>
      <w:r w:rsidR="00C65918">
        <w:rPr>
          <w:rFonts w:ascii="Calibri" w:hAnsi="Calibri" w:cs="Calibri"/>
          <w:szCs w:val="24"/>
        </w:rPr>
        <w:t>,</w:t>
      </w:r>
      <w:r w:rsidRPr="000B4AF0" w:rsidR="00061871">
        <w:rPr>
          <w:rFonts w:ascii="Calibri" w:hAnsi="Calibri" w:cs="Calibri"/>
          <w:szCs w:val="24"/>
        </w:rPr>
        <w:t xml:space="preserve"> </w:t>
      </w:r>
      <w:r w:rsidR="00061871">
        <w:rPr>
          <w:rFonts w:ascii="Calibri" w:hAnsi="Calibri" w:cs="Calibri"/>
          <w:szCs w:val="24"/>
        </w:rPr>
        <w:t>d</w:t>
      </w:r>
      <w:r w:rsidRPr="000B4AF0" w:rsidR="00061871">
        <w:rPr>
          <w:rFonts w:ascii="Calibri" w:hAnsi="Calibri" w:cs="Calibri"/>
          <w:szCs w:val="24"/>
        </w:rPr>
        <w:t>a Constituição do Estado de São Paulo</w:t>
      </w:r>
      <w:r w:rsidR="00061871">
        <w:rPr>
          <w:rFonts w:ascii="Calibri" w:hAnsi="Calibri" w:cs="Calibri"/>
          <w:szCs w:val="24"/>
        </w:rPr>
        <w:t>, em simetria com o</w:t>
      </w:r>
      <w:r w:rsidRPr="000B4AF0" w:rsidR="00061871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>o artigo 61, § 1º, da CF estabelece as hipóteses de iniciativa privativa: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B5558">
        <w:rPr>
          <w:rFonts w:ascii="Calibri" w:hAnsi="Calibri" w:cs="Calibri"/>
          <w:b/>
          <w:i/>
          <w:sz w:val="22"/>
          <w:szCs w:val="22"/>
        </w:rPr>
        <w:t>Artigo 24</w:t>
      </w:r>
      <w:r w:rsidRPr="000B4AF0">
        <w:rPr>
          <w:rFonts w:ascii="Calibri" w:hAnsi="Calibri" w:cs="Calibri"/>
          <w:i/>
          <w:sz w:val="22"/>
          <w:szCs w:val="22"/>
        </w:rPr>
        <w:t>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[...]</w:t>
      </w:r>
    </w:p>
    <w:p w:rsidR="00230290" w:rsidRPr="000B4AF0" w:rsidP="00C2464F">
      <w:pPr>
        <w:pStyle w:val="paragrafo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1"/>
      <w:bookmarkEnd w:id="1"/>
      <w:r w:rsidRPr="000B4AF0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2"/>
      <w:bookmarkEnd w:id="2"/>
      <w:r w:rsidRPr="00C2464F">
        <w:rPr>
          <w:rFonts w:ascii="Calibri" w:hAnsi="Calibri" w:cs="Calibri"/>
          <w:b/>
          <w:i/>
          <w:sz w:val="22"/>
          <w:szCs w:val="22"/>
        </w:rPr>
        <w:t>2 - criação e extinção das Secretarias de Estado e órgãos da administração pública, observado o disposto no art. 47, XIX;</w:t>
      </w:r>
      <w:r w:rsidRPr="000B4AF0">
        <w:rPr>
          <w:rFonts w:ascii="Calibri" w:hAnsi="Calibri" w:cs="Calibri"/>
          <w:i/>
          <w:sz w:val="22"/>
          <w:szCs w:val="22"/>
        </w:rPr>
        <w:t xml:space="preserve"> (NR)- Redação dada pela Emenda Constitucional nº 21, de 14/2/2006.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3"/>
      <w:bookmarkEnd w:id="3"/>
      <w:r w:rsidRPr="000B4AF0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4" w:name="CESP_ART_024_2_4"/>
      <w:bookmarkEnd w:id="4"/>
      <w:r w:rsidRPr="000B4AF0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0B4AF0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0B4AF0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Do mesmo modo, a Lei Orgânica do Município de Valinhos no artigo 48 estabelece as matérias de deflagração exclusiva pelo Prefeito Municipal: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B5558">
        <w:rPr>
          <w:rFonts w:ascii="Calibri" w:hAnsi="Calibri" w:cs="Calibri"/>
          <w:b/>
          <w:i/>
          <w:sz w:val="22"/>
          <w:szCs w:val="22"/>
        </w:rPr>
        <w:t>Art. 48.</w:t>
      </w:r>
      <w:r w:rsidRPr="000B4AF0">
        <w:rPr>
          <w:rFonts w:ascii="Calibri" w:hAnsi="Calibri" w:cs="Calibri"/>
          <w:i/>
          <w:sz w:val="22"/>
          <w:szCs w:val="22"/>
        </w:rPr>
        <w:t xml:space="preserve"> Compete, exclusivamente, ao Prefeito a iniciativa dos projetos de lei que disponham sobre: 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C2464F" w:rsidP="00C2464F">
      <w:pPr>
        <w:spacing w:after="0" w:line="24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 </w:t>
      </w:r>
      <w:r w:rsidRPr="00C2464F">
        <w:rPr>
          <w:rFonts w:ascii="Calibri" w:hAnsi="Calibri" w:cs="Calibri"/>
          <w:b/>
          <w:i/>
          <w:sz w:val="22"/>
          <w:szCs w:val="22"/>
        </w:rPr>
        <w:t xml:space="preserve">II - criação, estruturação e atribuições das Secretarias Municipais e órgãos da administração pública; 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B13A6C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B13A6C" w:rsidRPr="000B4AF0" w:rsidP="00B13A6C">
      <w:pPr>
        <w:spacing w:after="40"/>
        <w:ind w:left="2835"/>
        <w:jc w:val="both"/>
        <w:rPr>
          <w:rFonts w:ascii="Calibri" w:hAnsi="Calibri" w:cs="Calibri"/>
          <w:i/>
          <w:sz w:val="22"/>
          <w:szCs w:val="22"/>
        </w:rPr>
      </w:pPr>
    </w:p>
    <w:p w:rsidR="00230290" w:rsidRPr="000B4AF0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A propósito</w:t>
      </w:r>
      <w:r w:rsidRPr="000B4AF0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no que tange</w:t>
      </w:r>
      <w:r w:rsidRPr="000B4AF0">
        <w:rPr>
          <w:rFonts w:asciiTheme="minorHAnsi" w:hAnsiTheme="minorHAnsi" w:cs="Calibri"/>
        </w:rPr>
        <w:t xml:space="preserve"> os limites da competência legislativa municipal dos membros do Poder Legislativo destacamos</w:t>
      </w:r>
      <w:r w:rsidRPr="000B4AF0">
        <w:rPr>
          <w:rFonts w:asciiTheme="minorHAnsi" w:hAnsiTheme="minorHAnsi" w:cs="Calibri"/>
          <w:b/>
        </w:rPr>
        <w:t xml:space="preserve"> </w:t>
      </w:r>
      <w:r w:rsidRPr="000B4AF0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Pr="000B4AF0" w:rsidR="00DF5B72">
        <w:rPr>
          <w:rFonts w:asciiTheme="minorHAnsi" w:hAnsiTheme="minorHAnsi" w:cs="Calibri"/>
          <w:u w:val="single"/>
        </w:rPr>
        <w:t>derativa</w:t>
      </w:r>
      <w:r w:rsidRPr="000B4AF0" w:rsidR="00DF5B72">
        <w:rPr>
          <w:rFonts w:asciiTheme="minorHAnsi" w:hAnsiTheme="minorHAnsi" w:cs="Calibri"/>
        </w:rPr>
        <w:t>, t</w:t>
      </w:r>
      <w:r w:rsidRPr="000B4AF0">
        <w:rPr>
          <w:rFonts w:asciiTheme="minorHAnsi" w:hAnsiTheme="minorHAnsi" w:cs="Calibri"/>
        </w:rPr>
        <w:t xml:space="preserve">rata-se do </w:t>
      </w:r>
      <w:r w:rsidRPr="000B4AF0">
        <w:rPr>
          <w:rFonts w:asciiTheme="minorHAnsi" w:hAnsiTheme="minorHAnsi" w:cs="Calibri"/>
          <w:b/>
        </w:rPr>
        <w:t xml:space="preserve">Tema nº 917 </w:t>
      </w:r>
      <w:r w:rsidR="00CC476F">
        <w:rPr>
          <w:rFonts w:asciiTheme="minorHAnsi" w:hAnsiTheme="minorHAnsi" w:cs="Calibri"/>
          <w:b/>
        </w:rPr>
        <w:t xml:space="preserve">de </w:t>
      </w:r>
      <w:r w:rsidRPr="000B4AF0">
        <w:rPr>
          <w:rFonts w:asciiTheme="minorHAnsi" w:hAnsiTheme="minorHAnsi" w:cs="Calibri"/>
          <w:b/>
        </w:rPr>
        <w:t>Repercussão geral (Paradigma ARE 878911)</w:t>
      </w:r>
      <w:r w:rsidRPr="000B4AF0">
        <w:rPr>
          <w:rFonts w:asciiTheme="minorHAnsi" w:hAnsiTheme="minorHAnsi" w:cs="Calibri"/>
        </w:rPr>
        <w:t xml:space="preserve"> que recebeu a seguinte redação:</w:t>
      </w:r>
    </w:p>
    <w:p w:rsidR="00230290" w:rsidRPr="000B4AF0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966320" w:rsidP="00966320">
      <w:pPr>
        <w:pStyle w:val="Default"/>
        <w:spacing w:after="120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</w:t>
      </w:r>
      <w:r w:rsidRPr="00C2464F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não trata da sua estrutura ou da atribuição de seus órgãos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nem do regime jurídico de servidores públicos.</w:t>
      </w: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 xml:space="preserve">ARE 878911 RG, 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23029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>Assim, consoante entendimento da Suprema Corte (Tema nº</w:t>
      </w:r>
      <w:r w:rsidR="003B5558">
        <w:rPr>
          <w:rFonts w:asciiTheme="minorHAnsi" w:hAnsiTheme="minorHAnsi" w:cstheme="minorHAnsi"/>
          <w:color w:val="auto"/>
        </w:rPr>
        <w:t xml:space="preserve"> </w:t>
      </w:r>
      <w:r w:rsidRPr="000B4AF0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0B4AF0">
        <w:rPr>
          <w:rFonts w:asciiTheme="minorHAnsi" w:hAnsiTheme="minorHAnsi" w:cstheme="minorHAnsi"/>
          <w:color w:val="auto"/>
        </w:rPr>
        <w:t>é</w:t>
      </w:r>
      <w:r w:rsidRPr="000B4AF0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44132D" w:rsidRPr="000B4AF0" w:rsidP="0044132D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 xml:space="preserve">Destarte, infere-se que o projeto em análise </w:t>
      </w:r>
      <w:r>
        <w:rPr>
          <w:rFonts w:asciiTheme="minorHAnsi" w:hAnsiTheme="minorHAnsi" w:cstheme="minorHAnsi"/>
          <w:color w:val="auto"/>
        </w:rPr>
        <w:t xml:space="preserve">ao </w:t>
      </w:r>
      <w:r w:rsidR="004D4D75">
        <w:rPr>
          <w:rFonts w:asciiTheme="minorHAnsi" w:hAnsiTheme="minorHAnsi" w:cstheme="minorHAnsi"/>
          <w:color w:val="auto"/>
        </w:rPr>
        <w:t>a</w:t>
      </w:r>
      <w:r w:rsidRPr="004D4D75" w:rsidR="004D4D75">
        <w:rPr>
          <w:rFonts w:asciiTheme="minorHAnsi" w:hAnsiTheme="minorHAnsi" w:cstheme="minorHAnsi"/>
          <w:color w:val="auto"/>
        </w:rPr>
        <w:t>ltera</w:t>
      </w:r>
      <w:r w:rsidR="004D4D75">
        <w:rPr>
          <w:rFonts w:asciiTheme="minorHAnsi" w:hAnsiTheme="minorHAnsi" w:cstheme="minorHAnsi"/>
          <w:color w:val="auto"/>
        </w:rPr>
        <w:t>r</w:t>
      </w:r>
      <w:r w:rsidRPr="004D4D75" w:rsidR="004D4D75">
        <w:rPr>
          <w:rFonts w:asciiTheme="minorHAnsi" w:hAnsiTheme="minorHAnsi" w:cstheme="minorHAnsi"/>
          <w:color w:val="auto"/>
        </w:rPr>
        <w:t xml:space="preserve"> a Lei nº 6.516, de </w:t>
      </w:r>
      <w:r w:rsidRPr="004D4D75" w:rsidR="004D4D75">
        <w:rPr>
          <w:rFonts w:asciiTheme="minorHAnsi" w:hAnsiTheme="minorHAnsi" w:cstheme="minorHAnsi"/>
          <w:color w:val="auto"/>
        </w:rPr>
        <w:t>2</w:t>
      </w:r>
      <w:r w:rsidRPr="004D4D75" w:rsidR="004D4D75">
        <w:rPr>
          <w:rFonts w:asciiTheme="minorHAnsi" w:hAnsiTheme="minorHAnsi" w:cstheme="minorHAnsi"/>
          <w:color w:val="auto"/>
        </w:rPr>
        <w:t xml:space="preserve"> de outubro de 2023, instituindo o Torneio da Fé: Futsal de Todas as C</w:t>
      </w:r>
      <w:r w:rsidR="004D4D75">
        <w:rPr>
          <w:rFonts w:asciiTheme="minorHAnsi" w:hAnsiTheme="minorHAnsi" w:cstheme="minorHAnsi"/>
          <w:color w:val="auto"/>
        </w:rPr>
        <w:t xml:space="preserve">renças no Município de Valinhos </w:t>
      </w:r>
      <w:r w:rsidRPr="000B4AF0">
        <w:rPr>
          <w:rFonts w:asciiTheme="minorHAnsi" w:hAnsiTheme="minorHAnsi" w:cstheme="minorHAnsi"/>
          <w:color w:val="auto"/>
        </w:rPr>
        <w:t>não viola as regras de iniciativa</w:t>
      </w:r>
      <w:r w:rsidR="00D70BAA">
        <w:rPr>
          <w:rFonts w:asciiTheme="minorHAnsi" w:hAnsiTheme="minorHAnsi" w:cstheme="minorHAnsi"/>
          <w:color w:val="auto"/>
        </w:rPr>
        <w:t xml:space="preserve">, </w:t>
      </w:r>
      <w:r w:rsidRPr="000B4AF0">
        <w:rPr>
          <w:rFonts w:asciiTheme="minorHAnsi" w:hAnsiTheme="minorHAnsi" w:cstheme="minorHAnsi"/>
          <w:color w:val="auto"/>
        </w:rPr>
        <w:t xml:space="preserve">porquanto </w:t>
      </w:r>
      <w:r w:rsidRPr="009C607C">
        <w:rPr>
          <w:rFonts w:asciiTheme="minorHAnsi" w:hAnsiTheme="minorHAnsi" w:cstheme="minorHAnsi"/>
          <w:color w:val="auto"/>
          <w:u w:val="single"/>
        </w:rPr>
        <w:t>não</w:t>
      </w:r>
      <w:r w:rsidRPr="000B4AF0">
        <w:rPr>
          <w:rFonts w:asciiTheme="minorHAnsi" w:hAnsiTheme="minorHAnsi" w:cstheme="minorHAnsi"/>
          <w:color w:val="auto"/>
        </w:rPr>
        <w:t xml:space="preserve"> se trata de matéria de competência privativa do Chefe do Poder Executivo.</w:t>
      </w:r>
    </w:p>
    <w:p w:rsidR="0044132D" w:rsidRPr="000B4AF0" w:rsidP="00966320">
      <w:pPr>
        <w:spacing w:after="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Cs/>
          <w:szCs w:val="24"/>
        </w:rPr>
        <w:t>Nesse mesmo sentido o entendimento do E. Tribunal de Justiça de São Paulo:</w:t>
      </w:r>
    </w:p>
    <w:p w:rsidR="004C5D58" w:rsidP="004C5D58">
      <w:pPr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- Lei nº 4.929, de 29 de setembro de 2021, do Município de Guarujá, de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u w:val="single"/>
          <w:shd w:val="clear" w:color="auto" w:fill="FFFFFF"/>
        </w:rPr>
        <w:t>iniciativa parlamentar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Instituição da Semana da Vaquejada no calendário oficial do Município, para realização de evento cultural nordestino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Alegação de violação aos arts. 144 e 193,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inciso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X, da CE, por permitir evento que proporciona sofrimento físico e psíquico aos animais – Art. 193, inciso X, da CF que reproduz o que prevê o art. 225, § 1º, inciso VII, da CF – </w:t>
      </w:r>
      <w:r w:rsidRPr="00715F1B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Lei local que não somente cria data comemorativa, mas chancela a realização do evento,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devendo assim ser analisada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– Superveniência da Lei Federal nº 13.364/2016 e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da EC nº 96/2017, que modificou o tratamento constitucional conferido à vaquejada – </w:t>
      </w:r>
      <w:r w:rsidRPr="00715F1B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Ausência de inconstitucionalidade quanto à permissão do evento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– Necessidade, contudo, de observância dos requisitos previstos pelo § 7º do art. 225 da CF – Inexistência, no âmbito local e estadual, de lei específica que discipline a vaquejada – Lei Federal nº 13.873/2019 que, ao inserir o art. 3º-B na Lei Federal nº 13.364/2016 criou padrões mínimos de garantia ao bem-estar animal e delegou a regulamentação da prática a associações ou entidades legais reconhecidas pelo Ministério da Agricultura, Pecuária e Abastecimento – Eficácia da norma, no que diz respeito à efetiva realização do evento, que fica condicionada à observação das disposições da lei nacional supracitada –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Pedido julgado improcedente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, com observação. </w:t>
      </w:r>
    </w:p>
    <w:p w:rsidR="0044132D" w:rsidRPr="00715F1B" w:rsidP="004C5D58">
      <w:pPr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Direta de Inconstitucionalidade 2132863-17.2022.8.26.0000; Relator (a): Luciana 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>Bresciani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14/12/2022; Data de Registro: 15/12/2022)</w:t>
      </w:r>
    </w:p>
    <w:p w:rsidR="0044132D" w:rsidRPr="00013920" w:rsidP="0044132D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E3552B" w:rsidP="0044132D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C5D58" w:rsidP="003B5558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realizará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</w:t>
      </w:r>
      <w:r w:rsidRPr="00806E4C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</w:t>
      </w:r>
      <w:r w:rsidRPr="002A4F0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</w:t>
      </w:r>
      <w:r w:rsidRPr="0067137F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Norma que institui data comemorativa no calendário oficial do município. Inexistência de conflito entre o Poder Legislativo e o Poder Executivo, no âmbito do Município de Mauá. Lei que não veicula atos de gestão. Competência legislativa comum. Tema de Repercussão Geral nº 917.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promulgada. </w:t>
      </w:r>
      <w:r w:rsidRPr="0067137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IV – Fixação de prazo para que o Poder Executivo regulamentar lei. Violação do princípio da separação dos poderes. Direção superior da Administração. Ato da reserva da Administração. Atuação administrativa amparada por critérios de conveniência e oportunidade. Inconstitucionalidade da expressão 'no prazo de 90 (noventa) dias a contar da data de sua publicação'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incidental da expressão 'no prazo nelas estabelecido, não inferior a trinta nem superior a cento e oitenta dias' constante do inciso III do art. 47 da CE/89.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procedente em parte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."</w:t>
      </w:r>
    </w:p>
    <w:p w:rsidR="003B5558" w:rsidP="003B5558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  Direta de Inconstitucionalidade 2097432-24.2019.8.26.0000; Relator (a): Carlos Bueno; Órgão Julgador: Órgão Especial; Tribunal de Justiça de São Paulo - N/A; Data do Julgamento: 21/08/2019; Data de Registro: 23/08/2019)</w:t>
      </w:r>
    </w:p>
    <w:p w:rsidR="003B5558" w:rsidRPr="00ED61BE" w:rsidP="0067137F">
      <w:pPr>
        <w:pStyle w:val="Default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B5558" w:rsidRPr="0067137F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P="004D4D75">
      <w:pPr>
        <w:pStyle w:val="Default"/>
        <w:pBdr>
          <w:bottom w:val="single" w:sz="12" w:space="1" w:color="auto"/>
        </w:pBdr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304CD1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– PEDIDO IMPROCEDENTE.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</w:p>
    <w:p w:rsidR="0044132D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44132D" w:rsidRPr="00304CD1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:rsidR="0044132D" w:rsidRPr="00E3552B" w:rsidP="0044132D">
      <w:pPr>
        <w:pStyle w:val="Default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9C607C" w:rsidP="004D4D75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966320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institui a 'Semana Municipal de Conscientização e Prevenção à Anorexia Nervosa e Bulimia Nervosa', a qual passará a integrar o Calendário Oficial de Eventos do Município de Mauá, e dá outras providências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"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44132D" w:rsidRPr="00E3552B" w:rsidP="0044132D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0B4AF0" w:rsidP="0044132D">
      <w:pPr>
        <w:spacing w:after="120" w:line="360" w:lineRule="auto"/>
        <w:ind w:firstLine="1701"/>
        <w:jc w:val="both"/>
        <w:rPr>
          <w:rFonts w:ascii="Calibri" w:hAnsi="Calibri" w:cs="Calibri"/>
          <w:u w:val="single"/>
        </w:rPr>
      </w:pPr>
      <w:r w:rsidRPr="000B4AF0">
        <w:rPr>
          <w:rFonts w:ascii="Calibri" w:hAnsi="Calibri" w:cs="Calibri"/>
        </w:rPr>
        <w:t>Por fim, extrai-se que a propositura observa as disposições da Lei Complementar nº 95/98 que dispõe sobre a elaboração, redação, alteração e consolidação das leis conforme determina o parágrafo único, do art. 59 da Constituição Federal.</w:t>
      </w:r>
    </w:p>
    <w:p w:rsidR="0044132D" w:rsidRPr="000B4AF0" w:rsidP="0044132D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>Ante todo o exposto opinamos pela constitucion</w:t>
      </w:r>
      <w:r w:rsidR="004D4D75">
        <w:rPr>
          <w:rFonts w:ascii="Calibri" w:eastAsia="Calibri" w:hAnsi="Calibri" w:cs="Calibri"/>
          <w:szCs w:val="24"/>
        </w:rPr>
        <w:t>alidade e legalidade do projeto</w:t>
      </w:r>
      <w:r w:rsidRPr="000B4AF0">
        <w:rPr>
          <w:rFonts w:ascii="Calibri" w:eastAsia="Calibri" w:hAnsi="Calibri" w:cs="Calibri"/>
          <w:szCs w:val="24"/>
        </w:rPr>
        <w:t>. Sobre o mérito, manifestar-se-á o soberano Plenário.</w:t>
      </w:r>
    </w:p>
    <w:p w:rsidR="0044132D" w:rsidRPr="000B4AF0" w:rsidP="0044132D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É o parecer, a superior consideração.</w:t>
      </w:r>
    </w:p>
    <w:p w:rsidR="00230290" w:rsidRPr="00A76693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A76693">
        <w:rPr>
          <w:rFonts w:ascii="Calibri" w:hAnsi="Calibri" w:cs="Calibri"/>
          <w:szCs w:val="24"/>
        </w:rPr>
        <w:t>Procuradoria,</w:t>
      </w:r>
      <w:r w:rsidRPr="00A76693" w:rsidR="00395D8C">
        <w:rPr>
          <w:rFonts w:ascii="Calibri" w:hAnsi="Calibri" w:cs="Calibri"/>
          <w:szCs w:val="24"/>
        </w:rPr>
        <w:t xml:space="preserve"> </w:t>
      </w:r>
      <w:r w:rsidRPr="00A76693" w:rsidR="00A76693">
        <w:rPr>
          <w:rFonts w:ascii="Calibri" w:hAnsi="Calibri" w:cs="Calibri"/>
          <w:szCs w:val="24"/>
        </w:rPr>
        <w:t>29</w:t>
      </w:r>
      <w:r w:rsidRPr="00A76693" w:rsidR="004253B9">
        <w:rPr>
          <w:rFonts w:ascii="Calibri" w:hAnsi="Calibri" w:cs="Calibri"/>
          <w:szCs w:val="24"/>
        </w:rPr>
        <w:t xml:space="preserve"> de </w:t>
      </w:r>
      <w:r w:rsidRPr="00A76693" w:rsidR="004D4D75">
        <w:rPr>
          <w:rFonts w:ascii="Calibri" w:hAnsi="Calibri" w:cs="Calibri"/>
          <w:szCs w:val="24"/>
        </w:rPr>
        <w:t>maio</w:t>
      </w:r>
      <w:r w:rsidRPr="00A76693">
        <w:rPr>
          <w:rFonts w:ascii="Calibri" w:hAnsi="Calibri" w:cs="Calibri"/>
          <w:szCs w:val="24"/>
        </w:rPr>
        <w:t xml:space="preserve"> de 202</w:t>
      </w:r>
      <w:r w:rsidRPr="00A76693" w:rsidR="004D4D75">
        <w:rPr>
          <w:rFonts w:ascii="Calibri" w:hAnsi="Calibri" w:cs="Calibri"/>
          <w:szCs w:val="24"/>
        </w:rPr>
        <w:t>4</w:t>
      </w:r>
      <w:r w:rsidRPr="00A76693">
        <w:rPr>
          <w:rFonts w:ascii="Calibri" w:hAnsi="Calibri" w:cs="Calibri"/>
          <w:szCs w:val="24"/>
        </w:rPr>
        <w:t>.</w:t>
      </w:r>
    </w:p>
    <w:p w:rsidR="003D7230" w:rsidRPr="000B4AF0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B14DD5" w:rsidRPr="000B4AF0" w:rsidP="004D4D75">
      <w:pPr>
        <w:pStyle w:val="BodyText"/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4D4D75" w:rsidRPr="00DE1AF4" w:rsidP="004D4D75">
      <w:pPr>
        <w:spacing w:after="0" w:line="240" w:lineRule="auto"/>
        <w:rPr>
          <w:rFonts w:ascii="Calibri" w:hAnsi="Calibri" w:cs="Calibri"/>
          <w:szCs w:val="24"/>
        </w:rPr>
      </w:pPr>
      <w:r w:rsidRPr="00DE1AF4">
        <w:rPr>
          <w:rFonts w:ascii="Calibri" w:hAnsi="Calibri" w:cs="Calibri"/>
          <w:b/>
          <w:szCs w:val="24"/>
        </w:rPr>
        <w:t xml:space="preserve">Rosemeire de Souza Cardoso Barbosa                          </w:t>
      </w:r>
      <w:r>
        <w:rPr>
          <w:rFonts w:ascii="Calibri" w:hAnsi="Calibri" w:cs="Calibri"/>
          <w:b/>
          <w:szCs w:val="24"/>
        </w:rPr>
        <w:t xml:space="preserve"> </w:t>
      </w:r>
      <w:r w:rsidRPr="00DE1AF4">
        <w:rPr>
          <w:rFonts w:ascii="Calibri" w:hAnsi="Calibri" w:cs="Calibri"/>
          <w:b/>
          <w:szCs w:val="24"/>
        </w:rPr>
        <w:t>Tiago Fadel Malghosian</w:t>
      </w:r>
    </w:p>
    <w:p w:rsidR="004D4D75" w:rsidRPr="00DE1AF4" w:rsidP="004D4D75">
      <w:pPr>
        <w:tabs>
          <w:tab w:val="left" w:pos="2880"/>
        </w:tabs>
        <w:spacing w:after="0" w:line="240" w:lineRule="auto"/>
        <w:rPr>
          <w:rFonts w:ascii="Calibri" w:hAnsi="Calibri" w:cs="Calibri"/>
          <w:b/>
          <w:szCs w:val="24"/>
        </w:rPr>
      </w:pPr>
      <w:r w:rsidRPr="00DE1AF4">
        <w:rPr>
          <w:rFonts w:ascii="Calibri" w:hAnsi="Calibri" w:cs="Calibri"/>
          <w:b/>
          <w:szCs w:val="24"/>
        </w:rPr>
        <w:t xml:space="preserve">     Procuradora - OAB/SP 308.298                               Procurador - OAB/SP 319.159</w:t>
      </w:r>
    </w:p>
    <w:p w:rsidR="004D4D75" w:rsidRPr="00DE1AF4" w:rsidP="004D4D75">
      <w:pPr>
        <w:spacing w:after="0" w:line="240" w:lineRule="auto"/>
        <w:rPr>
          <w:rFonts w:ascii="Calibri" w:hAnsi="Calibri" w:cs="Calibri"/>
          <w:szCs w:val="24"/>
        </w:rPr>
      </w:pPr>
      <w:r w:rsidRPr="00DE1AF4">
        <w:rPr>
          <w:rFonts w:ascii="Calibri" w:hAnsi="Calibri" w:cs="Calibri"/>
          <w:szCs w:val="24"/>
        </w:rPr>
        <w:t xml:space="preserve">             Assinatura eletrônica           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DE1AF4">
        <w:rPr>
          <w:rFonts w:ascii="Calibri" w:hAnsi="Calibri" w:cs="Calibri"/>
          <w:szCs w:val="24"/>
        </w:rPr>
        <w:t xml:space="preserve"> Assinatura eletrônica</w:t>
      </w:r>
    </w:p>
    <w:p w:rsidR="00B14DD5" w:rsidRPr="000B4AF0" w:rsidP="00B14DD5">
      <w:pPr>
        <w:pStyle w:val="BodyText"/>
        <w:spacing w:after="0"/>
        <w:jc w:val="center"/>
      </w:pPr>
    </w:p>
    <w:sectPr w:rsidSect="009658CB">
      <w:headerReference w:type="default" r:id="rId6"/>
      <w:footerReference w:type="default" r:id="rId7"/>
      <w:type w:val="continuous"/>
      <w:pgSz w:w="11906" w:h="16838"/>
      <w:pgMar w:top="23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13192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D13192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13192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13192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D13192" w:rsidP="000F6284">
            <w:pPr>
              <w:pStyle w:val="Footer"/>
              <w:ind w:left="-1985" w:right="-313"/>
              <w:jc w:val="center"/>
            </w:pPr>
          </w:p>
          <w:p w:rsidR="00D13192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202A2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202A2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3192">
      <w:pPr>
        <w:spacing w:after="0" w:line="240" w:lineRule="auto"/>
      </w:pPr>
      <w:r>
        <w:separator/>
      </w:r>
    </w:p>
  </w:footnote>
  <w:footnote w:type="continuationSeparator" w:id="1">
    <w:p w:rsidR="00D13192">
      <w:pPr>
        <w:spacing w:after="0" w:line="240" w:lineRule="auto"/>
      </w:pPr>
      <w:r>
        <w:continuationSeparator/>
      </w:r>
    </w:p>
  </w:footnote>
  <w:footnote w:id="2">
    <w:p w:rsidR="00C2464F" w:rsidRPr="00C2464F" w:rsidP="00C2464F">
      <w:pPr>
        <w:pStyle w:val="FootnoteText"/>
        <w:jc w:val="both"/>
        <w:rPr>
          <w:rFonts w:asciiTheme="minorHAnsi" w:hAnsiTheme="minorHAnsi"/>
        </w:rPr>
      </w:pPr>
      <w:r w:rsidRPr="00C2464F">
        <w:rPr>
          <w:rStyle w:val="FootnoteReference"/>
          <w:rFonts w:asciiTheme="minorHAnsi" w:hAnsiTheme="minorHAnsi"/>
        </w:rPr>
        <w:footnoteRef/>
      </w:r>
      <w:r w:rsidRPr="00C2464F">
        <w:rPr>
          <w:rFonts w:asciiTheme="minorHAnsi" w:hAnsiTheme="minorHAnsi"/>
        </w:rPr>
        <w:t xml:space="preserve"> </w:t>
      </w:r>
      <w:r w:rsidRPr="00C2464F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C2464F">
        <w:rPr>
          <w:rFonts w:asciiTheme="minorHAnsi" w:hAnsiTheme="minorHAnsi"/>
          <w:b/>
          <w:i/>
        </w:rPr>
        <w:t xml:space="preserve">quanto ao seu aspecto constitucional, legal ou jurídico </w:t>
      </w:r>
      <w:r w:rsidRPr="00C2464F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C2464F">
        <w:rPr>
          <w:rFonts w:asciiTheme="minorHAnsi" w:hAnsiTheme="minorHAnsi"/>
          <w:i/>
        </w:rPr>
        <w:t>a</w:t>
      </w:r>
      <w:r w:rsidRPr="00C2464F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C2464F">
        <w:rPr>
          <w:rFonts w:asciiTheme="minorHAnsi" w:hAnsiTheme="minorHAnsi"/>
          <w:i/>
        </w:rPr>
        <w:t>G.n</w:t>
      </w:r>
      <w:r w:rsidRPr="00C2464F">
        <w:rPr>
          <w:rFonts w:asciiTheme="minorHAnsi" w:hAnsiTheme="minorHAnsi"/>
          <w:i/>
        </w:rPr>
        <w:t>).</w:t>
      </w:r>
    </w:p>
  </w:footnote>
  <w:footnote w:id="3">
    <w:p w:rsidR="00061871" w:rsidRPr="00C2464F" w:rsidP="00061871">
      <w:pPr>
        <w:tabs>
          <w:tab w:val="left" w:pos="1701"/>
        </w:tabs>
        <w:spacing w:after="0" w:line="240" w:lineRule="auto"/>
        <w:jc w:val="both"/>
        <w:rPr>
          <w:rFonts w:asciiTheme="minorHAnsi" w:hAnsiTheme="minorHAnsi" w:cs="Calibri"/>
        </w:rPr>
      </w:pPr>
      <w:r w:rsidRPr="00C2464F">
        <w:rPr>
          <w:rStyle w:val="FootnoteReference"/>
          <w:rFonts w:asciiTheme="minorHAnsi" w:hAnsiTheme="minorHAnsi"/>
        </w:rPr>
        <w:footnoteRef/>
      </w:r>
      <w:r w:rsidRPr="00C2464F">
        <w:rPr>
          <w:rFonts w:asciiTheme="minorHAnsi" w:hAnsiTheme="minorHAnsi"/>
        </w:rPr>
        <w:t xml:space="preserve"> </w:t>
      </w:r>
      <w:r w:rsidRPr="00C2464F">
        <w:rPr>
          <w:rFonts w:asciiTheme="minorHAnsi" w:hAnsiTheme="minorHAnsi" w:cs="Calibri"/>
          <w:sz w:val="20"/>
        </w:rPr>
        <w:t xml:space="preserve">Nesse sentido é o entendimento do C. Supremo Tribunal Federal: </w:t>
      </w:r>
      <w:r w:rsidRPr="00C2464F">
        <w:rPr>
          <w:rFonts w:asciiTheme="minorHAnsi" w:hAnsiTheme="minorHAnsi" w:cs="Calibri"/>
          <w:i/>
          <w:sz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2464F">
        <w:rPr>
          <w:rFonts w:asciiTheme="minorHAnsi" w:hAnsiTheme="minorHAnsi" w:cs="Calibri"/>
          <w:i/>
          <w:sz w:val="20"/>
        </w:rPr>
        <w:t>ex</w:t>
      </w:r>
      <w:r w:rsidRPr="00C2464F">
        <w:rPr>
          <w:rFonts w:asciiTheme="minorHAnsi" w:hAnsiTheme="minorHAnsi" w:cs="Calibri"/>
          <w:i/>
          <w:sz w:val="20"/>
        </w:rPr>
        <w:t xml:space="preserve"> </w:t>
      </w:r>
      <w:r w:rsidRPr="00C2464F">
        <w:rPr>
          <w:rFonts w:asciiTheme="minorHAnsi" w:hAnsiTheme="minorHAnsi" w:cs="Calibri"/>
          <w:i/>
          <w:sz w:val="20"/>
        </w:rPr>
        <w:t>oficio</w:t>
      </w:r>
      <w:r w:rsidRPr="00C2464F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C2464F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061871" w:rsidRPr="00C2464F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192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192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64237797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634639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13192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417536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D13192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13192" w:rsidP="005645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8332C5" w:rsidP="00564577">
    <w:pPr>
      <w:pStyle w:val="Header"/>
      <w:jc w:val="center"/>
      <w:rPr>
        <w:sz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920"/>
    <w:rsid w:val="00013CAF"/>
    <w:rsid w:val="00015EB9"/>
    <w:rsid w:val="00031E27"/>
    <w:rsid w:val="0004095E"/>
    <w:rsid w:val="00055FB2"/>
    <w:rsid w:val="00060CA0"/>
    <w:rsid w:val="00061871"/>
    <w:rsid w:val="0007139A"/>
    <w:rsid w:val="000724D1"/>
    <w:rsid w:val="00072745"/>
    <w:rsid w:val="00087763"/>
    <w:rsid w:val="00094FC8"/>
    <w:rsid w:val="000A7037"/>
    <w:rsid w:val="000B4ADE"/>
    <w:rsid w:val="000B4AF0"/>
    <w:rsid w:val="000C08B8"/>
    <w:rsid w:val="000C1D38"/>
    <w:rsid w:val="000C2061"/>
    <w:rsid w:val="000C3EF3"/>
    <w:rsid w:val="000C474F"/>
    <w:rsid w:val="000C5FC0"/>
    <w:rsid w:val="000D09DF"/>
    <w:rsid w:val="000E086D"/>
    <w:rsid w:val="000E3CF3"/>
    <w:rsid w:val="000F6284"/>
    <w:rsid w:val="0010498D"/>
    <w:rsid w:val="00117687"/>
    <w:rsid w:val="0013060F"/>
    <w:rsid w:val="00132107"/>
    <w:rsid w:val="00132824"/>
    <w:rsid w:val="00141BA0"/>
    <w:rsid w:val="001420FA"/>
    <w:rsid w:val="0014270F"/>
    <w:rsid w:val="00146CE5"/>
    <w:rsid w:val="00152692"/>
    <w:rsid w:val="001702F1"/>
    <w:rsid w:val="00174657"/>
    <w:rsid w:val="001927F6"/>
    <w:rsid w:val="001A38C4"/>
    <w:rsid w:val="001C27AE"/>
    <w:rsid w:val="001C4D63"/>
    <w:rsid w:val="0022477A"/>
    <w:rsid w:val="002268B5"/>
    <w:rsid w:val="00230290"/>
    <w:rsid w:val="002324DA"/>
    <w:rsid w:val="002433C5"/>
    <w:rsid w:val="00252ADC"/>
    <w:rsid w:val="00253AD1"/>
    <w:rsid w:val="00261689"/>
    <w:rsid w:val="0026654A"/>
    <w:rsid w:val="00267046"/>
    <w:rsid w:val="00267382"/>
    <w:rsid w:val="00282C13"/>
    <w:rsid w:val="00287DF9"/>
    <w:rsid w:val="0029011B"/>
    <w:rsid w:val="002907F1"/>
    <w:rsid w:val="002A4F02"/>
    <w:rsid w:val="002B15C8"/>
    <w:rsid w:val="002B1985"/>
    <w:rsid w:val="002B4857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CD1"/>
    <w:rsid w:val="00304D47"/>
    <w:rsid w:val="00324DAA"/>
    <w:rsid w:val="0033080F"/>
    <w:rsid w:val="0036016D"/>
    <w:rsid w:val="00365F07"/>
    <w:rsid w:val="003774B8"/>
    <w:rsid w:val="0038135B"/>
    <w:rsid w:val="00387B4B"/>
    <w:rsid w:val="0039289D"/>
    <w:rsid w:val="00395D8C"/>
    <w:rsid w:val="003A2C23"/>
    <w:rsid w:val="003B02E8"/>
    <w:rsid w:val="003B0AE0"/>
    <w:rsid w:val="003B11BD"/>
    <w:rsid w:val="003B5558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07B26"/>
    <w:rsid w:val="00412E7C"/>
    <w:rsid w:val="00415659"/>
    <w:rsid w:val="00421304"/>
    <w:rsid w:val="004253B9"/>
    <w:rsid w:val="00426433"/>
    <w:rsid w:val="00436EDC"/>
    <w:rsid w:val="00440E92"/>
    <w:rsid w:val="004411BA"/>
    <w:rsid w:val="0044132D"/>
    <w:rsid w:val="00442AE0"/>
    <w:rsid w:val="00445AFC"/>
    <w:rsid w:val="00450D7D"/>
    <w:rsid w:val="00451D9D"/>
    <w:rsid w:val="00483A4D"/>
    <w:rsid w:val="00484EF7"/>
    <w:rsid w:val="00494E9F"/>
    <w:rsid w:val="00497A57"/>
    <w:rsid w:val="004A1DBC"/>
    <w:rsid w:val="004B170A"/>
    <w:rsid w:val="004B1CA3"/>
    <w:rsid w:val="004C5D58"/>
    <w:rsid w:val="004D3AA4"/>
    <w:rsid w:val="004D4D75"/>
    <w:rsid w:val="004F1E85"/>
    <w:rsid w:val="004F2F14"/>
    <w:rsid w:val="004F44D9"/>
    <w:rsid w:val="00515A76"/>
    <w:rsid w:val="00516A25"/>
    <w:rsid w:val="00521E8D"/>
    <w:rsid w:val="00526E32"/>
    <w:rsid w:val="00526FB6"/>
    <w:rsid w:val="00533DB6"/>
    <w:rsid w:val="00536F9C"/>
    <w:rsid w:val="00541851"/>
    <w:rsid w:val="00546E3D"/>
    <w:rsid w:val="00564577"/>
    <w:rsid w:val="00565CBD"/>
    <w:rsid w:val="00580551"/>
    <w:rsid w:val="00582000"/>
    <w:rsid w:val="0058201A"/>
    <w:rsid w:val="005B347A"/>
    <w:rsid w:val="005B5B3A"/>
    <w:rsid w:val="005C61FE"/>
    <w:rsid w:val="005D0942"/>
    <w:rsid w:val="005E0943"/>
    <w:rsid w:val="005E0CC1"/>
    <w:rsid w:val="005E6F3B"/>
    <w:rsid w:val="005F28BA"/>
    <w:rsid w:val="005F46C8"/>
    <w:rsid w:val="005F5F1A"/>
    <w:rsid w:val="00600907"/>
    <w:rsid w:val="006045B4"/>
    <w:rsid w:val="00605D93"/>
    <w:rsid w:val="00620FEF"/>
    <w:rsid w:val="0062714B"/>
    <w:rsid w:val="00633897"/>
    <w:rsid w:val="00636BBC"/>
    <w:rsid w:val="00641AD2"/>
    <w:rsid w:val="0067137F"/>
    <w:rsid w:val="00680952"/>
    <w:rsid w:val="00683121"/>
    <w:rsid w:val="00684901"/>
    <w:rsid w:val="006930B5"/>
    <w:rsid w:val="00696105"/>
    <w:rsid w:val="006969A0"/>
    <w:rsid w:val="006B19C9"/>
    <w:rsid w:val="006B2858"/>
    <w:rsid w:val="006B7254"/>
    <w:rsid w:val="006C1ABF"/>
    <w:rsid w:val="006C1E37"/>
    <w:rsid w:val="006C37F5"/>
    <w:rsid w:val="006D7024"/>
    <w:rsid w:val="006E1D73"/>
    <w:rsid w:val="006E288F"/>
    <w:rsid w:val="006E59A6"/>
    <w:rsid w:val="006F29C6"/>
    <w:rsid w:val="006F674F"/>
    <w:rsid w:val="00700B2A"/>
    <w:rsid w:val="007042A1"/>
    <w:rsid w:val="007125D7"/>
    <w:rsid w:val="00715F1B"/>
    <w:rsid w:val="0072713C"/>
    <w:rsid w:val="00737702"/>
    <w:rsid w:val="00743B3E"/>
    <w:rsid w:val="00743FE1"/>
    <w:rsid w:val="00745F2C"/>
    <w:rsid w:val="00747C65"/>
    <w:rsid w:val="0075062B"/>
    <w:rsid w:val="00750FEA"/>
    <w:rsid w:val="0075403B"/>
    <w:rsid w:val="00757B87"/>
    <w:rsid w:val="007627E3"/>
    <w:rsid w:val="00777ACF"/>
    <w:rsid w:val="007949FB"/>
    <w:rsid w:val="00795897"/>
    <w:rsid w:val="007A7435"/>
    <w:rsid w:val="007B039B"/>
    <w:rsid w:val="007B1B19"/>
    <w:rsid w:val="007C28D8"/>
    <w:rsid w:val="007C2ECA"/>
    <w:rsid w:val="007D453B"/>
    <w:rsid w:val="007D5186"/>
    <w:rsid w:val="007E5326"/>
    <w:rsid w:val="007E6039"/>
    <w:rsid w:val="007F01A5"/>
    <w:rsid w:val="007F2CCB"/>
    <w:rsid w:val="00804D3E"/>
    <w:rsid w:val="00805EF5"/>
    <w:rsid w:val="00806D16"/>
    <w:rsid w:val="00806E4C"/>
    <w:rsid w:val="00810AF2"/>
    <w:rsid w:val="00813CA7"/>
    <w:rsid w:val="00814806"/>
    <w:rsid w:val="008152AD"/>
    <w:rsid w:val="00815AF8"/>
    <w:rsid w:val="00822E24"/>
    <w:rsid w:val="008332C5"/>
    <w:rsid w:val="008349E3"/>
    <w:rsid w:val="00834F2B"/>
    <w:rsid w:val="00837714"/>
    <w:rsid w:val="008444E5"/>
    <w:rsid w:val="00844764"/>
    <w:rsid w:val="00853783"/>
    <w:rsid w:val="00857D8D"/>
    <w:rsid w:val="00872C12"/>
    <w:rsid w:val="008831C3"/>
    <w:rsid w:val="008833EF"/>
    <w:rsid w:val="00884663"/>
    <w:rsid w:val="008923E9"/>
    <w:rsid w:val="008A2A1B"/>
    <w:rsid w:val="008B1461"/>
    <w:rsid w:val="008B488E"/>
    <w:rsid w:val="008C03B4"/>
    <w:rsid w:val="008C16D5"/>
    <w:rsid w:val="008C1C27"/>
    <w:rsid w:val="008C24D7"/>
    <w:rsid w:val="008C51BE"/>
    <w:rsid w:val="0090054E"/>
    <w:rsid w:val="00900653"/>
    <w:rsid w:val="00900711"/>
    <w:rsid w:val="009028B1"/>
    <w:rsid w:val="00903636"/>
    <w:rsid w:val="0091480C"/>
    <w:rsid w:val="0091612B"/>
    <w:rsid w:val="0091678F"/>
    <w:rsid w:val="00923CD0"/>
    <w:rsid w:val="00935C32"/>
    <w:rsid w:val="009369FB"/>
    <w:rsid w:val="009403D3"/>
    <w:rsid w:val="00946FC6"/>
    <w:rsid w:val="00951E50"/>
    <w:rsid w:val="009610E3"/>
    <w:rsid w:val="009658CB"/>
    <w:rsid w:val="00966320"/>
    <w:rsid w:val="00967B88"/>
    <w:rsid w:val="0097203E"/>
    <w:rsid w:val="0098472D"/>
    <w:rsid w:val="00984F21"/>
    <w:rsid w:val="00991E39"/>
    <w:rsid w:val="00996E6A"/>
    <w:rsid w:val="009975F7"/>
    <w:rsid w:val="009977A8"/>
    <w:rsid w:val="009A128E"/>
    <w:rsid w:val="009A3DDE"/>
    <w:rsid w:val="009B0A6D"/>
    <w:rsid w:val="009B4CD0"/>
    <w:rsid w:val="009B5F4D"/>
    <w:rsid w:val="009C607C"/>
    <w:rsid w:val="009D0E51"/>
    <w:rsid w:val="009D506E"/>
    <w:rsid w:val="009D511B"/>
    <w:rsid w:val="009D550A"/>
    <w:rsid w:val="009D75A2"/>
    <w:rsid w:val="009F0B51"/>
    <w:rsid w:val="009F136A"/>
    <w:rsid w:val="00A02EF7"/>
    <w:rsid w:val="00A02FF7"/>
    <w:rsid w:val="00A039F0"/>
    <w:rsid w:val="00A11357"/>
    <w:rsid w:val="00A1308A"/>
    <w:rsid w:val="00A172F8"/>
    <w:rsid w:val="00A31F50"/>
    <w:rsid w:val="00A33C51"/>
    <w:rsid w:val="00A35149"/>
    <w:rsid w:val="00A45EA3"/>
    <w:rsid w:val="00A53F3E"/>
    <w:rsid w:val="00A60B69"/>
    <w:rsid w:val="00A63ED4"/>
    <w:rsid w:val="00A67E63"/>
    <w:rsid w:val="00A7176E"/>
    <w:rsid w:val="00A71D06"/>
    <w:rsid w:val="00A76693"/>
    <w:rsid w:val="00A97F45"/>
    <w:rsid w:val="00AA0F4F"/>
    <w:rsid w:val="00AA13F0"/>
    <w:rsid w:val="00AA64D3"/>
    <w:rsid w:val="00AB004A"/>
    <w:rsid w:val="00AB498A"/>
    <w:rsid w:val="00AC01B0"/>
    <w:rsid w:val="00AC08AA"/>
    <w:rsid w:val="00AC5F12"/>
    <w:rsid w:val="00AC6896"/>
    <w:rsid w:val="00AD05AC"/>
    <w:rsid w:val="00AD740D"/>
    <w:rsid w:val="00B05955"/>
    <w:rsid w:val="00B13A6C"/>
    <w:rsid w:val="00B14DD5"/>
    <w:rsid w:val="00B202A2"/>
    <w:rsid w:val="00B20A65"/>
    <w:rsid w:val="00B22C55"/>
    <w:rsid w:val="00B30635"/>
    <w:rsid w:val="00B60874"/>
    <w:rsid w:val="00B6516B"/>
    <w:rsid w:val="00B73ABA"/>
    <w:rsid w:val="00B778AA"/>
    <w:rsid w:val="00B93ED4"/>
    <w:rsid w:val="00BA65D2"/>
    <w:rsid w:val="00BB3B11"/>
    <w:rsid w:val="00BC2ABB"/>
    <w:rsid w:val="00BC387A"/>
    <w:rsid w:val="00BE2D30"/>
    <w:rsid w:val="00BF55F6"/>
    <w:rsid w:val="00BF7288"/>
    <w:rsid w:val="00C0003E"/>
    <w:rsid w:val="00C02E72"/>
    <w:rsid w:val="00C2464F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65918"/>
    <w:rsid w:val="00C83C7F"/>
    <w:rsid w:val="00C86B57"/>
    <w:rsid w:val="00C95E1E"/>
    <w:rsid w:val="00CA0157"/>
    <w:rsid w:val="00CB2D83"/>
    <w:rsid w:val="00CB369D"/>
    <w:rsid w:val="00CC1FE4"/>
    <w:rsid w:val="00CC476F"/>
    <w:rsid w:val="00CD2DAD"/>
    <w:rsid w:val="00CD39F0"/>
    <w:rsid w:val="00CE0C3C"/>
    <w:rsid w:val="00CE5172"/>
    <w:rsid w:val="00CF7799"/>
    <w:rsid w:val="00D05705"/>
    <w:rsid w:val="00D111F9"/>
    <w:rsid w:val="00D13192"/>
    <w:rsid w:val="00D23EDD"/>
    <w:rsid w:val="00D31E84"/>
    <w:rsid w:val="00D33D7D"/>
    <w:rsid w:val="00D344FF"/>
    <w:rsid w:val="00D37D32"/>
    <w:rsid w:val="00D4374D"/>
    <w:rsid w:val="00D55F49"/>
    <w:rsid w:val="00D61860"/>
    <w:rsid w:val="00D6214E"/>
    <w:rsid w:val="00D637D4"/>
    <w:rsid w:val="00D70BAA"/>
    <w:rsid w:val="00D71FE6"/>
    <w:rsid w:val="00D72280"/>
    <w:rsid w:val="00D72476"/>
    <w:rsid w:val="00D775B5"/>
    <w:rsid w:val="00D822CC"/>
    <w:rsid w:val="00DA1655"/>
    <w:rsid w:val="00DA4495"/>
    <w:rsid w:val="00DA485E"/>
    <w:rsid w:val="00DA5745"/>
    <w:rsid w:val="00DB1210"/>
    <w:rsid w:val="00DB2D3E"/>
    <w:rsid w:val="00DD4EC2"/>
    <w:rsid w:val="00DE1AF4"/>
    <w:rsid w:val="00DE5290"/>
    <w:rsid w:val="00DE6E07"/>
    <w:rsid w:val="00DF4BF9"/>
    <w:rsid w:val="00DF576F"/>
    <w:rsid w:val="00DF5B72"/>
    <w:rsid w:val="00E06861"/>
    <w:rsid w:val="00E20AD6"/>
    <w:rsid w:val="00E307C3"/>
    <w:rsid w:val="00E3552B"/>
    <w:rsid w:val="00E60FD0"/>
    <w:rsid w:val="00E654B2"/>
    <w:rsid w:val="00E65F4B"/>
    <w:rsid w:val="00E661C5"/>
    <w:rsid w:val="00E67B0A"/>
    <w:rsid w:val="00E7515C"/>
    <w:rsid w:val="00E9216A"/>
    <w:rsid w:val="00EA0F15"/>
    <w:rsid w:val="00EA1A35"/>
    <w:rsid w:val="00EA1DB6"/>
    <w:rsid w:val="00EB228B"/>
    <w:rsid w:val="00EB315E"/>
    <w:rsid w:val="00ED1E87"/>
    <w:rsid w:val="00ED612E"/>
    <w:rsid w:val="00ED61BE"/>
    <w:rsid w:val="00EE5F14"/>
    <w:rsid w:val="00EF35F1"/>
    <w:rsid w:val="00EF4078"/>
    <w:rsid w:val="00EF6371"/>
    <w:rsid w:val="00EF6534"/>
    <w:rsid w:val="00F0163A"/>
    <w:rsid w:val="00F14F5D"/>
    <w:rsid w:val="00F163AB"/>
    <w:rsid w:val="00F165BC"/>
    <w:rsid w:val="00F205D9"/>
    <w:rsid w:val="00F22283"/>
    <w:rsid w:val="00F27B5E"/>
    <w:rsid w:val="00F34BF6"/>
    <w:rsid w:val="00F40654"/>
    <w:rsid w:val="00F4065A"/>
    <w:rsid w:val="00F43DDE"/>
    <w:rsid w:val="00F53BEF"/>
    <w:rsid w:val="00F56203"/>
    <w:rsid w:val="00F752F1"/>
    <w:rsid w:val="00F82AEB"/>
    <w:rsid w:val="00F8645F"/>
    <w:rsid w:val="00F91600"/>
    <w:rsid w:val="00F94A2F"/>
    <w:rsid w:val="00F961DE"/>
    <w:rsid w:val="00FC253A"/>
    <w:rsid w:val="00FC3987"/>
    <w:rsid w:val="00FC6AF1"/>
    <w:rsid w:val="00FD38DB"/>
    <w:rsid w:val="00FF614D"/>
    <w:rsid w:val="00FF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7A8E-E643-407F-98B9-68A2AD2C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2388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Tiago Fadel Malghosian</cp:lastModifiedBy>
  <cp:revision>18</cp:revision>
  <cp:lastPrinted>2021-12-03T16:31:00Z</cp:lastPrinted>
  <dcterms:created xsi:type="dcterms:W3CDTF">2024-05-22T15:54:00Z</dcterms:created>
  <dcterms:modified xsi:type="dcterms:W3CDTF">2024-06-03T14:06:00Z</dcterms:modified>
</cp:coreProperties>
</file>