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B65C8" w:rsidRPr="00DB65C8" w:rsidP="00A26518">
      <w:pPr>
        <w:pStyle w:val="Default"/>
        <w:jc w:val="both"/>
        <w:rPr>
          <w:rFonts w:ascii="Calibri" w:hAnsi="Calibri" w:cs="Calibri"/>
          <w:b/>
          <w:color w:val="FF0000"/>
          <w:sz w:val="12"/>
          <w:szCs w:val="12"/>
        </w:rPr>
      </w:pPr>
    </w:p>
    <w:p w:rsidR="00703833" w:rsidRPr="00DB65C8" w:rsidP="00A26518">
      <w:pPr>
        <w:pStyle w:val="Default"/>
        <w:jc w:val="both"/>
        <w:rPr>
          <w:rFonts w:ascii="Calibri" w:hAnsi="Calibri" w:cs="Calibri"/>
          <w:b/>
          <w:color w:val="FF0000"/>
        </w:rPr>
      </w:pPr>
      <w:r w:rsidRPr="00F84CCD">
        <w:rPr>
          <w:rFonts w:ascii="Calibri" w:hAnsi="Calibri" w:cs="Calibri"/>
          <w:b/>
          <w:color w:val="auto"/>
        </w:rPr>
        <w:t xml:space="preserve">Parecer </w:t>
      </w:r>
      <w:r w:rsidRPr="00F84CCD">
        <w:rPr>
          <w:rFonts w:ascii="Calibri" w:hAnsi="Calibri" w:cs="Calibri"/>
          <w:b/>
          <w:color w:val="auto"/>
        </w:rPr>
        <w:t>J</w:t>
      </w:r>
      <w:r w:rsidRPr="00F84CCD">
        <w:rPr>
          <w:rFonts w:ascii="Calibri" w:hAnsi="Calibri" w:cs="Calibri"/>
          <w:b/>
          <w:color w:val="auto"/>
        </w:rPr>
        <w:t>urídico</w:t>
      </w:r>
      <w:r w:rsidRPr="00F84CCD">
        <w:rPr>
          <w:rFonts w:ascii="Calibri" w:hAnsi="Calibri" w:cs="Calibri"/>
          <w:b/>
          <w:color w:val="auto"/>
        </w:rPr>
        <w:t xml:space="preserve"> nº </w:t>
      </w:r>
      <w:r w:rsidRPr="00F84CCD" w:rsidR="00F84CCD">
        <w:rPr>
          <w:rFonts w:ascii="Calibri" w:hAnsi="Calibri" w:cs="Calibri"/>
          <w:b/>
          <w:color w:val="auto"/>
        </w:rPr>
        <w:t>129</w:t>
      </w:r>
      <w:r w:rsidRPr="00F84CCD">
        <w:rPr>
          <w:rFonts w:ascii="Calibri" w:hAnsi="Calibri" w:cs="Calibri"/>
          <w:b/>
          <w:color w:val="auto"/>
        </w:rPr>
        <w:t>/202</w:t>
      </w:r>
      <w:r w:rsidRPr="00F84CCD" w:rsidR="00244DC5">
        <w:rPr>
          <w:rFonts w:ascii="Calibri" w:hAnsi="Calibri" w:cs="Calibri"/>
          <w:b/>
          <w:color w:val="auto"/>
        </w:rPr>
        <w:t>4</w:t>
      </w:r>
      <w:r w:rsidRPr="0063794A">
        <w:rPr>
          <w:rFonts w:ascii="Calibri" w:hAnsi="Calibri" w:cs="Calibri"/>
          <w:b/>
          <w:color w:val="auto"/>
        </w:rPr>
        <w:t>.</w:t>
      </w:r>
    </w:p>
    <w:p w:rsidR="00DB65C8" w:rsidRPr="00DB65C8" w:rsidP="00D92B43">
      <w:pPr>
        <w:spacing w:after="0" w:line="240" w:lineRule="auto"/>
        <w:jc w:val="both"/>
        <w:rPr>
          <w:rFonts w:ascii="Calibri" w:hAnsi="Calibri" w:cs="Calibri"/>
        </w:rPr>
      </w:pPr>
      <w:r w:rsidRPr="00D92B43">
        <w:rPr>
          <w:rFonts w:ascii="Calibri" w:hAnsi="Calibri" w:cs="Calibri"/>
          <w:b/>
          <w:bCs/>
        </w:rPr>
        <w:t xml:space="preserve">Assunto: </w:t>
      </w:r>
      <w:r w:rsidRPr="00D92B43">
        <w:rPr>
          <w:rFonts w:ascii="Calibri" w:hAnsi="Calibri" w:cs="Calibri"/>
          <w:b/>
        </w:rPr>
        <w:t xml:space="preserve">Projeto de Lei nº </w:t>
      </w:r>
      <w:r>
        <w:rPr>
          <w:rFonts w:ascii="Calibri" w:hAnsi="Calibri" w:cs="Calibri"/>
          <w:b/>
        </w:rPr>
        <w:t>52</w:t>
      </w:r>
      <w:r w:rsidRPr="00D92B43">
        <w:rPr>
          <w:rFonts w:ascii="Calibri" w:hAnsi="Calibri" w:cs="Calibri"/>
          <w:b/>
        </w:rPr>
        <w:t>/202</w:t>
      </w:r>
      <w:r w:rsidRPr="00D92B43" w:rsidR="00D92B43">
        <w:rPr>
          <w:rFonts w:ascii="Calibri" w:hAnsi="Calibri" w:cs="Calibri"/>
          <w:b/>
        </w:rPr>
        <w:t>4</w:t>
      </w:r>
      <w:r w:rsidR="00D92B43">
        <w:rPr>
          <w:rFonts w:ascii="Calibri" w:hAnsi="Calibri" w:cs="Calibri"/>
          <w:b/>
        </w:rPr>
        <w:t xml:space="preserve"> </w:t>
      </w:r>
      <w:r>
        <w:rPr>
          <w:rFonts w:ascii="Calibri" w:hAnsi="Calibri" w:cs="Calibri"/>
        </w:rPr>
        <w:t>–</w:t>
      </w:r>
      <w:r w:rsidRPr="00D92B43">
        <w:rPr>
          <w:rFonts w:ascii="Calibri" w:hAnsi="Calibri" w:cs="Calibri"/>
        </w:rPr>
        <w:t xml:space="preserve"> </w:t>
      </w:r>
      <w:r w:rsidRPr="0063794A">
        <w:rPr>
          <w:rFonts w:ascii="Calibri" w:hAnsi="Calibri" w:cs="Calibri"/>
          <w:i/>
        </w:rPr>
        <w:t xml:space="preserve">Dispõe sobre a criação de critérios técnicos específicos para Empreendimentos de Habitação de Interesse Social – Faixa </w:t>
      </w:r>
      <w:r w:rsidRPr="0063794A">
        <w:rPr>
          <w:rFonts w:ascii="Calibri" w:hAnsi="Calibri" w:cs="Calibri"/>
          <w:i/>
        </w:rPr>
        <w:t>1</w:t>
      </w:r>
      <w:r w:rsidRPr="0063794A">
        <w:rPr>
          <w:rFonts w:ascii="Calibri" w:hAnsi="Calibri" w:cs="Calibri"/>
          <w:i/>
        </w:rPr>
        <w:t>, no âmbito do Programa Minha Casa Minha Vida, e autoriza o repasse de recursos ao FAR – Fundo de Arrendamento Residencial, conforme disposições da Lei nº 6.565/23</w:t>
      </w:r>
      <w:r w:rsidRPr="00DB65C8">
        <w:rPr>
          <w:rFonts w:ascii="Calibri" w:hAnsi="Calibri" w:cs="Calibri"/>
        </w:rPr>
        <w:t xml:space="preserve">. </w:t>
      </w:r>
    </w:p>
    <w:p w:rsidR="00244DC5" w:rsidRPr="00DB65C8" w:rsidP="00A26518">
      <w:pPr>
        <w:spacing w:after="0" w:line="240" w:lineRule="auto"/>
        <w:jc w:val="both"/>
        <w:rPr>
          <w:rFonts w:ascii="Calibri" w:hAnsi="Calibri" w:cs="Calibri"/>
          <w:b/>
        </w:rPr>
      </w:pPr>
      <w:r w:rsidRPr="00DB65C8">
        <w:rPr>
          <w:rFonts w:ascii="Calibri" w:hAnsi="Calibri" w:cs="Calibri"/>
          <w:b/>
        </w:rPr>
        <w:t>Autoria do</w:t>
      </w:r>
      <w:r w:rsidRPr="00DB65C8" w:rsidR="00DB65C8">
        <w:rPr>
          <w:rFonts w:ascii="Calibri" w:hAnsi="Calibri" w:cs="Calibri"/>
          <w:b/>
        </w:rPr>
        <w:t xml:space="preserve"> Executivo.</w:t>
      </w:r>
      <w:r w:rsidRPr="00DB65C8">
        <w:rPr>
          <w:rFonts w:ascii="Calibri" w:hAnsi="Calibri" w:cs="Calibri"/>
          <w:b/>
        </w:rPr>
        <w:t xml:space="preserve"> </w:t>
      </w:r>
      <w:r w:rsidRPr="00DB65C8" w:rsidR="00DB65C8">
        <w:rPr>
          <w:rFonts w:ascii="Calibri" w:hAnsi="Calibri" w:cs="Calibri"/>
          <w:b/>
        </w:rPr>
        <w:t>Mensagem nº 31/24</w:t>
      </w:r>
      <w:r w:rsidR="0063794A">
        <w:rPr>
          <w:rFonts w:ascii="Calibri" w:hAnsi="Calibri" w:cs="Calibri"/>
          <w:b/>
        </w:rPr>
        <w:t>.</w:t>
      </w:r>
    </w:p>
    <w:p w:rsidR="00451661" w:rsidRPr="00DB65C8" w:rsidP="00451661">
      <w:pPr>
        <w:spacing w:line="240" w:lineRule="auto"/>
        <w:jc w:val="both"/>
        <w:rPr>
          <w:rFonts w:ascii="Calibri" w:hAnsi="Calibri" w:cs="Calibri"/>
          <w:b/>
          <w:color w:val="FF0000"/>
          <w:sz w:val="12"/>
          <w:szCs w:val="12"/>
        </w:rPr>
      </w:pPr>
    </w:p>
    <w:p w:rsidR="00967C83" w:rsidP="00451661">
      <w:pPr>
        <w:pStyle w:val="Default"/>
        <w:jc w:val="both"/>
        <w:rPr>
          <w:rFonts w:ascii="Calibri" w:hAnsi="Calibri" w:cs="Calibri"/>
          <w:color w:val="FF0000"/>
        </w:rPr>
      </w:pPr>
    </w:p>
    <w:p w:rsidR="00DB65C8" w:rsidRPr="00595C1B" w:rsidP="00451661">
      <w:pPr>
        <w:pStyle w:val="Default"/>
        <w:jc w:val="both"/>
        <w:rPr>
          <w:rFonts w:ascii="Calibri" w:hAnsi="Calibri" w:cs="Calibri"/>
          <w:color w:val="FF0000"/>
        </w:rPr>
      </w:pPr>
    </w:p>
    <w:p w:rsidR="00703833" w:rsidRPr="005A0EB8" w:rsidP="00451661">
      <w:pPr>
        <w:pStyle w:val="Default"/>
        <w:jc w:val="both"/>
        <w:rPr>
          <w:rFonts w:ascii="Calibri" w:hAnsi="Calibri" w:cs="Calibri"/>
          <w:b/>
          <w:i/>
          <w:color w:val="auto"/>
        </w:rPr>
      </w:pPr>
      <w:r w:rsidRPr="005A0EB8">
        <w:rPr>
          <w:rFonts w:ascii="Calibri" w:hAnsi="Calibri" w:cs="Calibri"/>
          <w:b/>
          <w:i/>
          <w:color w:val="auto"/>
        </w:rPr>
        <w:t>À Comissão de Justiça e Redação,</w:t>
      </w:r>
    </w:p>
    <w:p w:rsidR="0075311E" w:rsidP="00703833">
      <w:pPr>
        <w:pStyle w:val="Default"/>
        <w:spacing w:after="240" w:line="360" w:lineRule="auto"/>
        <w:jc w:val="both"/>
        <w:rPr>
          <w:rFonts w:ascii="Calibri" w:hAnsi="Calibri" w:cs="Calibri"/>
          <w:b/>
          <w:i/>
          <w:color w:val="auto"/>
        </w:rPr>
      </w:pPr>
      <w:r w:rsidRPr="005A0EB8">
        <w:rPr>
          <w:rFonts w:ascii="Calibri" w:hAnsi="Calibri" w:cs="Calibri"/>
          <w:b/>
          <w:i/>
          <w:color w:val="auto"/>
        </w:rPr>
        <w:t>Exmo. Presidente Vereador Gabriel Bueno.</w:t>
      </w:r>
    </w:p>
    <w:p w:rsidR="006039AA" w:rsidP="00703833">
      <w:pPr>
        <w:pStyle w:val="Default"/>
        <w:spacing w:after="240" w:line="360" w:lineRule="auto"/>
        <w:jc w:val="both"/>
        <w:rPr>
          <w:rFonts w:ascii="Calibri" w:hAnsi="Calibri" w:cs="Calibri"/>
          <w:color w:val="auto"/>
        </w:rPr>
      </w:pPr>
    </w:p>
    <w:p w:rsidR="00451661" w:rsidRPr="00DB65C8" w:rsidP="00DB65C8">
      <w:pPr>
        <w:spacing w:after="240" w:line="360" w:lineRule="auto"/>
        <w:ind w:firstLine="1701"/>
        <w:jc w:val="both"/>
        <w:rPr>
          <w:rFonts w:ascii="Calibri" w:hAnsi="Calibri" w:cs="Calibri"/>
          <w:b/>
          <w:i/>
          <w:szCs w:val="24"/>
        </w:rPr>
      </w:pPr>
      <w:r w:rsidRPr="00CF06DC">
        <w:rPr>
          <w:rFonts w:ascii="Calibri" w:hAnsi="Calibri" w:cs="Calibri"/>
        </w:rPr>
        <w:t>Trata-se de parecer jurídico relativo ao projeto em epígrafe</w:t>
      </w:r>
      <w:r w:rsidRPr="00CF06DC">
        <w:rPr>
          <w:rFonts w:ascii="Calibri" w:hAnsi="Calibri" w:cs="Calibri"/>
          <w:b/>
          <w:bCs/>
        </w:rPr>
        <w:t xml:space="preserve"> </w:t>
      </w:r>
      <w:r w:rsidRPr="00CF06DC">
        <w:rPr>
          <w:rFonts w:ascii="Calibri" w:hAnsi="Calibri" w:cs="Calibri"/>
          <w:b/>
          <w:szCs w:val="24"/>
        </w:rPr>
        <w:t>“</w:t>
      </w:r>
      <w:r w:rsidRPr="00DB65C8" w:rsidR="00DB65C8">
        <w:rPr>
          <w:rFonts w:ascii="Calibri" w:hAnsi="Calibri" w:cs="Calibri"/>
          <w:i/>
        </w:rPr>
        <w:t xml:space="preserve">Dispõe sobre a criação de critérios técnicos específicos para Empreendimentos de Habitação de Interesse Social – Faixa </w:t>
      </w:r>
      <w:r w:rsidRPr="00DB65C8" w:rsidR="00DB65C8">
        <w:rPr>
          <w:rFonts w:ascii="Calibri" w:hAnsi="Calibri" w:cs="Calibri"/>
          <w:i/>
        </w:rPr>
        <w:t>1</w:t>
      </w:r>
      <w:r w:rsidRPr="00DB65C8" w:rsidR="00DB65C8">
        <w:rPr>
          <w:rFonts w:ascii="Calibri" w:hAnsi="Calibri" w:cs="Calibri"/>
          <w:i/>
        </w:rPr>
        <w:t>, no âmbito do Programa Minha Casa Minha Vida, e autoriza o repasse de recursos ao FAR – Fundo de Arrendamento Residencial, conforme disposições da Lei nº 6.565/23.</w:t>
      </w:r>
      <w:r w:rsidRPr="00DB65C8">
        <w:rPr>
          <w:rFonts w:ascii="Calibri" w:hAnsi="Calibri" w:cs="Calibri"/>
          <w:i/>
        </w:rPr>
        <w:t>”</w:t>
      </w:r>
      <w:r w:rsidRPr="00DB65C8">
        <w:rPr>
          <w:rFonts w:ascii="Calibri" w:hAnsi="Calibri" w:cs="Calibri"/>
          <w:bCs/>
          <w:i/>
        </w:rPr>
        <w:t>.</w:t>
      </w:r>
    </w:p>
    <w:p w:rsidR="00DB65C8" w:rsidRPr="00DB65C8" w:rsidP="00DB65C8">
      <w:pPr>
        <w:spacing w:after="120" w:line="360" w:lineRule="auto"/>
        <w:ind w:firstLine="1701"/>
        <w:jc w:val="both"/>
        <w:rPr>
          <w:rFonts w:asciiTheme="minorHAnsi" w:hAnsiTheme="minorHAnsi" w:cstheme="minorHAnsi"/>
          <w:szCs w:val="24"/>
        </w:rPr>
      </w:pPr>
      <w:r w:rsidRPr="00DB65C8">
        <w:rPr>
          <w:rFonts w:asciiTheme="minorHAnsi" w:hAnsiTheme="minorHAnsi" w:cstheme="minorHAnsi"/>
          <w:i/>
          <w:szCs w:val="24"/>
        </w:rPr>
        <w:t>Ab initio</w:t>
      </w:r>
      <w:r w:rsidRPr="00DB65C8">
        <w:rPr>
          <w:rFonts w:asciiTheme="minorHAnsi" w:hAnsiTheme="minorHAnsi" w:cstheme="minorHAnsi"/>
          <w:szCs w:val="24"/>
        </w:rPr>
        <w:t>, cumpre destacar a competência regimental da Comissão de Justiça e Redação estabelecida no artigo 38</w:t>
      </w:r>
      <w:r>
        <w:rPr>
          <w:rStyle w:val="FootnoteReference"/>
          <w:rFonts w:asciiTheme="minorHAnsi" w:hAnsiTheme="minorHAnsi" w:cstheme="minorHAnsi"/>
          <w:szCs w:val="24"/>
        </w:rPr>
        <w:footnoteReference w:id="2"/>
      </w:r>
      <w:r w:rsidRPr="00DB65C8">
        <w:rPr>
          <w:rFonts w:asciiTheme="minorHAnsi" w:hAnsiTheme="minorHAnsi" w:cstheme="minorHAnsi"/>
          <w:szCs w:val="24"/>
        </w:rPr>
        <w:t>.</w:t>
      </w:r>
    </w:p>
    <w:p w:rsidR="00DB65C8" w:rsidRPr="008450AC" w:rsidP="00DB65C8">
      <w:pPr>
        <w:spacing w:after="120" w:line="360" w:lineRule="auto"/>
        <w:ind w:firstLine="1701"/>
        <w:jc w:val="both"/>
        <w:rPr>
          <w:rFonts w:asciiTheme="minorHAnsi" w:hAnsiTheme="minorHAnsi" w:cstheme="minorHAnsi"/>
          <w:i/>
          <w:sz w:val="22"/>
          <w:szCs w:val="22"/>
        </w:rPr>
      </w:pPr>
      <w:r w:rsidRPr="00DB65C8">
        <w:rPr>
          <w:rFonts w:asciiTheme="minorHAnsi" w:hAnsiTheme="minorHAnsi" w:cstheme="minorHAnsi"/>
          <w:szCs w:val="24"/>
        </w:rPr>
        <w:t>Igualmente, ressalta-se que a opinião jurídica exarada nesse parecer não tem força vinculante, sendo meramente opinativo</w:t>
      </w:r>
      <w:r>
        <w:rPr>
          <w:rStyle w:val="FootnoteReference"/>
          <w:rFonts w:asciiTheme="minorHAnsi" w:hAnsiTheme="minorHAnsi" w:cstheme="minorHAnsi"/>
          <w:szCs w:val="24"/>
        </w:rPr>
        <w:footnoteReference w:id="3"/>
      </w:r>
      <w:r w:rsidRPr="00DB65C8">
        <w:rPr>
          <w:rFonts w:asciiTheme="minorHAnsi" w:hAnsiTheme="minorHAnsi" w:cstheme="minorHAnsi"/>
          <w:szCs w:val="24"/>
        </w:rPr>
        <w:t xml:space="preserve"> não fundamentando decisão proferida pelas Comissões e/ou nobres vereadores. </w:t>
      </w:r>
    </w:p>
    <w:p w:rsidR="00DB65C8" w:rsidP="00FF7C94">
      <w:pPr>
        <w:pStyle w:val="Default"/>
        <w:spacing w:after="240" w:line="360" w:lineRule="auto"/>
        <w:ind w:firstLine="1701"/>
        <w:jc w:val="both"/>
        <w:rPr>
          <w:rFonts w:asciiTheme="minorHAnsi" w:hAnsiTheme="minorHAnsi" w:cstheme="minorHAnsi"/>
          <w:color w:val="auto"/>
        </w:rPr>
      </w:pPr>
      <w:r w:rsidRPr="008450AC">
        <w:rPr>
          <w:rFonts w:asciiTheme="minorHAnsi" w:hAnsiTheme="minorHAnsi" w:cstheme="minorHAnsi"/>
          <w:color w:val="auto"/>
        </w:rPr>
        <w:t>Considerando-se o</w:t>
      </w:r>
      <w:r>
        <w:rPr>
          <w:rFonts w:asciiTheme="minorHAnsi" w:hAnsiTheme="minorHAnsi" w:cstheme="minorHAnsi"/>
          <w:color w:val="auto"/>
        </w:rPr>
        <w:t>s</w:t>
      </w:r>
      <w:r w:rsidRPr="008450AC">
        <w:rPr>
          <w:rFonts w:asciiTheme="minorHAnsi" w:hAnsiTheme="minorHAnsi" w:cstheme="minorHAnsi"/>
          <w:color w:val="auto"/>
        </w:rPr>
        <w:t xml:space="preserve"> aspecto</w:t>
      </w:r>
      <w:r>
        <w:rPr>
          <w:rFonts w:asciiTheme="minorHAnsi" w:hAnsiTheme="minorHAnsi" w:cstheme="minorHAnsi"/>
          <w:color w:val="auto"/>
        </w:rPr>
        <w:t>s</w:t>
      </w:r>
      <w:r w:rsidRPr="008450AC">
        <w:rPr>
          <w:rFonts w:asciiTheme="minorHAnsi" w:hAnsiTheme="minorHAnsi" w:cstheme="minorHAnsi"/>
          <w:color w:val="auto"/>
        </w:rPr>
        <w:t xml:space="preserve"> </w:t>
      </w:r>
      <w:r>
        <w:rPr>
          <w:rFonts w:asciiTheme="minorHAnsi" w:hAnsiTheme="minorHAnsi" w:cstheme="minorHAnsi"/>
          <w:color w:val="auto"/>
        </w:rPr>
        <w:t>jurídicos</w:t>
      </w:r>
      <w:r w:rsidRPr="008450AC">
        <w:rPr>
          <w:rFonts w:asciiTheme="minorHAnsi" w:hAnsiTheme="minorHAnsi" w:cstheme="minorHAnsi"/>
          <w:color w:val="auto"/>
        </w:rPr>
        <w:t xml:space="preserve"> passa-se a </w:t>
      </w:r>
      <w:r w:rsidRPr="008450AC">
        <w:rPr>
          <w:rFonts w:asciiTheme="minorHAnsi" w:hAnsiTheme="minorHAnsi" w:cstheme="minorHAnsi"/>
          <w:b/>
          <w:color w:val="auto"/>
        </w:rPr>
        <w:t>análise técnica</w:t>
      </w:r>
      <w:r w:rsidRPr="008450AC">
        <w:rPr>
          <w:rFonts w:asciiTheme="minorHAnsi" w:hAnsiTheme="minorHAnsi" w:cstheme="minorHAnsi"/>
          <w:color w:val="auto"/>
        </w:rPr>
        <w:t xml:space="preserve"> do projeto. </w:t>
      </w:r>
    </w:p>
    <w:p w:rsidR="00FF7C94" w:rsidRPr="00B9121E" w:rsidP="00FF7C94">
      <w:pPr>
        <w:pStyle w:val="Default"/>
        <w:spacing w:line="360" w:lineRule="auto"/>
        <w:ind w:firstLine="1701"/>
        <w:jc w:val="both"/>
        <w:rPr>
          <w:rFonts w:ascii="Calibri" w:hAnsi="Calibri" w:cs="Calibri"/>
          <w:color w:val="auto"/>
        </w:rPr>
      </w:pPr>
      <w:r w:rsidRPr="00B9121E">
        <w:rPr>
          <w:rFonts w:ascii="Calibri" w:hAnsi="Calibri" w:cs="Calibri"/>
          <w:color w:val="auto"/>
        </w:rPr>
        <w:t>P</w:t>
      </w:r>
      <w:r>
        <w:rPr>
          <w:rFonts w:ascii="Calibri" w:hAnsi="Calibri" w:cs="Calibri"/>
          <w:color w:val="auto"/>
        </w:rPr>
        <w:t>rimeiramente</w:t>
      </w:r>
      <w:r w:rsidRPr="00B9121E">
        <w:rPr>
          <w:rFonts w:ascii="Calibri" w:hAnsi="Calibri" w:cs="Calibri"/>
          <w:color w:val="auto"/>
        </w:rPr>
        <w:t xml:space="preserve">, quanto ao </w:t>
      </w:r>
      <w:r w:rsidRPr="00B9121E">
        <w:rPr>
          <w:rFonts w:ascii="Calibri" w:hAnsi="Calibri" w:cs="Calibri"/>
          <w:color w:val="auto"/>
          <w:u w:val="single"/>
        </w:rPr>
        <w:t>pedido de urgência</w:t>
      </w:r>
      <w:r w:rsidRPr="00B9121E">
        <w:rPr>
          <w:rFonts w:ascii="Calibri" w:hAnsi="Calibri" w:cs="Calibri"/>
          <w:color w:val="auto"/>
        </w:rPr>
        <w:t xml:space="preserve"> o Regimento Interno dispõe:</w:t>
      </w:r>
    </w:p>
    <w:p w:rsidR="00FF7C94" w:rsidRPr="00FF7C94" w:rsidP="00FF7C94">
      <w:pPr>
        <w:autoSpaceDE w:val="0"/>
        <w:autoSpaceDN w:val="0"/>
        <w:adjustRightInd w:val="0"/>
        <w:spacing w:after="0" w:line="240" w:lineRule="auto"/>
        <w:ind w:left="2268"/>
        <w:jc w:val="both"/>
        <w:rPr>
          <w:rFonts w:eastAsia="Calibri" w:asciiTheme="minorHAnsi" w:hAnsiTheme="minorHAnsi" w:cstheme="minorHAnsi"/>
          <w:b/>
          <w:i/>
        </w:rPr>
      </w:pPr>
      <w:r w:rsidRPr="00FF7C94">
        <w:rPr>
          <w:rFonts w:eastAsia="Calibri" w:asciiTheme="minorHAnsi" w:hAnsiTheme="minorHAnsi" w:cstheme="minorHAnsi"/>
          <w:i/>
        </w:rPr>
        <w:t xml:space="preserve">Art. 115. O </w:t>
      </w:r>
      <w:r w:rsidRPr="00FF7C94">
        <w:rPr>
          <w:rFonts w:eastAsia="Calibri" w:asciiTheme="minorHAnsi" w:hAnsiTheme="minorHAnsi" w:cstheme="minorHAnsi"/>
          <w:b/>
          <w:i/>
        </w:rPr>
        <w:t>Prefeito</w:t>
      </w:r>
      <w:r w:rsidRPr="00FF7C94">
        <w:rPr>
          <w:rFonts w:eastAsia="Calibri" w:asciiTheme="minorHAnsi" w:hAnsiTheme="minorHAnsi" w:cstheme="minorHAnsi"/>
          <w:i/>
        </w:rPr>
        <w:t xml:space="preserve"> </w:t>
      </w:r>
      <w:r w:rsidRPr="00FF7C94">
        <w:rPr>
          <w:rFonts w:eastAsia="Calibri" w:asciiTheme="minorHAnsi" w:hAnsiTheme="minorHAnsi" w:cstheme="minorHAnsi"/>
          <w:b/>
          <w:i/>
        </w:rPr>
        <w:t>poderá solicitar regime de urgência para</w:t>
      </w:r>
      <w:r w:rsidRPr="00FF7C94">
        <w:rPr>
          <w:rFonts w:eastAsia="Calibri" w:asciiTheme="minorHAnsi" w:hAnsiTheme="minorHAnsi" w:cstheme="minorHAnsi"/>
          <w:i/>
        </w:rPr>
        <w:t xml:space="preserve"> </w:t>
      </w:r>
      <w:r w:rsidRPr="00FF7C94">
        <w:rPr>
          <w:rFonts w:eastAsia="Calibri" w:asciiTheme="minorHAnsi" w:hAnsiTheme="minorHAnsi" w:cstheme="minorHAnsi"/>
          <w:b/>
          <w:i/>
        </w:rPr>
        <w:t xml:space="preserve">projeto de </w:t>
      </w:r>
      <w:r w:rsidRPr="00FF7C94">
        <w:rPr>
          <w:rFonts w:eastAsia="Calibri" w:asciiTheme="minorHAnsi" w:hAnsiTheme="minorHAnsi" w:cstheme="minorHAnsi"/>
          <w:b/>
          <w:i/>
        </w:rPr>
        <w:t>sua iniciativa</w:t>
      </w:r>
      <w:r w:rsidRPr="00FF7C94">
        <w:rPr>
          <w:rFonts w:eastAsia="Calibri" w:asciiTheme="minorHAnsi" w:hAnsiTheme="minorHAnsi" w:cstheme="minorHAnsi"/>
          <w:i/>
        </w:rPr>
        <w:t xml:space="preserve"> </w:t>
      </w:r>
      <w:r w:rsidRPr="00FF7C94">
        <w:rPr>
          <w:rFonts w:eastAsia="Calibri" w:asciiTheme="minorHAnsi" w:hAnsiTheme="minorHAnsi" w:cstheme="minorHAnsi"/>
          <w:b/>
          <w:i/>
          <w:u w:val="single"/>
        </w:rPr>
        <w:t>considerado de relevante interesse público,</w:t>
      </w:r>
      <w:r w:rsidRPr="00FF7C94">
        <w:rPr>
          <w:rFonts w:eastAsia="Calibri" w:asciiTheme="minorHAnsi" w:hAnsiTheme="minorHAnsi" w:cstheme="minorHAnsi"/>
          <w:i/>
        </w:rPr>
        <w:t xml:space="preserve"> </w:t>
      </w:r>
      <w:r w:rsidRPr="00FF7C94">
        <w:rPr>
          <w:rFonts w:eastAsia="Calibri" w:asciiTheme="minorHAnsi" w:hAnsiTheme="minorHAnsi" w:cstheme="minorHAnsi"/>
          <w:b/>
          <w:i/>
        </w:rPr>
        <w:t>devendo a Câmara</w:t>
      </w:r>
      <w:r w:rsidRPr="00FF7C94">
        <w:rPr>
          <w:rFonts w:eastAsia="Calibri" w:asciiTheme="minorHAnsi" w:hAnsiTheme="minorHAnsi" w:cstheme="minorHAnsi"/>
          <w:b/>
          <w:i/>
        </w:rPr>
        <w:t xml:space="preserve"> apreciá-lo dentro do prazo de trinta dias.</w:t>
      </w:r>
    </w:p>
    <w:p w:rsidR="00FF7C94" w:rsidRPr="00FF7C94" w:rsidP="00FF7C94">
      <w:pPr>
        <w:autoSpaceDE w:val="0"/>
        <w:autoSpaceDN w:val="0"/>
        <w:adjustRightInd w:val="0"/>
        <w:spacing w:after="120" w:line="240" w:lineRule="auto"/>
        <w:ind w:left="2268"/>
        <w:jc w:val="both"/>
        <w:rPr>
          <w:rFonts w:eastAsia="Calibri" w:asciiTheme="minorHAnsi" w:hAnsiTheme="minorHAnsi" w:cstheme="minorHAnsi"/>
          <w:i/>
        </w:rPr>
      </w:pPr>
      <w:r w:rsidRPr="00FF7C94">
        <w:rPr>
          <w:rFonts w:asciiTheme="minorHAnsi" w:hAnsiTheme="minorHAnsi"/>
          <w:i/>
        </w:rPr>
        <w:t xml:space="preserve">§ </w:t>
      </w:r>
      <w:r w:rsidRPr="00FF7C94">
        <w:rPr>
          <w:rFonts w:eastAsia="Calibri" w:asciiTheme="minorHAnsi" w:hAnsiTheme="minorHAnsi" w:cstheme="minorHAnsi"/>
          <w:i/>
        </w:rPr>
        <w:t xml:space="preserve">1º Se a Câmara não deliberar naquele prazo, o projeto será incluído na Ordem do Dia, sobrestando-se a deliberação quanto aos demais, até que se ultime sua votação.  </w:t>
      </w:r>
    </w:p>
    <w:p w:rsidR="00FF7C94" w:rsidRPr="00FF7C94" w:rsidP="00FF7C94">
      <w:pPr>
        <w:autoSpaceDE w:val="0"/>
        <w:autoSpaceDN w:val="0"/>
        <w:adjustRightInd w:val="0"/>
        <w:spacing w:after="120" w:line="240" w:lineRule="auto"/>
        <w:ind w:left="2268"/>
        <w:jc w:val="both"/>
        <w:rPr>
          <w:rFonts w:eastAsia="Calibri" w:asciiTheme="minorHAnsi" w:hAnsiTheme="minorHAnsi" w:cstheme="minorHAnsi"/>
          <w:i/>
        </w:rPr>
      </w:pPr>
      <w:r w:rsidRPr="00FF7C94">
        <w:rPr>
          <w:rFonts w:eastAsia="Calibri" w:asciiTheme="minorHAnsi" w:hAnsiTheme="minorHAnsi" w:cstheme="minorHAnsi"/>
          <w:i/>
        </w:rPr>
        <w:t xml:space="preserve">§ 2º Por exceção, não ficará sobrestado o exame do veto cujo prazo de deliberação tenha se esgotado.  </w:t>
      </w:r>
    </w:p>
    <w:p w:rsidR="00FF7C94" w:rsidRPr="00FF7C94" w:rsidP="00FF7C94">
      <w:pPr>
        <w:autoSpaceDE w:val="0"/>
        <w:autoSpaceDN w:val="0"/>
        <w:adjustRightInd w:val="0"/>
        <w:spacing w:after="120" w:line="240" w:lineRule="auto"/>
        <w:ind w:left="2268"/>
        <w:jc w:val="both"/>
        <w:rPr>
          <w:rFonts w:eastAsia="Calibri" w:asciiTheme="minorHAnsi" w:hAnsiTheme="minorHAnsi" w:cstheme="minorHAnsi"/>
          <w:i/>
        </w:rPr>
      </w:pPr>
      <w:r w:rsidRPr="00FF7C94">
        <w:rPr>
          <w:rFonts w:eastAsia="Calibri" w:asciiTheme="minorHAnsi" w:hAnsiTheme="minorHAnsi" w:cstheme="minorHAnsi"/>
          <w:i/>
        </w:rPr>
        <w:t xml:space="preserve">§ 3º O pedido de urgência será apreciado pela Comissão de Justiça e Redação e quando negado será submetido à votação do Plenário.  </w:t>
      </w:r>
    </w:p>
    <w:p w:rsidR="00FF7C94" w:rsidRPr="00FF7C94" w:rsidP="00FF7C94">
      <w:pPr>
        <w:autoSpaceDE w:val="0"/>
        <w:autoSpaceDN w:val="0"/>
        <w:adjustRightInd w:val="0"/>
        <w:spacing w:after="120" w:line="240" w:lineRule="auto"/>
        <w:ind w:left="2268"/>
        <w:jc w:val="both"/>
        <w:rPr>
          <w:rFonts w:eastAsia="Calibri" w:asciiTheme="minorHAnsi" w:hAnsiTheme="minorHAnsi" w:cstheme="minorHAnsi"/>
          <w:i/>
        </w:rPr>
      </w:pPr>
      <w:r w:rsidRPr="00FF7C94">
        <w:rPr>
          <w:rFonts w:eastAsia="Calibri" w:asciiTheme="minorHAnsi" w:hAnsiTheme="minorHAnsi" w:cstheme="minorHAnsi"/>
          <w:i/>
        </w:rPr>
        <w:t xml:space="preserve">§ 4º A Mesa poderá fixar prazo para apresentação de emendas tanto em primeira como em segunda discussão. </w:t>
      </w:r>
    </w:p>
    <w:p w:rsidR="00FF7C94" w:rsidRPr="00FF7C94" w:rsidP="00FF7C94">
      <w:pPr>
        <w:autoSpaceDE w:val="0"/>
        <w:autoSpaceDN w:val="0"/>
        <w:adjustRightInd w:val="0"/>
        <w:spacing w:after="120" w:line="240" w:lineRule="auto"/>
        <w:ind w:left="2268"/>
        <w:jc w:val="both"/>
        <w:rPr>
          <w:rFonts w:eastAsia="Calibri" w:asciiTheme="minorHAnsi" w:hAnsiTheme="minorHAnsi" w:cstheme="minorHAnsi"/>
          <w:i/>
        </w:rPr>
      </w:pPr>
      <w:r w:rsidRPr="00FF7C94">
        <w:rPr>
          <w:rFonts w:eastAsia="Calibri" w:asciiTheme="minorHAnsi" w:hAnsiTheme="minorHAnsi" w:cstheme="minorHAnsi"/>
          <w:i/>
        </w:rPr>
        <w:t xml:space="preserve">§ 5º Após o prazo fixado na forma do parágrafo anterior, as emendas para a segunda discussão só serão aceitas quando apresentadas pela Mesa ou assinada por pelo menos um terço dos vereadores da Câmara. </w:t>
      </w:r>
    </w:p>
    <w:p w:rsidR="00FF7C94" w:rsidRPr="00FF7C94" w:rsidP="00FF7C94">
      <w:pPr>
        <w:autoSpaceDE w:val="0"/>
        <w:autoSpaceDN w:val="0"/>
        <w:adjustRightInd w:val="0"/>
        <w:spacing w:after="120" w:line="240" w:lineRule="auto"/>
        <w:ind w:left="2268"/>
        <w:jc w:val="both"/>
        <w:rPr>
          <w:rFonts w:eastAsia="Calibri" w:asciiTheme="minorHAnsi" w:hAnsiTheme="minorHAnsi" w:cstheme="minorHAnsi"/>
          <w:b/>
          <w:i/>
        </w:rPr>
      </w:pPr>
      <w:r w:rsidRPr="00FF7C94">
        <w:rPr>
          <w:rFonts w:eastAsia="Calibri" w:asciiTheme="minorHAnsi" w:hAnsiTheme="minorHAnsi" w:cstheme="minorHAnsi"/>
          <w:b/>
          <w:i/>
        </w:rPr>
        <w:t>§ 6º Aos projetos de Codificação e Estatuto, artigos 121 e 122, não se aplicam o disposto no caput do artigo.</w:t>
      </w:r>
    </w:p>
    <w:p w:rsidR="00FF7C94" w:rsidRPr="007979E0" w:rsidP="00FF7C94">
      <w:pPr>
        <w:autoSpaceDE w:val="0"/>
        <w:autoSpaceDN w:val="0"/>
        <w:adjustRightInd w:val="0"/>
        <w:spacing w:after="240" w:line="300" w:lineRule="auto"/>
        <w:ind w:left="2835"/>
        <w:jc w:val="both"/>
        <w:rPr>
          <w:rFonts w:eastAsia="Calibri" w:cstheme="minorHAnsi"/>
          <w:i/>
          <w:sz w:val="4"/>
          <w:szCs w:val="4"/>
        </w:rPr>
      </w:pPr>
    </w:p>
    <w:p w:rsidR="00FF7C94" w:rsidRPr="00C121CA" w:rsidP="00FF7C94">
      <w:pPr>
        <w:pStyle w:val="Default"/>
        <w:spacing w:after="300" w:line="360" w:lineRule="auto"/>
        <w:ind w:firstLine="1701"/>
        <w:jc w:val="both"/>
        <w:rPr>
          <w:rFonts w:asciiTheme="minorHAnsi" w:hAnsiTheme="minorHAnsi" w:cstheme="minorHAnsi"/>
          <w:color w:val="auto"/>
          <w:u w:val="single"/>
        </w:rPr>
      </w:pPr>
      <w:r w:rsidRPr="00C121CA">
        <w:rPr>
          <w:rFonts w:asciiTheme="minorHAnsi" w:hAnsiTheme="minorHAnsi" w:cstheme="minorHAnsi"/>
          <w:color w:val="auto"/>
          <w:u w:val="single"/>
        </w:rPr>
        <w:t>Assim, por não se tratar de projeto de Codificação ou de Estatuto e desde que a Comissão de Justiça e Redação entenda estar caracterizado o relevante interesse público, o pedido de urgência comportará manifestação favorável.</w:t>
      </w:r>
    </w:p>
    <w:p w:rsidR="00FF7C94" w:rsidRPr="007E1F99" w:rsidP="00FF7C94">
      <w:pPr>
        <w:pStyle w:val="Default"/>
        <w:spacing w:after="240" w:line="360" w:lineRule="auto"/>
        <w:ind w:firstLine="1701"/>
        <w:jc w:val="both"/>
        <w:rPr>
          <w:rFonts w:ascii="Calibri" w:hAnsi="Calibri" w:cs="Calibri"/>
          <w:i/>
          <w:color w:val="auto"/>
        </w:rPr>
      </w:pPr>
      <w:r>
        <w:rPr>
          <w:rFonts w:ascii="Calibri" w:hAnsi="Calibri" w:cs="Calibri"/>
          <w:color w:val="auto"/>
        </w:rPr>
        <w:t>N</w:t>
      </w:r>
      <w:r w:rsidRPr="007E1F99">
        <w:rPr>
          <w:rFonts w:ascii="Calibri" w:hAnsi="Calibri" w:cs="Calibri"/>
          <w:color w:val="auto"/>
        </w:rPr>
        <w:t>o que tange à</w:t>
      </w:r>
      <w:r>
        <w:rPr>
          <w:rFonts w:ascii="Calibri" w:hAnsi="Calibri" w:cs="Calibri"/>
          <w:color w:val="auto"/>
        </w:rPr>
        <w:t xml:space="preserve"> </w:t>
      </w:r>
      <w:r w:rsidRPr="000E6E82">
        <w:rPr>
          <w:rFonts w:ascii="Calibri" w:hAnsi="Calibri" w:cs="Calibri"/>
          <w:b/>
          <w:color w:val="auto"/>
        </w:rPr>
        <w:t>competência municipal</w:t>
      </w:r>
      <w:r w:rsidRPr="00B9121E">
        <w:rPr>
          <w:rFonts w:ascii="Calibri" w:hAnsi="Calibri" w:cs="Calibri"/>
          <w:color w:val="auto"/>
        </w:rPr>
        <w:t xml:space="preserve"> </w:t>
      </w:r>
      <w:r>
        <w:rPr>
          <w:rFonts w:ascii="Calibri" w:hAnsi="Calibri" w:cs="Calibri"/>
          <w:color w:val="auto"/>
        </w:rPr>
        <w:t>o projeto em</w:t>
      </w:r>
      <w:r w:rsidRPr="007E1F99">
        <w:rPr>
          <w:rFonts w:ascii="Calibri" w:hAnsi="Calibri" w:cs="Calibri"/>
          <w:color w:val="auto"/>
        </w:rPr>
        <w:t xml:space="preserve"> exame</w:t>
      </w:r>
      <w:r>
        <w:rPr>
          <w:rFonts w:ascii="Calibri" w:hAnsi="Calibri" w:cs="Calibri"/>
          <w:color w:val="auto"/>
        </w:rPr>
        <w:t xml:space="preserve"> afigura-se revestido</w:t>
      </w:r>
      <w:r w:rsidR="00230E31">
        <w:rPr>
          <w:rFonts w:ascii="Calibri" w:hAnsi="Calibri" w:cs="Calibri"/>
          <w:color w:val="auto"/>
        </w:rPr>
        <w:t xml:space="preserve"> de constitucionalidade</w:t>
      </w:r>
      <w:r w:rsidRPr="007E1F99" w:rsidR="00230E31">
        <w:rPr>
          <w:rFonts w:ascii="Calibri" w:hAnsi="Calibri" w:cs="Calibri"/>
          <w:color w:val="auto"/>
        </w:rPr>
        <w:t>, pois</w:t>
      </w:r>
      <w:r w:rsidR="00230E31">
        <w:rPr>
          <w:rFonts w:ascii="Calibri" w:hAnsi="Calibri" w:cs="Calibri"/>
          <w:color w:val="auto"/>
        </w:rPr>
        <w:t>,</w:t>
      </w:r>
      <w:r w:rsidRPr="007E1F99">
        <w:rPr>
          <w:rFonts w:ascii="Calibri" w:hAnsi="Calibri" w:cs="Calibri"/>
          <w:color w:val="auto"/>
        </w:rPr>
        <w:t xml:space="preserve"> por força da Constituição Federal</w:t>
      </w:r>
      <w:r w:rsidR="00230E31">
        <w:rPr>
          <w:rFonts w:ascii="Calibri" w:hAnsi="Calibri" w:cs="Calibri"/>
          <w:color w:val="auto"/>
        </w:rPr>
        <w:t>,</w:t>
      </w:r>
      <w:r w:rsidRPr="007E1F99">
        <w:rPr>
          <w:rFonts w:ascii="Calibri" w:hAnsi="Calibri" w:cs="Calibri"/>
          <w:color w:val="auto"/>
        </w:rPr>
        <w:t xml:space="preserve"> os Municípios foram dotados de autonomia legislativa, que vem consubstanciada na capacidade de legislar sobre assuntos de interesse local (art. 30, I</w:t>
      </w:r>
      <w:r>
        <w:rPr>
          <w:rFonts w:ascii="Calibri" w:hAnsi="Calibri" w:cs="Calibri"/>
          <w:color w:val="auto"/>
        </w:rPr>
        <w:t xml:space="preserve">, da CRFB), bem como </w:t>
      </w:r>
      <w:r w:rsidRPr="00394141">
        <w:rPr>
          <w:rFonts w:ascii="Calibri" w:hAnsi="Calibri" w:cs="Calibri"/>
          <w:color w:val="auto"/>
        </w:rPr>
        <w:t xml:space="preserve">promover, no que </w:t>
      </w:r>
      <w:r w:rsidRPr="00394141">
        <w:rPr>
          <w:rFonts w:ascii="Calibri" w:hAnsi="Calibri" w:cs="Calibri"/>
          <w:color w:val="auto"/>
        </w:rPr>
        <w:t>couber</w:t>
      </w:r>
      <w:r>
        <w:rPr>
          <w:rFonts w:ascii="Calibri" w:hAnsi="Calibri" w:cs="Calibri"/>
          <w:color w:val="auto"/>
        </w:rPr>
        <w:t>,</w:t>
      </w:r>
      <w:r w:rsidRPr="00394141">
        <w:rPr>
          <w:rFonts w:ascii="Calibri" w:hAnsi="Calibri" w:cs="Calibri"/>
          <w:color w:val="auto"/>
        </w:rPr>
        <w:t xml:space="preserve"> adequado ordenamento territorial, mediante planejamento e controle do uso, do parcelamen</w:t>
      </w:r>
      <w:r>
        <w:rPr>
          <w:rFonts w:ascii="Calibri" w:hAnsi="Calibri" w:cs="Calibri"/>
          <w:color w:val="auto"/>
        </w:rPr>
        <w:t xml:space="preserve">to e da ocupação do solo urbano </w:t>
      </w:r>
      <w:r w:rsidRPr="007E1F99">
        <w:rPr>
          <w:rFonts w:ascii="Calibri" w:hAnsi="Calibri" w:cs="Calibri"/>
          <w:color w:val="auto"/>
        </w:rPr>
        <w:t xml:space="preserve">(art. 30, </w:t>
      </w:r>
      <w:r>
        <w:rPr>
          <w:rFonts w:ascii="Calibri" w:hAnsi="Calibri" w:cs="Calibri"/>
          <w:color w:val="auto"/>
        </w:rPr>
        <w:t>VII</w:t>
      </w:r>
      <w:r w:rsidRPr="007E1F99">
        <w:rPr>
          <w:rFonts w:ascii="Calibri" w:hAnsi="Calibri" w:cs="Calibri"/>
          <w:color w:val="auto"/>
        </w:rPr>
        <w:t>I</w:t>
      </w:r>
      <w:r>
        <w:rPr>
          <w:rFonts w:ascii="Calibri" w:hAnsi="Calibri" w:cs="Calibri"/>
          <w:color w:val="auto"/>
        </w:rPr>
        <w:t>, da CRFB).</w:t>
      </w:r>
    </w:p>
    <w:p w:rsidR="00FF7C94" w:rsidRPr="007E1F99" w:rsidP="00FF7C94">
      <w:pPr>
        <w:spacing w:after="240" w:line="360" w:lineRule="auto"/>
        <w:ind w:firstLine="1701"/>
        <w:jc w:val="both"/>
        <w:rPr>
          <w:rFonts w:ascii="Calibri" w:hAnsi="Calibri" w:cs="Calibri"/>
          <w:szCs w:val="24"/>
        </w:rPr>
      </w:pPr>
      <w:r w:rsidRPr="007E1F99">
        <w:rPr>
          <w:rFonts w:ascii="Calibri" w:hAnsi="Calibri" w:cs="Calibri"/>
          <w:szCs w:val="24"/>
        </w:rPr>
        <w:t>Nessa linha, a Lei Orgânica do Município de Valinhos estabelece:</w:t>
      </w:r>
    </w:p>
    <w:p w:rsidR="00FF7C94" w:rsidRPr="00AA19F5" w:rsidP="00FF7C94">
      <w:pPr>
        <w:spacing w:before="120" w:after="120" w:line="240" w:lineRule="auto"/>
        <w:ind w:left="2268"/>
        <w:jc w:val="both"/>
        <w:rPr>
          <w:rFonts w:ascii="Calibri" w:hAnsi="Calibri" w:cs="Calibri"/>
          <w:i/>
        </w:rPr>
      </w:pPr>
      <w:r w:rsidRPr="00AA19F5">
        <w:rPr>
          <w:rFonts w:ascii="Calibri" w:hAnsi="Calibri" w:cs="Calibri"/>
          <w:i/>
        </w:rPr>
        <w:t xml:space="preserve">Art. 5º </w:t>
      </w:r>
      <w:r w:rsidRPr="007B7464">
        <w:rPr>
          <w:rFonts w:ascii="Calibri" w:hAnsi="Calibri" w:cs="Calibri"/>
          <w:b/>
          <w:i/>
        </w:rPr>
        <w:t>Compete ao Município</w:t>
      </w:r>
      <w:r w:rsidRPr="00AA19F5">
        <w:rPr>
          <w:rFonts w:ascii="Calibri" w:hAnsi="Calibri" w:cs="Calibri"/>
          <w:i/>
        </w:rPr>
        <w:t xml:space="preserve">, no exercício de sua autonomia, </w:t>
      </w:r>
      <w:r w:rsidRPr="007B7464">
        <w:rPr>
          <w:rFonts w:ascii="Calibri" w:hAnsi="Calibri" w:cs="Calibri"/>
          <w:b/>
          <w:i/>
        </w:rPr>
        <w:t>legislar sobre tudo quanto respeite ao interesse local</w:t>
      </w:r>
      <w:r w:rsidRPr="006E4468">
        <w:rPr>
          <w:rFonts w:ascii="Calibri" w:hAnsi="Calibri" w:cs="Calibri"/>
          <w:i/>
          <w:u w:val="single"/>
        </w:rPr>
        <w:t>,</w:t>
      </w:r>
      <w:r w:rsidRPr="00AA19F5">
        <w:rPr>
          <w:rFonts w:ascii="Calibri" w:hAnsi="Calibri" w:cs="Calibri"/>
          <w:i/>
        </w:rPr>
        <w:t xml:space="preserve"> </w:t>
      </w:r>
      <w:r w:rsidRPr="007B7464">
        <w:rPr>
          <w:rFonts w:ascii="Calibri" w:hAnsi="Calibri" w:cs="Calibri"/>
          <w:b/>
          <w:i/>
        </w:rPr>
        <w:t xml:space="preserve">tendo como objetivo o pleno desenvolvimento de suas funções sociais e garantir </w:t>
      </w:r>
      <w:r w:rsidRPr="007B7464">
        <w:rPr>
          <w:rFonts w:ascii="Calibri" w:hAnsi="Calibri" w:cs="Calibri"/>
          <w:b/>
          <w:i/>
          <w:u w:val="thick"/>
        </w:rPr>
        <w:t>o bem-estar de seus habitantes</w:t>
      </w:r>
      <w:r w:rsidRPr="00AA19F5">
        <w:rPr>
          <w:rFonts w:ascii="Calibri" w:hAnsi="Calibri" w:cs="Calibri"/>
          <w:i/>
        </w:rPr>
        <w:t>, cabendo-lhe privativamente, entre outras, as seguintes atribuições:</w:t>
      </w:r>
    </w:p>
    <w:p w:rsidR="00FF7C94" w:rsidRPr="00AA19F5" w:rsidP="00FF7C94">
      <w:pPr>
        <w:spacing w:before="120" w:after="120" w:line="240" w:lineRule="auto"/>
        <w:ind w:left="2268"/>
        <w:jc w:val="both"/>
        <w:rPr>
          <w:rFonts w:ascii="Calibri" w:hAnsi="Calibri" w:cs="Calibri"/>
          <w:i/>
        </w:rPr>
      </w:pPr>
      <w:r>
        <w:rPr>
          <w:rFonts w:ascii="Calibri" w:hAnsi="Calibri" w:cs="Calibri"/>
          <w:i/>
        </w:rPr>
        <w:t>(...)</w:t>
      </w:r>
    </w:p>
    <w:p w:rsidR="00FF7C94" w:rsidRPr="00AA19F5" w:rsidP="00FF7C94">
      <w:pPr>
        <w:spacing w:before="120" w:after="120" w:line="240" w:lineRule="auto"/>
        <w:ind w:left="2268"/>
        <w:jc w:val="both"/>
        <w:rPr>
          <w:rFonts w:ascii="Calibri" w:hAnsi="Calibri" w:cs="Calibri"/>
          <w:i/>
        </w:rPr>
      </w:pPr>
      <w:r>
        <w:rPr>
          <w:rFonts w:ascii="Calibri" w:hAnsi="Calibri" w:cs="Calibri"/>
          <w:i/>
        </w:rPr>
        <w:t>“</w:t>
      </w:r>
      <w:r w:rsidRPr="00AA19F5">
        <w:rPr>
          <w:rFonts w:ascii="Calibri" w:hAnsi="Calibri" w:cs="Calibri"/>
          <w:i/>
        </w:rPr>
        <w:t>Art.</w:t>
      </w:r>
      <w:r w:rsidRPr="00AA19F5">
        <w:rPr>
          <w:rFonts w:ascii="Calibri" w:hAnsi="Calibri" w:cs="Calibri"/>
          <w:i/>
        </w:rPr>
        <w:t xml:space="preserve"> 8º </w:t>
      </w:r>
      <w:r w:rsidRPr="007B7464">
        <w:rPr>
          <w:rFonts w:ascii="Calibri" w:hAnsi="Calibri" w:cs="Calibri"/>
          <w:b/>
          <w:i/>
        </w:rPr>
        <w:t>Cabe à Câmara</w:t>
      </w:r>
      <w:r w:rsidRPr="00AA19F5">
        <w:rPr>
          <w:rFonts w:ascii="Calibri" w:hAnsi="Calibri" w:cs="Calibri"/>
          <w:i/>
        </w:rPr>
        <w:t>,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FF7C94" w:rsidRPr="00AA19F5" w:rsidP="00FF7C94">
      <w:pPr>
        <w:spacing w:before="120" w:after="120" w:line="240" w:lineRule="auto"/>
        <w:ind w:left="2268"/>
        <w:jc w:val="both"/>
        <w:rPr>
          <w:rFonts w:ascii="Calibri" w:hAnsi="Calibri" w:cs="Calibri"/>
          <w:i/>
        </w:rPr>
      </w:pPr>
      <w:r w:rsidRPr="007B7464">
        <w:rPr>
          <w:rFonts w:ascii="Calibri" w:hAnsi="Calibri" w:cs="Calibri"/>
          <w:b/>
          <w:i/>
        </w:rPr>
        <w:t>I - legislar sobre assuntos de interesse local</w:t>
      </w:r>
      <w:r w:rsidRPr="00AA19F5">
        <w:rPr>
          <w:rFonts w:ascii="Calibri" w:hAnsi="Calibri" w:cs="Calibri"/>
          <w:i/>
        </w:rPr>
        <w:t>;</w:t>
      </w:r>
      <w:r>
        <w:rPr>
          <w:rFonts w:ascii="Calibri" w:hAnsi="Calibri" w:cs="Calibri"/>
          <w:i/>
        </w:rPr>
        <w:t xml:space="preserve"> </w:t>
      </w:r>
      <w:r>
        <w:rPr>
          <w:rFonts w:ascii="Calibri" w:hAnsi="Calibri" w:cs="Calibri"/>
          <w:i/>
        </w:rPr>
        <w:t>“</w:t>
      </w:r>
    </w:p>
    <w:p w:rsidR="00FF7C94" w:rsidRPr="007E1F99" w:rsidP="00FF7C94">
      <w:pPr>
        <w:spacing w:after="0" w:line="240" w:lineRule="auto"/>
        <w:ind w:left="2268"/>
        <w:jc w:val="both"/>
        <w:rPr>
          <w:rFonts w:ascii="Calibri" w:hAnsi="Calibri" w:cs="Calibri"/>
          <w:i/>
          <w:szCs w:val="24"/>
        </w:rPr>
      </w:pPr>
    </w:p>
    <w:p w:rsidR="00FF7C94" w:rsidRPr="007E1F99" w:rsidP="00FF7C94">
      <w:pPr>
        <w:autoSpaceDE w:val="0"/>
        <w:autoSpaceDN w:val="0"/>
        <w:adjustRightInd w:val="0"/>
        <w:spacing w:after="0" w:line="360" w:lineRule="auto"/>
        <w:jc w:val="both"/>
        <w:rPr>
          <w:rFonts w:ascii="Calibri" w:hAnsi="Calibri" w:cs="Calibri"/>
          <w:szCs w:val="24"/>
        </w:rPr>
      </w:pPr>
      <w:r w:rsidRPr="007E1F99">
        <w:rPr>
          <w:rFonts w:ascii="Calibri" w:hAnsi="Calibri" w:cs="Calibri"/>
          <w:szCs w:val="24"/>
        </w:rPr>
        <w:t xml:space="preserve"> </w:t>
      </w:r>
      <w:r w:rsidRPr="007E1F99">
        <w:rPr>
          <w:rFonts w:ascii="Calibri" w:hAnsi="Calibri" w:cs="Calibri"/>
          <w:szCs w:val="24"/>
        </w:rPr>
        <w:tab/>
      </w:r>
      <w:r w:rsidRPr="007E1F99">
        <w:rPr>
          <w:rFonts w:ascii="Calibri" w:hAnsi="Calibri" w:cs="Calibri"/>
          <w:szCs w:val="24"/>
        </w:rPr>
        <w:tab/>
        <w:t xml:space="preserve">   Acerca do conceito de interesse local o saudoso professor Hely Lopes Meirelles leciona:</w:t>
      </w:r>
    </w:p>
    <w:p w:rsidR="00FF7C94" w:rsidRPr="00AA19F5" w:rsidP="00FF7C94">
      <w:pPr>
        <w:autoSpaceDE w:val="0"/>
        <w:autoSpaceDN w:val="0"/>
        <w:adjustRightInd w:val="0"/>
        <w:spacing w:after="0" w:line="240" w:lineRule="auto"/>
        <w:ind w:left="2268"/>
        <w:jc w:val="both"/>
        <w:rPr>
          <w:rFonts w:ascii="Calibri" w:eastAsia="Calibri" w:hAnsi="Calibri" w:cs="Calibri"/>
          <w:b/>
          <w:i/>
          <w:color w:val="000000"/>
        </w:rPr>
      </w:pPr>
      <w:r w:rsidRPr="00AA19F5">
        <w:rPr>
          <w:rFonts w:ascii="Calibri" w:eastAsia="Calibri" w:hAnsi="Calibri" w:cs="Calibri"/>
          <w:i/>
          <w:color w:val="000000"/>
        </w:rPr>
        <w:t xml:space="preserve">"Interesse local não é interesse exclusivo do Município; não é interesse privativo da localidade; não é interesse único dos </w:t>
      </w:r>
      <w:r w:rsidRPr="00AA19F5">
        <w:rPr>
          <w:rFonts w:ascii="Calibri" w:eastAsia="Calibri" w:hAnsi="Calibri" w:cs="Calibri"/>
          <w:i/>
          <w:color w:val="000000"/>
        </w:rPr>
        <w:t xml:space="preserve">municípios. Se se exigisse essa exclusividade, </w:t>
      </w:r>
      <w:r w:rsidRPr="00AA19F5">
        <w:rPr>
          <w:rFonts w:ascii="Calibri" w:eastAsia="Calibri" w:hAnsi="Calibri" w:cs="Calibri"/>
          <w:i/>
          <w:color w:val="000000"/>
        </w:rPr>
        <w:t xml:space="preserve">essa </w:t>
      </w:r>
      <w:r w:rsidRPr="00AA19F5">
        <w:rPr>
          <w:rFonts w:ascii="Calibri" w:eastAsia="Calibri" w:hAnsi="Calibri" w:cs="Calibri"/>
          <w:i/>
          <w:color w:val="000000"/>
        </w:rPr>
        <w:t>privatividade</w:t>
      </w:r>
      <w:r w:rsidRPr="00AA19F5">
        <w:rPr>
          <w:rFonts w:ascii="Calibri" w:eastAsia="Calibri" w:hAnsi="Calibri" w:cs="Calibri"/>
          <w:i/>
          <w:color w:val="000000"/>
        </w:rPr>
        <w:t>, essa unicidade, bem reduzido</w:t>
      </w:r>
      <w:r w:rsidRPr="00AA19F5">
        <w:rPr>
          <w:rFonts w:ascii="Calibri" w:eastAsia="Calibri" w:hAnsi="Calibri" w:cs="Calibri"/>
          <w:i/>
          <w:color w:val="000000"/>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AA19F5">
        <w:rPr>
          <w:rFonts w:ascii="Calibri" w:eastAsia="Calibri" w:hAnsi="Calibri" w:cs="Calibri"/>
          <w:b/>
          <w:i/>
          <w:color w:val="000000"/>
        </w:rPr>
        <w:t>O que define e caracteriza o 'interesse local', inscrito como dogma constitucional, é a predominância do interesse do Município sobre o do Estado ou da União". (</w:t>
      </w:r>
      <w:r w:rsidRPr="00AA19F5">
        <w:rPr>
          <w:rFonts w:ascii="Calibri" w:eastAsia="Calibri" w:hAnsi="Calibri" w:cs="Calibri"/>
          <w:b/>
          <w:i/>
          <w:color w:val="000000"/>
        </w:rPr>
        <w:t>gn</w:t>
      </w:r>
      <w:r w:rsidRPr="00AA19F5">
        <w:rPr>
          <w:rFonts w:ascii="Calibri" w:eastAsia="Calibri" w:hAnsi="Calibri" w:cs="Calibri"/>
          <w:b/>
          <w:i/>
          <w:color w:val="000000"/>
        </w:rPr>
        <w:t>)</w:t>
      </w:r>
    </w:p>
    <w:p w:rsidR="00FF7C94" w:rsidRPr="00AA19F5" w:rsidP="00FF7C94">
      <w:pPr>
        <w:autoSpaceDE w:val="0"/>
        <w:autoSpaceDN w:val="0"/>
        <w:adjustRightInd w:val="0"/>
        <w:spacing w:after="0" w:line="240" w:lineRule="auto"/>
        <w:ind w:left="2268"/>
        <w:jc w:val="both"/>
        <w:rPr>
          <w:rFonts w:ascii="Calibri" w:eastAsia="Calibri" w:hAnsi="Calibri" w:cs="Calibri"/>
          <w:i/>
          <w:color w:val="000000"/>
        </w:rPr>
      </w:pPr>
      <w:r w:rsidRPr="00AA19F5">
        <w:rPr>
          <w:rFonts w:ascii="Calibri" w:eastAsia="Calibri" w:hAnsi="Calibri" w:cs="Calibri"/>
          <w:i/>
          <w:color w:val="000000"/>
        </w:rPr>
        <w:t xml:space="preserve">(in Direito Municipal Brasileiro, 6ª ed., atualizada por Izabel Camargo Lopes Monteiro e Yara Darcy Police Monteiro, 1993, Malheiros, p. </w:t>
      </w:r>
      <w:r w:rsidRPr="00AA19F5">
        <w:rPr>
          <w:rFonts w:ascii="Calibri" w:eastAsia="Calibri" w:hAnsi="Calibri" w:cs="Calibri"/>
          <w:i/>
          <w:color w:val="000000"/>
        </w:rPr>
        <w:t>98)</w:t>
      </w:r>
    </w:p>
    <w:p w:rsidR="00FF7C94" w:rsidRPr="007E1F99" w:rsidP="00FF7C94">
      <w:pPr>
        <w:autoSpaceDE w:val="0"/>
        <w:autoSpaceDN w:val="0"/>
        <w:adjustRightInd w:val="0"/>
        <w:spacing w:after="0" w:line="360" w:lineRule="auto"/>
        <w:jc w:val="both"/>
        <w:rPr>
          <w:rFonts w:ascii="Calibri" w:hAnsi="Calibri" w:cs="Calibri"/>
          <w:i/>
          <w:szCs w:val="24"/>
        </w:rPr>
      </w:pPr>
      <w:r w:rsidRPr="007E1F99">
        <w:rPr>
          <w:rFonts w:ascii="Calibri" w:hAnsi="Calibri" w:cs="Calibri"/>
          <w:szCs w:val="24"/>
        </w:rPr>
        <w:t xml:space="preserve"> </w:t>
      </w:r>
      <w:r w:rsidRPr="007E1F99">
        <w:rPr>
          <w:rFonts w:ascii="Calibri" w:hAnsi="Calibri" w:cs="Calibri"/>
          <w:szCs w:val="24"/>
        </w:rPr>
        <w:tab/>
      </w:r>
      <w:r w:rsidRPr="007E1F99">
        <w:rPr>
          <w:rFonts w:ascii="Calibri" w:hAnsi="Calibri" w:cs="Calibri"/>
          <w:szCs w:val="24"/>
        </w:rPr>
        <w:tab/>
      </w:r>
    </w:p>
    <w:p w:rsidR="00420A13" w:rsidRPr="00FA1F72" w:rsidP="00420A13">
      <w:pPr>
        <w:spacing w:after="240" w:line="360" w:lineRule="auto"/>
        <w:ind w:firstLine="1701"/>
        <w:jc w:val="both"/>
        <w:rPr>
          <w:rFonts w:ascii="Calibri" w:hAnsi="Calibri" w:cs="Calibri"/>
        </w:rPr>
      </w:pPr>
      <w:r w:rsidRPr="00FA1F72">
        <w:rPr>
          <w:rFonts w:ascii="Calibri" w:hAnsi="Calibri" w:cs="Calibri"/>
        </w:rPr>
        <w:t xml:space="preserve">No que tange à competência para deflagração </w:t>
      </w:r>
      <w:r w:rsidR="00AF7006">
        <w:rPr>
          <w:rFonts w:ascii="Calibri" w:hAnsi="Calibri" w:cs="Calibri"/>
        </w:rPr>
        <w:t>d</w:t>
      </w:r>
      <w:r w:rsidR="00D471A2">
        <w:rPr>
          <w:rFonts w:ascii="Calibri" w:hAnsi="Calibri" w:cs="Calibri"/>
        </w:rPr>
        <w:t>o processo legislativo,</w:t>
      </w:r>
      <w:r w:rsidRPr="00FA1F72">
        <w:rPr>
          <w:rFonts w:ascii="Calibri" w:hAnsi="Calibri" w:cs="Calibri"/>
        </w:rPr>
        <w:t xml:space="preserve"> </w:t>
      </w:r>
      <w:r w:rsidR="00D471A2">
        <w:rPr>
          <w:rFonts w:ascii="Calibri" w:hAnsi="Calibri" w:cs="Calibri"/>
        </w:rPr>
        <w:t>ao estabelecer</w:t>
      </w:r>
      <w:r w:rsidRPr="00FA1F72" w:rsidR="00FA1F72">
        <w:rPr>
          <w:rFonts w:ascii="Calibri" w:hAnsi="Calibri" w:cs="Calibri"/>
        </w:rPr>
        <w:t xml:space="preserve"> critérios técnicos para Empreendimento de Habitação de Interesse Social – Faixa </w:t>
      </w:r>
      <w:r w:rsidRPr="00FA1F72" w:rsidR="00FA1F72">
        <w:rPr>
          <w:rFonts w:ascii="Calibri" w:hAnsi="Calibri" w:cs="Calibri"/>
        </w:rPr>
        <w:t>1</w:t>
      </w:r>
      <w:r w:rsidRPr="00FA1F72" w:rsidR="00FA1F72">
        <w:rPr>
          <w:rFonts w:ascii="Calibri" w:hAnsi="Calibri" w:cs="Calibri"/>
        </w:rPr>
        <w:t xml:space="preserve"> (arts. 1º)</w:t>
      </w:r>
      <w:r w:rsidRPr="00FA1F72">
        <w:rPr>
          <w:rFonts w:ascii="Calibri" w:hAnsi="Calibri" w:cs="Calibri"/>
        </w:rPr>
        <w:t xml:space="preserve"> </w:t>
      </w:r>
      <w:r w:rsidRPr="00FA1F72" w:rsidR="00FA1F72">
        <w:rPr>
          <w:rFonts w:ascii="Calibri" w:hAnsi="Calibri" w:cs="Calibri"/>
        </w:rPr>
        <w:t>o proje</w:t>
      </w:r>
      <w:r w:rsidR="00D471A2">
        <w:rPr>
          <w:rFonts w:ascii="Calibri" w:hAnsi="Calibri" w:cs="Calibri"/>
        </w:rPr>
        <w:t xml:space="preserve">to trata de matéria urbanística, </w:t>
      </w:r>
      <w:r w:rsidRPr="00FA1F72" w:rsidR="00FA1F72">
        <w:rPr>
          <w:rFonts w:ascii="Calibri" w:hAnsi="Calibri" w:cs="Calibri"/>
        </w:rPr>
        <w:t xml:space="preserve">cuja </w:t>
      </w:r>
      <w:r w:rsidR="00AF7006">
        <w:rPr>
          <w:rFonts w:ascii="Calibri" w:hAnsi="Calibri" w:cs="Calibri"/>
        </w:rPr>
        <w:t>iniciativa</w:t>
      </w:r>
      <w:r w:rsidRPr="00FA1F72" w:rsidR="00FA1F72">
        <w:rPr>
          <w:rFonts w:ascii="Calibri" w:hAnsi="Calibri" w:cs="Calibri"/>
        </w:rPr>
        <w:t xml:space="preserve"> é concorrente. Nesse sentido:</w:t>
      </w:r>
    </w:p>
    <w:p w:rsidR="00420A13" w:rsidRPr="00FA1F72" w:rsidP="00420A13">
      <w:pPr>
        <w:tabs>
          <w:tab w:val="left" w:pos="1701"/>
        </w:tabs>
        <w:autoSpaceDE w:val="0"/>
        <w:autoSpaceDN w:val="0"/>
        <w:adjustRightInd w:val="0"/>
        <w:spacing w:after="0" w:line="240" w:lineRule="auto"/>
        <w:ind w:left="2268"/>
        <w:jc w:val="both"/>
        <w:rPr>
          <w:rFonts w:ascii="Calibri" w:hAnsi="Calibri" w:cs="Calibri"/>
          <w:i/>
          <w:sz w:val="22"/>
          <w:szCs w:val="22"/>
        </w:rPr>
      </w:pPr>
      <w:r w:rsidRPr="00FA1F72">
        <w:rPr>
          <w:rFonts w:ascii="Calibri" w:hAnsi="Calibri" w:cs="Calibri"/>
          <w:i/>
          <w:sz w:val="22"/>
          <w:szCs w:val="22"/>
        </w:rPr>
        <w:t>Ação direta de inconstitucionalidade. Prefeito do Município de Joanópolis que pretende a declaração de inconstitucionalidade do art. 40, e seus parágrafos, da Lei Complementar nº 34, de 14 de fevereiro de 2022, que "</w:t>
      </w:r>
      <w:r w:rsidRPr="00FA1F72">
        <w:rPr>
          <w:rFonts w:ascii="Calibri" w:hAnsi="Calibri" w:cs="Calibri"/>
          <w:i/>
          <w:sz w:val="22"/>
          <w:szCs w:val="22"/>
          <w:u w:val="single"/>
        </w:rPr>
        <w:t>dispõe acerca das metragens dos recuos obrigatórios mínimos entre edifícios urbanos</w:t>
      </w:r>
      <w:r w:rsidRPr="00FA1F72">
        <w:rPr>
          <w:rFonts w:ascii="Calibri" w:hAnsi="Calibri" w:cs="Calibri"/>
          <w:i/>
          <w:sz w:val="22"/>
          <w:szCs w:val="22"/>
        </w:rPr>
        <w:t>". Aditamento do pedido da ação direta feito pela Procuradoria Geral de Justiça, para incluir a totalidade da mencionada Lei, o qual foi deferido pelo Desembargador Relator</w:t>
      </w:r>
      <w:r w:rsidRPr="00FA1F72">
        <w:rPr>
          <w:rFonts w:ascii="Calibri" w:hAnsi="Calibri" w:cs="Calibri"/>
          <w:b/>
          <w:i/>
          <w:sz w:val="22"/>
          <w:szCs w:val="22"/>
        </w:rPr>
        <w:t xml:space="preserve">. Norma urbanística está situada no âmbito da competência legislativa concorrente. </w:t>
      </w:r>
      <w:r w:rsidRPr="00FA1F72">
        <w:rPr>
          <w:rFonts w:ascii="Calibri" w:hAnsi="Calibri" w:cs="Calibri"/>
          <w:i/>
          <w:sz w:val="22"/>
          <w:szCs w:val="22"/>
        </w:rPr>
        <w:t xml:space="preserve">Competência do Município para legislar sobre matéria urbanística. Ausência de vício formal. Efetiva participação popular no processo legislativo em questão. Ação julgada improcedente. </w:t>
      </w:r>
    </w:p>
    <w:p w:rsidR="00420A13" w:rsidRPr="00FA1F72" w:rsidP="00420A13">
      <w:pPr>
        <w:pBdr>
          <w:bottom w:val="single" w:sz="12" w:space="1" w:color="auto"/>
        </w:pBdr>
        <w:tabs>
          <w:tab w:val="left" w:pos="1701"/>
        </w:tabs>
        <w:autoSpaceDE w:val="0"/>
        <w:autoSpaceDN w:val="0"/>
        <w:adjustRightInd w:val="0"/>
        <w:spacing w:after="0" w:line="240" w:lineRule="auto"/>
        <w:ind w:left="2268"/>
        <w:jc w:val="both"/>
        <w:rPr>
          <w:rFonts w:ascii="Calibri" w:hAnsi="Calibri" w:cs="Calibri"/>
          <w:i/>
          <w:sz w:val="20"/>
        </w:rPr>
      </w:pPr>
      <w:r w:rsidRPr="00FA1F72">
        <w:rPr>
          <w:rFonts w:ascii="Calibri" w:hAnsi="Calibri" w:cs="Calibri"/>
          <w:i/>
          <w:sz w:val="20"/>
        </w:rPr>
        <w:t>(TJSP;</w:t>
      </w:r>
      <w:r w:rsidRPr="00FA1F72">
        <w:rPr>
          <w:rFonts w:ascii="Calibri" w:hAnsi="Calibri" w:cs="Calibri"/>
          <w:i/>
          <w:sz w:val="20"/>
        </w:rPr>
        <w:t xml:space="preserve">  </w:t>
      </w:r>
      <w:r w:rsidRPr="00FA1F72">
        <w:rPr>
          <w:rFonts w:ascii="Calibri" w:hAnsi="Calibri" w:cs="Calibri"/>
          <w:i/>
          <w:sz w:val="20"/>
        </w:rPr>
        <w:t>Direta de Inconstitucionalidade 2074577-46.2022.8.26.0000; Relator (a): Fábio Gouvêa; Órgão Julgador: Órgão Especial; Tribunal de Justiça de São Paulo - N/A; Data do Julgamento: 28/06/2023; Data de Registro: 29/06/2023)</w:t>
      </w:r>
    </w:p>
    <w:p w:rsidR="00420A13" w:rsidRPr="00FA1F72" w:rsidP="00420A13">
      <w:pPr>
        <w:spacing w:after="0" w:line="240" w:lineRule="auto"/>
        <w:ind w:left="2268"/>
        <w:jc w:val="both"/>
        <w:rPr>
          <w:rFonts w:asciiTheme="minorHAnsi" w:hAnsiTheme="minorHAnsi"/>
          <w:b/>
          <w:sz w:val="22"/>
          <w:szCs w:val="22"/>
          <w:shd w:val="clear" w:color="auto" w:fill="FFFFFF"/>
        </w:rPr>
      </w:pPr>
    </w:p>
    <w:p w:rsidR="00D137F2" w:rsidRPr="00FA1F72" w:rsidP="00420A13">
      <w:pPr>
        <w:spacing w:after="0" w:line="240" w:lineRule="auto"/>
        <w:ind w:left="2268"/>
        <w:jc w:val="both"/>
        <w:rPr>
          <w:rFonts w:asciiTheme="minorHAnsi" w:hAnsiTheme="minorHAnsi" w:cs="Calibri"/>
          <w:sz w:val="20"/>
        </w:rPr>
      </w:pPr>
      <w:r w:rsidRPr="00FA1F72">
        <w:rPr>
          <w:rFonts w:asciiTheme="minorHAnsi" w:hAnsiTheme="minorHAnsi"/>
          <w:b/>
          <w:sz w:val="22"/>
          <w:szCs w:val="22"/>
          <w:shd w:val="clear" w:color="auto" w:fill="FFFFFF"/>
        </w:rPr>
        <w:t xml:space="preserve">AÇÃO DIRETA DE INCONSTITUCIONALIDADE Lei Municipal nº 1.697/2021, de iniciativa parlamentar, dispondo sobre a regularização de construções no perímetro urbano da Municipalidade. </w:t>
      </w:r>
      <w:r w:rsidRPr="00FA1F72">
        <w:rPr>
          <w:rFonts w:asciiTheme="minorHAnsi" w:hAnsiTheme="minorHAnsi"/>
          <w:b/>
          <w:sz w:val="22"/>
          <w:szCs w:val="22"/>
          <w:u w:val="single"/>
          <w:shd w:val="clear" w:color="auto" w:fill="FFFFFF"/>
        </w:rPr>
        <w:t>Vício de iniciativa. Inocorrência</w:t>
      </w:r>
      <w:r w:rsidRPr="00FA1F72">
        <w:rPr>
          <w:rFonts w:asciiTheme="minorHAnsi" w:hAnsiTheme="minorHAnsi"/>
          <w:sz w:val="22"/>
          <w:szCs w:val="22"/>
          <w:shd w:val="clear" w:color="auto" w:fill="FFFFFF"/>
        </w:rPr>
        <w:t xml:space="preserve">. Recente orientação </w:t>
      </w:r>
      <w:r w:rsidRPr="00FA1F72">
        <w:rPr>
          <w:rFonts w:asciiTheme="minorHAnsi" w:hAnsiTheme="minorHAnsi"/>
          <w:sz w:val="22"/>
          <w:szCs w:val="22"/>
          <w:shd w:val="clear" w:color="auto" w:fill="FFFFFF"/>
        </w:rPr>
        <w:t xml:space="preserve">do </w:t>
      </w:r>
      <w:r w:rsidRPr="00FA1F72">
        <w:rPr>
          <w:rFonts w:asciiTheme="minorHAnsi" w:hAnsiTheme="minorHAnsi"/>
          <w:sz w:val="22"/>
          <w:szCs w:val="22"/>
          <w:shd w:val="clear" w:color="auto" w:fill="FFFFFF"/>
        </w:rPr>
        <w:t>Eg</w:t>
      </w:r>
      <w:r w:rsidRPr="00FA1F72">
        <w:rPr>
          <w:rFonts w:asciiTheme="minorHAnsi" w:hAnsiTheme="minorHAnsi"/>
          <w:sz w:val="22"/>
          <w:szCs w:val="22"/>
          <w:shd w:val="clear" w:color="auto" w:fill="FFFFFF"/>
        </w:rPr>
        <w:t xml:space="preserve">. Supremo Tribunal Federal. Separação dos poderes. Inconstitucionalidade. A norma local impõe obrigações concretas à Administração Municipal. Cabe ao Executivo a gestão administrativa. Desrespeito ao princípio constitucional da 'reserva de administração' e separação dos poderes. Afronta a preceitos constitucionais (arts. 5º; 47, inciso XIV e 144 da Constituição Estadual). Falta de participação popular e estudo prévio. Imprescindível </w:t>
      </w:r>
      <w:r w:rsidRPr="00FA1F72">
        <w:rPr>
          <w:rFonts w:asciiTheme="minorHAnsi" w:hAnsiTheme="minorHAnsi"/>
          <w:sz w:val="22"/>
          <w:szCs w:val="22"/>
          <w:shd w:val="clear" w:color="auto" w:fill="FFFFFF"/>
        </w:rPr>
        <w:t>a</w:t>
      </w:r>
      <w:r w:rsidRPr="00FA1F72">
        <w:rPr>
          <w:rFonts w:asciiTheme="minorHAnsi" w:hAnsiTheme="minorHAnsi"/>
          <w:sz w:val="22"/>
          <w:szCs w:val="22"/>
          <w:shd w:val="clear" w:color="auto" w:fill="FFFFFF"/>
        </w:rPr>
        <w:t xml:space="preserve"> efetiva participação da comunidade, por suas entidades representativas. A Constituição Estadual prevê a necessidade de participação comunitária em matéria urbanística. </w:t>
      </w:r>
      <w:r w:rsidRPr="00FA1F72">
        <w:rPr>
          <w:rFonts w:asciiTheme="minorHAnsi" w:hAnsiTheme="minorHAnsi"/>
          <w:sz w:val="22"/>
          <w:szCs w:val="22"/>
          <w:shd w:val="clear" w:color="auto" w:fill="FFFFFF"/>
        </w:rPr>
        <w:t>Necessidade de estudo prévio</w:t>
      </w:r>
      <w:r w:rsidRPr="00FA1F72">
        <w:rPr>
          <w:rFonts w:asciiTheme="minorHAnsi" w:hAnsiTheme="minorHAnsi"/>
          <w:sz w:val="22"/>
          <w:szCs w:val="22"/>
          <w:shd w:val="clear" w:color="auto" w:fill="FFFFFF"/>
        </w:rPr>
        <w:t>. Precedentes deste C. Órgão Especial. Inconstitucional o ato normativo impugnado. Violação aos princípios da isonomia e da impessoalidade. Ocorrência. Inexistem motivos razoáveis a fundamentar a instituição do benefício – regularização automática de construções (art. 2º) – exclusivamente em favor de interessados que a erigiram até o ano de 2016 e cujos projetos ainda não foram aprovados (art. 1º). A discriminação legal carece de fundamento lógico. Caracterizada afronta aos arts. 111 e 144 da Constituição Estadual. Ausência de estimativa de impacto orçamentário e financeiro. Norma não cuida – diretamente – de desoneração fiscal. Não infringência ao art. 113, do ADCT. Constitucionalidade. Procedente a ação. </w:t>
      </w:r>
      <w:r w:rsidRPr="00FA1F72">
        <w:rPr>
          <w:rFonts w:asciiTheme="minorHAnsi" w:hAnsiTheme="minorHAnsi"/>
          <w:sz w:val="22"/>
          <w:szCs w:val="22"/>
        </w:rPr>
        <w:br/>
      </w:r>
      <w:r w:rsidRPr="00FA1F72">
        <w:rPr>
          <w:rFonts w:asciiTheme="minorHAnsi" w:hAnsiTheme="minorHAnsi"/>
          <w:sz w:val="20"/>
          <w:shd w:val="clear" w:color="auto" w:fill="FFFFFF"/>
        </w:rPr>
        <w:t>(</w:t>
      </w:r>
      <w:r w:rsidRPr="00FA1F72">
        <w:rPr>
          <w:rFonts w:asciiTheme="minorHAnsi" w:hAnsiTheme="minorHAnsi"/>
          <w:sz w:val="20"/>
          <w:shd w:val="clear" w:color="auto" w:fill="FFFFFF"/>
        </w:rPr>
        <w:t>TJSP;  Direta de Inconstitucionalidade 2286618-95.2021.8.26.0000; Relator (a): Evaristo dos Santos; Órgão Julgador: Órgão Especial; Tribunal de Justiça de São Paulo - N/A; Data do Julgamento: 27/04/2022; Data de Registro: 02/05/2022)</w:t>
      </w:r>
      <w:r w:rsidR="005D43F3">
        <w:rPr>
          <w:rFonts w:asciiTheme="minorHAnsi" w:hAnsiTheme="minorHAnsi"/>
          <w:sz w:val="20"/>
          <w:shd w:val="clear" w:color="auto" w:fill="FFFFFF"/>
        </w:rPr>
        <w:t xml:space="preserve"> </w:t>
      </w:r>
      <w:r>
        <w:rPr>
          <w:rFonts w:asciiTheme="minorHAnsi" w:hAnsiTheme="minorHAnsi"/>
          <w:b/>
          <w:sz w:val="22"/>
          <w:szCs w:val="22"/>
          <w:shd w:val="clear" w:color="auto" w:fill="FFFFFF"/>
        </w:rPr>
        <w:t>Grifo nosso.</w:t>
      </w:r>
      <w:r>
        <w:rPr>
          <w:rFonts w:asciiTheme="minorHAnsi" w:hAnsiTheme="minorHAnsi" w:cs="Calibri"/>
          <w:sz w:val="20"/>
        </w:rPr>
        <w:t xml:space="preserve"> </w:t>
      </w:r>
    </w:p>
    <w:p w:rsidR="00420A13" w:rsidRPr="00FA1F72" w:rsidP="00420A13">
      <w:pPr>
        <w:pStyle w:val="NormalWeb"/>
        <w:spacing w:before="120" w:beforeAutospacing="0" w:after="120" w:afterAutospacing="0" w:line="360" w:lineRule="auto"/>
        <w:ind w:firstLine="1701"/>
        <w:jc w:val="both"/>
        <w:rPr>
          <w:rFonts w:asciiTheme="minorHAnsi" w:hAnsiTheme="minorHAnsi" w:cstheme="minorHAnsi"/>
          <w:sz w:val="4"/>
          <w:szCs w:val="4"/>
        </w:rPr>
      </w:pPr>
    </w:p>
    <w:p w:rsidR="00420A13" w:rsidP="00420A13">
      <w:pPr>
        <w:tabs>
          <w:tab w:val="left" w:pos="2188"/>
        </w:tabs>
        <w:spacing w:before="240" w:after="240" w:line="360" w:lineRule="auto"/>
        <w:ind w:firstLine="1701"/>
        <w:jc w:val="both"/>
        <w:rPr>
          <w:rFonts w:asciiTheme="minorHAnsi" w:hAnsiTheme="minorHAnsi" w:cstheme="minorHAnsi"/>
        </w:rPr>
      </w:pPr>
      <w:r>
        <w:rPr>
          <w:rFonts w:asciiTheme="minorHAnsi" w:hAnsiTheme="minorHAnsi" w:cstheme="minorHAnsi"/>
        </w:rPr>
        <w:t>Neste particular</w:t>
      </w:r>
      <w:r>
        <w:rPr>
          <w:rFonts w:asciiTheme="minorHAnsi" w:hAnsiTheme="minorHAnsi" w:cstheme="minorHAnsi"/>
        </w:rPr>
        <w:t>, por se tratar de projeto envolvendo matéria urbanística cump</w:t>
      </w:r>
      <w:r w:rsidR="000C06A9">
        <w:rPr>
          <w:rFonts w:asciiTheme="minorHAnsi" w:hAnsiTheme="minorHAnsi" w:cstheme="minorHAnsi"/>
        </w:rPr>
        <w:t>re atentar para alguns dispositivos</w:t>
      </w:r>
      <w:r>
        <w:rPr>
          <w:rFonts w:asciiTheme="minorHAnsi" w:hAnsiTheme="minorHAnsi" w:cstheme="minorHAnsi"/>
        </w:rPr>
        <w:t xml:space="preserve"> da Constituição Bandeirante que asseguram a participação popular no estabelecimento de diretrizes e normas relativas ao desenvolvimento urbano:</w:t>
      </w:r>
    </w:p>
    <w:p w:rsidR="00420A13" w:rsidRPr="00A7458D" w:rsidP="00420A13">
      <w:pPr>
        <w:tabs>
          <w:tab w:val="left" w:pos="2188"/>
        </w:tabs>
        <w:spacing w:before="120" w:after="120" w:line="240" w:lineRule="auto"/>
        <w:ind w:left="2268"/>
        <w:jc w:val="both"/>
        <w:rPr>
          <w:rFonts w:asciiTheme="minorHAnsi" w:hAnsiTheme="minorHAnsi" w:cstheme="minorHAnsi"/>
          <w:i/>
          <w:color w:val="000000"/>
          <w:sz w:val="22"/>
          <w:szCs w:val="22"/>
        </w:rPr>
      </w:pPr>
      <w:r w:rsidRPr="00A7458D">
        <w:rPr>
          <w:rStyle w:val="Strong"/>
          <w:rFonts w:asciiTheme="minorHAnsi" w:hAnsiTheme="minorHAnsi" w:cstheme="minorHAnsi"/>
          <w:i/>
          <w:color w:val="000000"/>
          <w:sz w:val="22"/>
          <w:szCs w:val="22"/>
        </w:rPr>
        <w:t>Artigo 180 -</w:t>
      </w:r>
      <w:r w:rsidRPr="00A7458D">
        <w:rPr>
          <w:rFonts w:asciiTheme="minorHAnsi" w:hAnsiTheme="minorHAnsi" w:cstheme="minorHAnsi"/>
          <w:i/>
          <w:color w:val="000000"/>
          <w:sz w:val="22"/>
          <w:szCs w:val="22"/>
        </w:rPr>
        <w:t> No estabelecimento de diretrizes e normas relativas ao desenvolvimento urbano, o Estado e os Municípios assegurarão:</w:t>
      </w:r>
    </w:p>
    <w:p w:rsidR="00420A13" w:rsidRPr="00A7458D" w:rsidP="00420A13">
      <w:pPr>
        <w:tabs>
          <w:tab w:val="left" w:pos="2188"/>
        </w:tabs>
        <w:spacing w:before="120" w:after="120" w:line="240" w:lineRule="auto"/>
        <w:ind w:left="2268"/>
        <w:jc w:val="both"/>
        <w:rPr>
          <w:rFonts w:asciiTheme="minorHAnsi" w:hAnsiTheme="minorHAnsi" w:cstheme="minorHAnsi"/>
          <w:i/>
          <w:color w:val="000000"/>
          <w:sz w:val="22"/>
          <w:szCs w:val="22"/>
        </w:rPr>
      </w:pPr>
      <w:r>
        <w:rPr>
          <w:rStyle w:val="Strong"/>
          <w:rFonts w:asciiTheme="minorHAnsi" w:hAnsiTheme="minorHAnsi" w:cstheme="minorHAnsi"/>
          <w:i/>
          <w:color w:val="000000"/>
          <w:sz w:val="22"/>
          <w:szCs w:val="22"/>
        </w:rPr>
        <w:t>(...)</w:t>
      </w:r>
    </w:p>
    <w:p w:rsidR="00420A13" w:rsidP="00420A13">
      <w:pPr>
        <w:tabs>
          <w:tab w:val="left" w:pos="2188"/>
        </w:tabs>
        <w:spacing w:before="120" w:after="120" w:line="240" w:lineRule="auto"/>
        <w:ind w:left="2268"/>
        <w:jc w:val="both"/>
        <w:rPr>
          <w:rFonts w:asciiTheme="minorHAnsi" w:hAnsiTheme="minorHAnsi" w:cstheme="minorHAnsi"/>
          <w:i/>
          <w:color w:val="000000"/>
          <w:sz w:val="22"/>
          <w:szCs w:val="22"/>
        </w:rPr>
      </w:pPr>
      <w:r w:rsidRPr="00A7458D">
        <w:rPr>
          <w:rStyle w:val="Strong"/>
          <w:rFonts w:asciiTheme="minorHAnsi" w:hAnsiTheme="minorHAnsi" w:cstheme="minorHAnsi"/>
          <w:i/>
          <w:color w:val="000000"/>
          <w:sz w:val="22"/>
          <w:szCs w:val="22"/>
        </w:rPr>
        <w:t>II - </w:t>
      </w:r>
      <w:r w:rsidRPr="00A7458D">
        <w:rPr>
          <w:rFonts w:asciiTheme="minorHAnsi" w:hAnsiTheme="minorHAnsi" w:cstheme="minorHAnsi"/>
          <w:i/>
          <w:color w:val="000000"/>
          <w:sz w:val="22"/>
          <w:szCs w:val="22"/>
        </w:rPr>
        <w:t>a participação das respectivas entidades comunitárias no estudo, encaminhamento e solução dos problemas, planos, programas e projetos que lhes sejam concernentes;</w:t>
      </w:r>
    </w:p>
    <w:p w:rsidR="00420A13" w:rsidP="00420A13">
      <w:pPr>
        <w:tabs>
          <w:tab w:val="left" w:pos="2188"/>
        </w:tabs>
        <w:spacing w:before="120" w:after="120" w:line="240" w:lineRule="auto"/>
        <w:ind w:left="2268"/>
        <w:jc w:val="both"/>
        <w:rPr>
          <w:rStyle w:val="Strong"/>
          <w:rFonts w:asciiTheme="minorHAnsi" w:hAnsiTheme="minorHAnsi" w:cstheme="minorHAnsi"/>
          <w:i/>
          <w:color w:val="000000"/>
          <w:sz w:val="22"/>
          <w:szCs w:val="22"/>
        </w:rPr>
      </w:pPr>
      <w:r>
        <w:rPr>
          <w:rStyle w:val="Strong"/>
          <w:rFonts w:asciiTheme="minorHAnsi" w:hAnsiTheme="minorHAnsi" w:cstheme="minorHAnsi"/>
          <w:i/>
          <w:color w:val="000000"/>
          <w:sz w:val="22"/>
          <w:szCs w:val="22"/>
        </w:rPr>
        <w:t>(...)</w:t>
      </w:r>
    </w:p>
    <w:p w:rsidR="00420A13" w:rsidRPr="00A7458D" w:rsidP="00420A13">
      <w:pPr>
        <w:tabs>
          <w:tab w:val="left" w:pos="2188"/>
        </w:tabs>
        <w:spacing w:before="120" w:after="120" w:line="240" w:lineRule="auto"/>
        <w:ind w:left="2268"/>
        <w:jc w:val="both"/>
        <w:rPr>
          <w:rFonts w:asciiTheme="minorHAnsi" w:hAnsiTheme="minorHAnsi" w:cstheme="minorHAnsi"/>
          <w:i/>
          <w:color w:val="000000"/>
          <w:sz w:val="22"/>
          <w:szCs w:val="22"/>
        </w:rPr>
      </w:pPr>
      <w:r w:rsidRPr="001A4F7F">
        <w:rPr>
          <w:rFonts w:asciiTheme="minorHAnsi" w:hAnsiTheme="minorHAnsi" w:cstheme="minorHAnsi"/>
          <w:b/>
          <w:bCs/>
          <w:i/>
          <w:sz w:val="22"/>
          <w:szCs w:val="22"/>
        </w:rPr>
        <w:t>Artigo 191 -</w:t>
      </w:r>
      <w:r w:rsidRPr="001A4F7F">
        <w:rPr>
          <w:rFonts w:asciiTheme="minorHAnsi" w:hAnsiTheme="minorHAnsi" w:cstheme="minorHAnsi"/>
          <w:i/>
          <w:color w:val="000000"/>
          <w:sz w:val="22"/>
          <w:szCs w:val="22"/>
        </w:rPr>
        <w:t xml:space="preserve"> O Estado e os Municípios providenciarão, com a participação da coletividade, a preservação, conservação, defesa, recuperação e melhoria do meio ambiente natural, artificial e do trabalho, </w:t>
      </w:r>
      <w:r w:rsidRPr="001A4F7F">
        <w:rPr>
          <w:rFonts w:asciiTheme="minorHAnsi" w:hAnsiTheme="minorHAnsi" w:cstheme="minorHAnsi"/>
          <w:i/>
          <w:color w:val="000000"/>
          <w:sz w:val="22"/>
          <w:szCs w:val="22"/>
        </w:rPr>
        <w:t>atendidas</w:t>
      </w:r>
      <w:r w:rsidRPr="001A4F7F">
        <w:rPr>
          <w:rFonts w:asciiTheme="minorHAnsi" w:hAnsiTheme="minorHAnsi" w:cstheme="minorHAnsi"/>
          <w:i/>
          <w:color w:val="000000"/>
          <w:sz w:val="22"/>
          <w:szCs w:val="22"/>
        </w:rPr>
        <w:t xml:space="preserve"> as peculiaridades regionais e locais e em harmonia com o desenvolvimento social e econômico.</w:t>
      </w:r>
    </w:p>
    <w:p w:rsidR="00420A13" w:rsidRPr="00A7458D" w:rsidP="00420A13">
      <w:pPr>
        <w:tabs>
          <w:tab w:val="left" w:pos="2188"/>
        </w:tabs>
        <w:spacing w:before="240" w:after="240" w:line="360" w:lineRule="auto"/>
        <w:ind w:firstLine="1701"/>
        <w:jc w:val="both"/>
        <w:rPr>
          <w:rFonts w:asciiTheme="minorHAnsi" w:hAnsiTheme="minorHAnsi" w:cstheme="minorHAnsi"/>
        </w:rPr>
      </w:pPr>
      <w:r w:rsidRPr="00A7458D">
        <w:rPr>
          <w:rFonts w:asciiTheme="minorHAnsi" w:hAnsiTheme="minorHAnsi" w:cstheme="minorHAnsi"/>
        </w:rPr>
        <w:t>Do mesmo modo, a Constituição Federal estabelece:</w:t>
      </w:r>
    </w:p>
    <w:p w:rsidR="00420A13" w:rsidP="00FA1F72">
      <w:pPr>
        <w:tabs>
          <w:tab w:val="left" w:pos="2188"/>
        </w:tabs>
        <w:spacing w:after="0" w:line="240" w:lineRule="auto"/>
        <w:ind w:left="2268"/>
        <w:jc w:val="both"/>
        <w:rPr>
          <w:rFonts w:asciiTheme="minorHAnsi" w:hAnsiTheme="minorHAnsi" w:cstheme="minorHAnsi"/>
          <w:i/>
          <w:color w:val="000000"/>
          <w:sz w:val="22"/>
          <w:szCs w:val="22"/>
        </w:rPr>
      </w:pPr>
      <w:r w:rsidRPr="00A7458D">
        <w:rPr>
          <w:rFonts w:asciiTheme="minorHAnsi" w:hAnsiTheme="minorHAnsi" w:cstheme="minorHAnsi"/>
          <w:i/>
          <w:color w:val="000000"/>
          <w:sz w:val="22"/>
          <w:szCs w:val="22"/>
        </w:rPr>
        <w:t>Art. 29. O Município reger-se-á por lei orgânica, votada em dois turnos, com o interstício mínimo de dez dias, e aprovada por dois terços dos membros da Câmara Municipal, que a promulgará, atendidos os princípios estabelecidos nesta Constituição, na Constituição do respectivo Estado e os seguintes preceitos:</w:t>
      </w:r>
    </w:p>
    <w:p w:rsidR="00420A13" w:rsidP="00FA1F72">
      <w:pPr>
        <w:tabs>
          <w:tab w:val="left" w:pos="2188"/>
        </w:tabs>
        <w:spacing w:after="0" w:line="240" w:lineRule="auto"/>
        <w:ind w:left="2268"/>
        <w:jc w:val="both"/>
        <w:rPr>
          <w:rFonts w:asciiTheme="minorHAnsi" w:hAnsiTheme="minorHAnsi" w:cstheme="minorHAnsi"/>
          <w:i/>
          <w:color w:val="000000"/>
          <w:sz w:val="22"/>
          <w:szCs w:val="22"/>
        </w:rPr>
      </w:pPr>
      <w:r>
        <w:rPr>
          <w:rFonts w:asciiTheme="minorHAnsi" w:hAnsiTheme="minorHAnsi" w:cstheme="minorHAnsi"/>
          <w:i/>
          <w:color w:val="000000"/>
          <w:sz w:val="22"/>
          <w:szCs w:val="22"/>
        </w:rPr>
        <w:t>(...)</w:t>
      </w:r>
    </w:p>
    <w:p w:rsidR="00420A13" w:rsidRPr="00A7458D" w:rsidP="00FA1F72">
      <w:pPr>
        <w:tabs>
          <w:tab w:val="left" w:pos="2188"/>
        </w:tabs>
        <w:spacing w:after="0" w:line="240" w:lineRule="auto"/>
        <w:ind w:left="2268"/>
        <w:jc w:val="both"/>
        <w:rPr>
          <w:rFonts w:asciiTheme="minorHAnsi" w:hAnsiTheme="minorHAnsi" w:cstheme="minorHAnsi"/>
          <w:i/>
          <w:color w:val="000000"/>
          <w:sz w:val="22"/>
          <w:szCs w:val="22"/>
        </w:rPr>
      </w:pPr>
      <w:r w:rsidRPr="00A7458D">
        <w:rPr>
          <w:rFonts w:asciiTheme="minorHAnsi" w:hAnsiTheme="minorHAnsi" w:cstheme="minorHAnsi"/>
          <w:i/>
          <w:color w:val="000000"/>
          <w:sz w:val="22"/>
          <w:szCs w:val="22"/>
        </w:rPr>
        <w:t>XII - cooperação das associações representativas no planejamento municipal; </w:t>
      </w:r>
      <w:r w:rsidRPr="00A7458D">
        <w:rPr>
          <w:rFonts w:asciiTheme="minorHAnsi" w:hAnsiTheme="minorHAnsi" w:cstheme="minorHAnsi"/>
          <w:i/>
          <w:color w:val="000000"/>
          <w:sz w:val="22"/>
          <w:szCs w:val="22"/>
        </w:rPr>
        <w:t>  </w:t>
      </w:r>
    </w:p>
    <w:p w:rsidR="00420A13" w:rsidRPr="00A7458D" w:rsidP="00FA1F72">
      <w:pPr>
        <w:tabs>
          <w:tab w:val="left" w:pos="2188"/>
        </w:tabs>
        <w:spacing w:after="0" w:line="240" w:lineRule="auto"/>
        <w:ind w:left="2268"/>
        <w:jc w:val="both"/>
        <w:rPr>
          <w:rFonts w:asciiTheme="minorHAnsi" w:hAnsiTheme="minorHAnsi" w:cstheme="minorHAnsi"/>
          <w:i/>
          <w:color w:val="000000"/>
          <w:sz w:val="22"/>
          <w:szCs w:val="22"/>
        </w:rPr>
      </w:pPr>
      <w:r w:rsidRPr="00A7458D">
        <w:rPr>
          <w:rFonts w:asciiTheme="minorHAnsi" w:hAnsiTheme="minorHAnsi" w:cstheme="minorHAnsi"/>
          <w:i/>
          <w:color w:val="000000"/>
          <w:sz w:val="22"/>
          <w:szCs w:val="22"/>
        </w:rPr>
        <w:t>(...)</w:t>
      </w:r>
    </w:p>
    <w:p w:rsidR="00420A13" w:rsidP="00420A13">
      <w:pPr>
        <w:tabs>
          <w:tab w:val="left" w:pos="2188"/>
        </w:tabs>
        <w:spacing w:before="240" w:after="240" w:line="360" w:lineRule="auto"/>
        <w:ind w:firstLine="1701"/>
        <w:jc w:val="both"/>
        <w:rPr>
          <w:rFonts w:asciiTheme="minorHAnsi" w:hAnsiTheme="minorHAnsi" w:cstheme="minorHAnsi"/>
          <w:szCs w:val="24"/>
        </w:rPr>
      </w:pPr>
      <w:r>
        <w:rPr>
          <w:rFonts w:asciiTheme="minorHAnsi" w:hAnsiTheme="minorHAnsi" w:cstheme="minorHAnsi"/>
          <w:szCs w:val="24"/>
        </w:rPr>
        <w:t xml:space="preserve">Nessa linha, colacionamos decisão do E. </w:t>
      </w:r>
      <w:r>
        <w:rPr>
          <w:rFonts w:asciiTheme="minorHAnsi" w:hAnsiTheme="minorHAnsi" w:cstheme="minorHAnsi"/>
          <w:szCs w:val="24"/>
        </w:rPr>
        <w:t xml:space="preserve">Órgão Especial do Tribunal de Justiça pela </w:t>
      </w:r>
      <w:r w:rsidRPr="0039705A">
        <w:rPr>
          <w:rFonts w:asciiTheme="minorHAnsi" w:hAnsiTheme="minorHAnsi" w:cstheme="minorHAnsi"/>
          <w:szCs w:val="24"/>
          <w:u w:val="single"/>
        </w:rPr>
        <w:t>necessidade de participação popular em todas as hipóteses normativas de planejamento para o</w:t>
      </w:r>
      <w:r w:rsidR="00FA1F72">
        <w:rPr>
          <w:rFonts w:asciiTheme="minorHAnsi" w:hAnsiTheme="minorHAnsi" w:cstheme="minorHAnsi"/>
          <w:szCs w:val="24"/>
          <w:u w:val="single"/>
        </w:rPr>
        <w:t>cupação e uso adequado do solo,</w:t>
      </w:r>
      <w:r w:rsidRPr="00FA1F72" w:rsidR="00FA1F72">
        <w:rPr>
          <w:rFonts w:asciiTheme="minorHAnsi" w:hAnsiTheme="minorHAnsi" w:cstheme="minorHAnsi"/>
          <w:szCs w:val="24"/>
        </w:rPr>
        <w:t xml:space="preserve"> </w:t>
      </w:r>
      <w:r>
        <w:rPr>
          <w:rFonts w:asciiTheme="minorHAnsi" w:hAnsiTheme="minorHAnsi" w:cstheme="minorHAnsi"/>
          <w:szCs w:val="24"/>
        </w:rPr>
        <w:t>vejamos</w:t>
      </w:r>
      <w:r>
        <w:rPr>
          <w:rFonts w:asciiTheme="minorHAnsi" w:hAnsiTheme="minorHAnsi" w:cstheme="minorHAnsi"/>
          <w:szCs w:val="24"/>
        </w:rPr>
        <w:t>:</w:t>
      </w:r>
    </w:p>
    <w:p w:rsidR="00E176DF" w:rsidRPr="00E176DF" w:rsidP="00420A13">
      <w:pPr>
        <w:tabs>
          <w:tab w:val="left" w:pos="2188"/>
        </w:tabs>
        <w:spacing w:before="120" w:after="120"/>
        <w:ind w:left="2268"/>
        <w:jc w:val="both"/>
        <w:rPr>
          <w:rFonts w:asciiTheme="minorHAnsi" w:hAnsiTheme="minorHAnsi" w:cstheme="minorHAnsi"/>
          <w:b/>
          <w:i/>
          <w:color w:val="000000"/>
          <w:sz w:val="20"/>
          <w:shd w:val="clear" w:color="auto" w:fill="FFFFFF"/>
        </w:rPr>
      </w:pPr>
      <w:r w:rsidRPr="00A7458D">
        <w:rPr>
          <w:rFonts w:asciiTheme="minorHAnsi" w:hAnsiTheme="minorHAnsi" w:cstheme="minorHAnsi"/>
          <w:i/>
          <w:color w:val="000000"/>
          <w:sz w:val="22"/>
          <w:szCs w:val="22"/>
          <w:shd w:val="clear" w:color="auto" w:fill="FFFFFF"/>
        </w:rPr>
        <w:t xml:space="preserve">AÇÃO DIRETA DE INCONSTITUCIONALIDADE. Lei nº 2.811, de 01 de novembro de 1990, do Município de Jacareí, que </w:t>
      </w:r>
      <w:r w:rsidRPr="00FA1F72">
        <w:rPr>
          <w:rFonts w:asciiTheme="minorHAnsi" w:hAnsiTheme="minorHAnsi" w:cstheme="minorHAnsi"/>
          <w:i/>
          <w:color w:val="000000"/>
          <w:sz w:val="22"/>
          <w:szCs w:val="22"/>
          <w:u w:val="single"/>
          <w:shd w:val="clear" w:color="auto" w:fill="FFFFFF"/>
        </w:rPr>
        <w:t>dispõe sobre diretrizes, projetos e licenciamento para exploração de recursos minerais</w:t>
      </w:r>
      <w:r w:rsidRPr="00A7458D">
        <w:rPr>
          <w:rFonts w:asciiTheme="minorHAnsi" w:hAnsiTheme="minorHAnsi" w:cstheme="minorHAnsi"/>
          <w:i/>
          <w:color w:val="000000"/>
          <w:sz w:val="22"/>
          <w:szCs w:val="22"/>
          <w:shd w:val="clear" w:color="auto" w:fill="FFFFFF"/>
        </w:rPr>
        <w:t xml:space="preserve">. </w:t>
      </w:r>
      <w:r w:rsidRPr="001A4F7F">
        <w:rPr>
          <w:rFonts w:asciiTheme="minorHAnsi" w:hAnsiTheme="minorHAnsi" w:cstheme="minorHAnsi"/>
          <w:b/>
          <w:i/>
          <w:color w:val="000000"/>
          <w:sz w:val="22"/>
          <w:szCs w:val="22"/>
          <w:shd w:val="clear" w:color="auto" w:fill="FFFFFF"/>
        </w:rPr>
        <w:t>Alegação de ofensa às disposições do artigo 180, inciso II, e artigo 191, da Constituição Estadual</w:t>
      </w:r>
      <w:r w:rsidRPr="00A7458D">
        <w:rPr>
          <w:rFonts w:asciiTheme="minorHAnsi" w:hAnsiTheme="minorHAnsi" w:cstheme="minorHAnsi"/>
          <w:i/>
          <w:color w:val="000000"/>
          <w:sz w:val="22"/>
          <w:szCs w:val="22"/>
          <w:shd w:val="clear" w:color="auto" w:fill="FFFFFF"/>
        </w:rPr>
        <w:t xml:space="preserve">. Reconhecimento. </w:t>
      </w:r>
      <w:r w:rsidRPr="00A7458D">
        <w:rPr>
          <w:rFonts w:asciiTheme="minorHAnsi" w:hAnsiTheme="minorHAnsi" w:cstheme="minorHAnsi"/>
          <w:b/>
          <w:i/>
          <w:color w:val="000000"/>
          <w:sz w:val="22"/>
          <w:szCs w:val="22"/>
          <w:shd w:val="clear" w:color="auto" w:fill="FFFFFF"/>
        </w:rPr>
        <w:t xml:space="preserve">Lei impugnada que, apesar de dispor sobre desenvolvimento urbano e proteção ambiental, foi aprovada sem que seu projeto tenha sido (previamente) submetido à participação popular. </w:t>
      </w:r>
      <w:r w:rsidRPr="00FA1F72">
        <w:rPr>
          <w:rFonts w:asciiTheme="minorHAnsi" w:hAnsiTheme="minorHAnsi" w:cstheme="minorHAnsi"/>
          <w:b/>
          <w:i/>
          <w:color w:val="000000"/>
          <w:sz w:val="22"/>
          <w:szCs w:val="22"/>
          <w:u w:val="single"/>
          <w:shd w:val="clear" w:color="auto" w:fill="FFFFFF"/>
        </w:rPr>
        <w:t>Exigência constitucional que abrange todas as hipóteses normativas de planejamento para ocupação e uso adequado do solo, e para proteção do meio ambiente, inclusive os requisitos formais (referentes a projetos, diretrizes e contrapartidas para o licenciamento), e não apenas questões materiais</w:t>
      </w:r>
      <w:r w:rsidRPr="00A7458D">
        <w:rPr>
          <w:rFonts w:asciiTheme="minorHAnsi" w:hAnsiTheme="minorHAnsi" w:cstheme="minorHAnsi"/>
          <w:i/>
          <w:color w:val="000000"/>
          <w:sz w:val="22"/>
          <w:szCs w:val="22"/>
          <w:shd w:val="clear" w:color="auto" w:fill="FFFFFF"/>
        </w:rPr>
        <w:t xml:space="preserve">. Como já foi decidido por este Órgão Especial, "a participação popular na criação de leis versando sobre política urbana local não pode ser concebida como mera formalidade ritual passível de convalidação. Trata-se de instrumento democrático onde o móvel do legislador ordinário é </w:t>
      </w:r>
      <w:r w:rsidRPr="00A7458D">
        <w:rPr>
          <w:rFonts w:asciiTheme="minorHAnsi" w:hAnsiTheme="minorHAnsi" w:cstheme="minorHAnsi"/>
          <w:i/>
          <w:color w:val="000000"/>
          <w:sz w:val="22"/>
          <w:szCs w:val="22"/>
          <w:shd w:val="clear" w:color="auto" w:fill="FFFFFF"/>
        </w:rPr>
        <w:t>exposto e contrastado com ideias opostas que, se não vinculam a vontade dos representantes eleitos no momento da votação, ao menos lhe expõem os interesses envolvidos e as consequências práticas advindas da aprovação ou rejeição da norma, tal como proposta" (ADIN nº 994.09.224728-0, Rel. Des. Artur Marques, j. 05/05/2010). Inconstitucionalidade manifesta. Ação julgada procedente, com modulação.</w:t>
      </w:r>
      <w:r>
        <w:rPr>
          <w:rFonts w:asciiTheme="minorHAnsi" w:hAnsiTheme="minorHAnsi" w:cstheme="minorHAnsi"/>
          <w:i/>
          <w:color w:val="000000"/>
          <w:sz w:val="22"/>
          <w:szCs w:val="22"/>
          <w:shd w:val="clear" w:color="auto" w:fill="FFFFFF"/>
        </w:rPr>
        <w:t xml:space="preserve"> </w:t>
      </w:r>
      <w:r w:rsidRPr="00FA1F72">
        <w:rPr>
          <w:rFonts w:asciiTheme="minorHAnsi" w:hAnsiTheme="minorHAnsi" w:cstheme="minorHAnsi"/>
          <w:i/>
          <w:color w:val="000000"/>
          <w:sz w:val="20"/>
          <w:shd w:val="clear" w:color="auto" w:fill="FFFFFF"/>
        </w:rPr>
        <w:t>(TJSP;</w:t>
      </w:r>
      <w:r w:rsidRPr="00FA1F72">
        <w:rPr>
          <w:rFonts w:asciiTheme="minorHAnsi" w:hAnsiTheme="minorHAnsi" w:cstheme="minorHAnsi"/>
          <w:i/>
          <w:color w:val="000000"/>
          <w:sz w:val="20"/>
          <w:shd w:val="clear" w:color="auto" w:fill="FFFFFF"/>
        </w:rPr>
        <w:t xml:space="preserve">  </w:t>
      </w:r>
      <w:r w:rsidRPr="00FA1F72">
        <w:rPr>
          <w:rFonts w:asciiTheme="minorHAnsi" w:hAnsiTheme="minorHAnsi" w:cstheme="minorHAnsi"/>
          <w:i/>
          <w:color w:val="000000"/>
          <w:sz w:val="20"/>
          <w:shd w:val="clear" w:color="auto" w:fill="FFFFFF"/>
        </w:rPr>
        <w:t>Direta de Inconstitucionalidade 2257754-18.2019.8.26.0000; Relator (a): Ferreira Rodrigues; Órgão Julgador: Órgão Especial; Tribunal de Justiça de São Paulo - N/A; Data do Julgamento: 06/05/2020; Data de Registro: 08/05/2020)</w:t>
      </w:r>
      <w:r w:rsidR="005D43F3">
        <w:rPr>
          <w:rFonts w:asciiTheme="minorHAnsi" w:hAnsiTheme="minorHAnsi" w:cstheme="minorHAnsi"/>
          <w:i/>
          <w:color w:val="000000"/>
          <w:sz w:val="20"/>
          <w:shd w:val="clear" w:color="auto" w:fill="FFFFFF"/>
        </w:rPr>
        <w:t xml:space="preserve"> </w:t>
      </w:r>
      <w:r w:rsidRPr="00E176DF">
        <w:rPr>
          <w:rFonts w:asciiTheme="minorHAnsi" w:hAnsiTheme="minorHAnsi" w:cstheme="minorHAnsi"/>
          <w:b/>
          <w:i/>
          <w:color w:val="000000"/>
          <w:sz w:val="22"/>
          <w:szCs w:val="22"/>
          <w:shd w:val="clear" w:color="auto" w:fill="FFFFFF"/>
        </w:rPr>
        <w:t>Grifo nosso.</w:t>
      </w:r>
    </w:p>
    <w:p w:rsidR="00420A13" w:rsidRPr="00FA1F72" w:rsidP="00420A13">
      <w:pPr>
        <w:tabs>
          <w:tab w:val="left" w:pos="2188"/>
        </w:tabs>
        <w:spacing w:before="120" w:after="120"/>
        <w:ind w:left="2268"/>
        <w:jc w:val="both"/>
        <w:rPr>
          <w:rFonts w:asciiTheme="minorHAnsi" w:hAnsiTheme="minorHAnsi" w:cstheme="minorHAnsi"/>
          <w:i/>
          <w:color w:val="000000"/>
          <w:sz w:val="12"/>
          <w:szCs w:val="12"/>
          <w:shd w:val="clear" w:color="auto" w:fill="FFFFFF"/>
        </w:rPr>
      </w:pPr>
    </w:p>
    <w:p w:rsidR="00420A13" w:rsidP="00420A13">
      <w:pPr>
        <w:pStyle w:val="NormalWeb"/>
        <w:spacing w:before="120" w:beforeAutospacing="0" w:after="120" w:afterAutospacing="0" w:line="360" w:lineRule="auto"/>
        <w:ind w:firstLine="1701"/>
        <w:jc w:val="both"/>
        <w:rPr>
          <w:rFonts w:asciiTheme="minorHAnsi" w:hAnsiTheme="minorHAnsi" w:cstheme="minorHAnsi"/>
        </w:rPr>
      </w:pPr>
      <w:r>
        <w:rPr>
          <w:rFonts w:asciiTheme="minorHAnsi" w:hAnsiTheme="minorHAnsi" w:cstheme="minorHAnsi"/>
        </w:rPr>
        <w:t>Corroborando esse entendimento encontramos decisão da Corte Paulista que declarou inconstitucional dispositivo legal por ausência de audiências públicas antes da apresentação de substitutivo que alterou destinação de recursos do Fundo de Desenvolvimento Urbano</w:t>
      </w:r>
      <w:r w:rsidR="00691B91">
        <w:rPr>
          <w:rFonts w:asciiTheme="minorHAnsi" w:hAnsiTheme="minorHAnsi" w:cstheme="minorHAnsi"/>
        </w:rPr>
        <w:t>,</w:t>
      </w:r>
      <w:r>
        <w:rPr>
          <w:rFonts w:asciiTheme="minorHAnsi" w:hAnsiTheme="minorHAnsi" w:cstheme="minorHAnsi"/>
        </w:rPr>
        <w:t xml:space="preserve"> em legislação </w:t>
      </w:r>
      <w:r w:rsidRPr="00054DD1">
        <w:rPr>
          <w:rFonts w:asciiTheme="minorHAnsi" w:hAnsiTheme="minorHAnsi" w:cstheme="minorHAnsi"/>
        </w:rPr>
        <w:t>relacionada ao desenvolvimento urbano</w:t>
      </w:r>
      <w:r>
        <w:rPr>
          <w:rFonts w:asciiTheme="minorHAnsi" w:hAnsiTheme="minorHAnsi" w:cstheme="minorHAnsi"/>
        </w:rPr>
        <w:t>, vejamos trechos do julgado:</w:t>
      </w:r>
    </w:p>
    <w:p w:rsidR="00420A13" w:rsidRPr="00D348A1" w:rsidP="00326E56">
      <w:pPr>
        <w:pStyle w:val="NormalWeb"/>
        <w:spacing w:before="0" w:beforeAutospacing="0" w:after="0" w:afterAutospacing="0"/>
        <w:ind w:left="2268"/>
        <w:jc w:val="both"/>
        <w:rPr>
          <w:rFonts w:asciiTheme="minorHAnsi" w:hAnsiTheme="minorHAnsi" w:cstheme="minorHAnsi"/>
          <w:b/>
          <w:i/>
          <w:sz w:val="22"/>
          <w:szCs w:val="22"/>
        </w:rPr>
      </w:pPr>
      <w:r w:rsidRPr="00940053">
        <w:rPr>
          <w:rFonts w:asciiTheme="minorHAnsi" w:hAnsiTheme="minorHAnsi" w:cstheme="minorHAnsi"/>
          <w:i/>
          <w:sz w:val="22"/>
          <w:szCs w:val="22"/>
        </w:rPr>
        <w:t xml:space="preserve">1. Ação direta de inconstitucionalidade ajuizada pelo Procurador-Geral de Justiça do Estado de São Paulo em face do art. 340, II, da Lei 16.050/2014, do Município de São Paulo, na redação dada pelo art. 9º da Lei Municipal 17.217/2019. </w:t>
      </w:r>
      <w:r w:rsidRPr="00940053">
        <w:rPr>
          <w:rFonts w:asciiTheme="minorHAnsi" w:hAnsiTheme="minorHAnsi" w:cstheme="minorHAnsi"/>
          <w:b/>
          <w:i/>
          <w:sz w:val="22"/>
          <w:szCs w:val="22"/>
        </w:rPr>
        <w:t xml:space="preserve">2. Violação dos arts. 180, II, da Constituição do Estado de São Paulo, e. </w:t>
      </w:r>
      <w:r w:rsidRPr="00940053">
        <w:rPr>
          <w:rFonts w:asciiTheme="minorHAnsi" w:hAnsiTheme="minorHAnsi" w:cstheme="minorHAnsi"/>
          <w:b/>
          <w:i/>
          <w:sz w:val="22"/>
          <w:szCs w:val="22"/>
        </w:rPr>
        <w:t>29, XII</w:t>
      </w:r>
      <w:r w:rsidRPr="00940053">
        <w:rPr>
          <w:rFonts w:asciiTheme="minorHAnsi" w:hAnsiTheme="minorHAnsi" w:cstheme="minorHAnsi"/>
          <w:b/>
          <w:i/>
          <w:sz w:val="22"/>
          <w:szCs w:val="22"/>
        </w:rPr>
        <w:t xml:space="preserve"> da Constituição Federal. Realização de audiências públicas antes de apresentação de substitutivo do projeto de lei, que alterou destinação de recursos do Fundo de Desenvolvimento Urbano.</w:t>
      </w:r>
      <w:r w:rsidRPr="00940053">
        <w:rPr>
          <w:rFonts w:asciiTheme="minorHAnsi" w:hAnsiTheme="minorHAnsi" w:cstheme="minorHAnsi"/>
          <w:i/>
          <w:sz w:val="22"/>
          <w:szCs w:val="22"/>
        </w:rPr>
        <w:t xml:space="preserve"> </w:t>
      </w:r>
      <w:r w:rsidRPr="00D348A1">
        <w:rPr>
          <w:rFonts w:asciiTheme="minorHAnsi" w:hAnsiTheme="minorHAnsi" w:cstheme="minorHAnsi"/>
          <w:b/>
          <w:i/>
          <w:sz w:val="22"/>
          <w:szCs w:val="22"/>
        </w:rPr>
        <w:t xml:space="preserve">Audiências insuficientes, no caso, para o cumprimento dos dispositivos constitucionais invocados. Inconstitucionalidade reconhecida. 3. Ação direta de inconstitucionalidade julgada procedente. </w:t>
      </w:r>
    </w:p>
    <w:p w:rsidR="00420A13" w:rsidRPr="00940053" w:rsidP="00326E56">
      <w:pPr>
        <w:pStyle w:val="NormalWeb"/>
        <w:spacing w:before="0" w:beforeAutospacing="0" w:after="0" w:afterAutospacing="0"/>
        <w:ind w:left="2268"/>
        <w:jc w:val="both"/>
        <w:rPr>
          <w:rFonts w:asciiTheme="minorHAnsi" w:hAnsiTheme="minorHAnsi" w:cstheme="minorHAnsi"/>
          <w:i/>
          <w:sz w:val="22"/>
          <w:szCs w:val="22"/>
        </w:rPr>
      </w:pPr>
      <w:r w:rsidRPr="00940053">
        <w:rPr>
          <w:rFonts w:asciiTheme="minorHAnsi" w:hAnsiTheme="minorHAnsi" w:cstheme="minorHAnsi"/>
          <w:i/>
          <w:sz w:val="22"/>
          <w:szCs w:val="22"/>
        </w:rPr>
        <w:t>(...)</w:t>
      </w:r>
    </w:p>
    <w:p w:rsidR="00420A13" w:rsidRPr="00940053" w:rsidP="00326E56">
      <w:pPr>
        <w:pStyle w:val="NormalWeb"/>
        <w:spacing w:before="0" w:beforeAutospacing="0" w:after="0" w:afterAutospacing="0"/>
        <w:ind w:left="2268"/>
        <w:jc w:val="both"/>
        <w:rPr>
          <w:rFonts w:asciiTheme="minorHAnsi" w:hAnsiTheme="minorHAnsi" w:cstheme="minorHAnsi"/>
          <w:i/>
          <w:sz w:val="22"/>
          <w:szCs w:val="22"/>
        </w:rPr>
      </w:pPr>
      <w:r w:rsidRPr="00940053">
        <w:rPr>
          <w:rFonts w:asciiTheme="minorHAnsi" w:hAnsiTheme="minorHAnsi" w:cstheme="minorHAnsi"/>
          <w:i/>
          <w:sz w:val="22"/>
          <w:szCs w:val="22"/>
        </w:rPr>
        <w:t xml:space="preserve">No caso em tela, a norma impugnada tem origem no PL 513/2019, enviado pelo Prefeito do Município, destinado a alterar planos viários de que tratavam as leis municipais 13.860/2004 e 16.541/2016 (cf. fls. 56/66). Foi apresentado um primeiro substitutivo, em 2.10.2019, pelas Comissões de Política Urbana, Metropolitana e Meio Ambiente, e de Finanças e Orçamento, o qual acrescentou alteração também ao art. 340, I, da Lei 16.050/2014 (cf. fls. 122/132) e que foi aprovado em primeira votação no mesmo dia (cf. fls. 136/143). Houve ainda um segundo substitutivo, no dia 9.10.2019, (cf. fls. 145/159), que introduziu a alteração impugnada na presente demanda no art. 340, </w:t>
      </w:r>
      <w:r w:rsidRPr="00940053">
        <w:rPr>
          <w:rFonts w:asciiTheme="minorHAnsi" w:hAnsiTheme="minorHAnsi" w:cstheme="minorHAnsi"/>
          <w:i/>
          <w:sz w:val="22"/>
          <w:szCs w:val="22"/>
        </w:rPr>
        <w:t>II, da Lei 16.050/2014 e foi aprovado no mesmo dia. Por fim, a lei foi promulgada pelo Prefeito em 23.10.2019 (cf. fls. 220).</w:t>
      </w:r>
    </w:p>
    <w:p w:rsidR="00420A13" w:rsidRPr="00940053" w:rsidP="00326E56">
      <w:pPr>
        <w:pStyle w:val="NormalWeb"/>
        <w:spacing w:before="0" w:beforeAutospacing="0" w:after="0" w:afterAutospacing="0"/>
        <w:ind w:left="2268"/>
        <w:jc w:val="both"/>
        <w:rPr>
          <w:rFonts w:asciiTheme="minorHAnsi" w:hAnsiTheme="minorHAnsi" w:cstheme="minorHAnsi"/>
          <w:i/>
          <w:sz w:val="22"/>
          <w:szCs w:val="22"/>
        </w:rPr>
      </w:pPr>
      <w:r w:rsidRPr="00940053">
        <w:rPr>
          <w:rFonts w:asciiTheme="minorHAnsi" w:hAnsiTheme="minorHAnsi" w:cstheme="minorHAnsi"/>
          <w:i/>
          <w:sz w:val="22"/>
          <w:szCs w:val="22"/>
          <w:u w:val="single"/>
        </w:rPr>
        <w:t>Observo que a norma impugnada consistiu na alteração da destinação de parte dos recursos do Fundo de Desenvolvimento Urbano (no montante de 30%) para que abrangesse a melhoria de “vias estruturais”, além das hipóteses que constavam da redação original</w:t>
      </w:r>
      <w:r w:rsidRPr="00940053">
        <w:rPr>
          <w:rFonts w:asciiTheme="minorHAnsi" w:hAnsiTheme="minorHAnsi" w:cstheme="minorHAnsi"/>
          <w:i/>
          <w:sz w:val="22"/>
          <w:szCs w:val="22"/>
        </w:rPr>
        <w:t xml:space="preserve"> (</w:t>
      </w:r>
      <w:r w:rsidRPr="00940053">
        <w:rPr>
          <w:rFonts w:asciiTheme="minorHAnsi" w:hAnsiTheme="minorHAnsi" w:cstheme="minorHAnsi"/>
          <w:i/>
          <w:sz w:val="22"/>
          <w:szCs w:val="22"/>
        </w:rPr>
        <w:t>implementação</w:t>
      </w:r>
      <w:r w:rsidRPr="00940053">
        <w:rPr>
          <w:rFonts w:asciiTheme="minorHAnsi" w:hAnsiTheme="minorHAnsi" w:cstheme="minorHAnsi"/>
          <w:i/>
          <w:sz w:val="22"/>
          <w:szCs w:val="22"/>
        </w:rPr>
        <w:t xml:space="preserve"> de melhorias nos sistemas de transporte público coletivo, </w:t>
      </w:r>
      <w:r w:rsidRPr="00940053">
        <w:rPr>
          <w:rFonts w:asciiTheme="minorHAnsi" w:hAnsiTheme="minorHAnsi" w:cstheme="minorHAnsi"/>
          <w:i/>
          <w:sz w:val="22"/>
          <w:szCs w:val="22"/>
        </w:rPr>
        <w:t>cicloviário</w:t>
      </w:r>
      <w:r w:rsidRPr="00940053">
        <w:rPr>
          <w:rFonts w:asciiTheme="minorHAnsi" w:hAnsiTheme="minorHAnsi" w:cstheme="minorHAnsi"/>
          <w:i/>
          <w:sz w:val="22"/>
          <w:szCs w:val="22"/>
        </w:rPr>
        <w:t xml:space="preserve"> e de circulação de pedestres). </w:t>
      </w:r>
      <w:r w:rsidRPr="00940053">
        <w:rPr>
          <w:rFonts w:asciiTheme="minorHAnsi" w:hAnsiTheme="minorHAnsi" w:cstheme="minorHAnsi"/>
          <w:b/>
          <w:i/>
          <w:sz w:val="22"/>
          <w:szCs w:val="22"/>
        </w:rPr>
        <w:t>Nesse contexto, trata-se de norma que trata de matéria relacionada ao desenvolvimento urbano, o que implica reconhecer que o processo legislativo respectivo deve observar o disposto pelo art. 180, II, da Constituição do Estado de São Paulo, e também o art. 29, XII, da Constituição Federal</w:t>
      </w:r>
      <w:r w:rsidRPr="00940053">
        <w:rPr>
          <w:rFonts w:asciiTheme="minorHAnsi" w:hAnsiTheme="minorHAnsi" w:cstheme="minorHAnsi"/>
          <w:i/>
          <w:sz w:val="22"/>
          <w:szCs w:val="22"/>
        </w:rPr>
        <w:t>, que impõe aos municípios a “cooperação das associações representativas no planejamento municipal”, e é aplicável no presente caso por força do art. 144 da Constituição estadual.</w:t>
      </w:r>
    </w:p>
    <w:p w:rsidR="00420A13" w:rsidP="00326E56">
      <w:pPr>
        <w:pStyle w:val="NormalWeb"/>
        <w:spacing w:before="0" w:beforeAutospacing="0" w:after="0" w:afterAutospacing="0"/>
        <w:ind w:left="2268"/>
        <w:jc w:val="both"/>
        <w:rPr>
          <w:rFonts w:asciiTheme="minorHAnsi" w:hAnsiTheme="minorHAnsi" w:cstheme="minorHAnsi"/>
          <w:i/>
        </w:rPr>
      </w:pPr>
      <w:r w:rsidRPr="00054DD1">
        <w:rPr>
          <w:rFonts w:asciiTheme="minorHAnsi" w:hAnsiTheme="minorHAnsi" w:cstheme="minorHAnsi"/>
          <w:i/>
          <w:sz w:val="22"/>
          <w:szCs w:val="22"/>
          <w:u w:val="single"/>
        </w:rPr>
        <w:t>(...)</w:t>
      </w:r>
    </w:p>
    <w:p w:rsidR="00420A13" w:rsidRPr="00940053" w:rsidP="00326E56">
      <w:pPr>
        <w:pStyle w:val="NormalWeb"/>
        <w:spacing w:before="0" w:beforeAutospacing="0" w:after="0" w:afterAutospacing="0"/>
        <w:ind w:left="2268"/>
        <w:jc w:val="both"/>
        <w:rPr>
          <w:rFonts w:asciiTheme="minorHAnsi" w:hAnsiTheme="minorHAnsi" w:cstheme="minorHAnsi"/>
          <w:b/>
          <w:i/>
        </w:rPr>
      </w:pPr>
      <w:r w:rsidRPr="00054DD1">
        <w:rPr>
          <w:rFonts w:asciiTheme="minorHAnsi" w:eastAsiaTheme="minorHAnsi" w:hAnsiTheme="minorHAnsi" w:cstheme="minorHAnsi"/>
          <w:i/>
          <w:sz w:val="22"/>
          <w:szCs w:val="22"/>
          <w:lang w:eastAsia="en-US"/>
        </w:rPr>
        <w:t xml:space="preserve">Nesse contexto, em relação à necessária participação popular no processo legislativo da norma impugnada, o que se verifica é que foram realizadas duas audiências públicas cujo tema </w:t>
      </w:r>
      <w:r w:rsidRPr="00054DD1">
        <w:rPr>
          <w:rFonts w:asciiTheme="minorHAnsi" w:eastAsiaTheme="minorHAnsi" w:hAnsiTheme="minorHAnsi" w:cstheme="minorHAnsi"/>
          <w:i/>
          <w:sz w:val="22"/>
          <w:szCs w:val="22"/>
          <w:lang w:eastAsia="en-US"/>
        </w:rPr>
        <w:t>eram</w:t>
      </w:r>
      <w:r w:rsidRPr="00054DD1">
        <w:rPr>
          <w:rFonts w:asciiTheme="minorHAnsi" w:eastAsiaTheme="minorHAnsi" w:hAnsiTheme="minorHAnsi" w:cstheme="minorHAnsi"/>
          <w:i/>
          <w:sz w:val="22"/>
          <w:szCs w:val="22"/>
          <w:lang w:eastAsia="en-US"/>
        </w:rPr>
        <w:t xml:space="preserve"> o PL 513/2019. A primeira foi realizada no dia 4.10.2019 (cf. fls. 161), quando o primeiro substitutivo, que ainda não trazia a votação. A segunda foi realizada no dia 9.10.2019 (cf. fls. 164/174), mesmo dia em que, horas mais tarde, seria apresentado e aprovado o segundo substitutivo do projeto, que trouxe pela primeira vez a nova redação do art. 340, II, da Lei 16.050/2014. </w:t>
      </w:r>
      <w:r w:rsidRPr="00940053">
        <w:rPr>
          <w:rFonts w:asciiTheme="minorHAnsi" w:eastAsiaTheme="minorHAnsi" w:hAnsiTheme="minorHAnsi" w:cstheme="minorHAnsi"/>
          <w:b/>
          <w:i/>
          <w:sz w:val="22"/>
          <w:szCs w:val="22"/>
          <w:lang w:eastAsia="en-US"/>
        </w:rPr>
        <w:t>Assim, a única inferência possível é a de que as audiências realizadas foram inócuas no que diz respeito à finalidade dos arts. 180, II, da Constituição do Estado de São Paulo, e 29, XII da Constituição Federal, pois não propiciaram oportunidade de participação popular efetiva no que diz respeito à alteração da destinação do Fundo de Desenvolvimento Urbano, visto que realizadas antes mesmo que houvesse proposta nesse sentido.</w:t>
      </w:r>
    </w:p>
    <w:p w:rsidR="00420A13" w:rsidRPr="00940053" w:rsidP="00420A13">
      <w:pPr>
        <w:pStyle w:val="NormalWeb"/>
        <w:spacing w:before="0" w:beforeAutospacing="0" w:after="0" w:afterAutospacing="0" w:line="276" w:lineRule="auto"/>
        <w:ind w:left="2268"/>
        <w:jc w:val="both"/>
        <w:rPr>
          <w:rFonts w:asciiTheme="minorHAnsi" w:eastAsiaTheme="minorHAnsi" w:hAnsiTheme="minorHAnsi" w:cstheme="minorHAnsi"/>
          <w:i/>
          <w:sz w:val="22"/>
          <w:szCs w:val="22"/>
          <w:lang w:eastAsia="en-US"/>
        </w:rPr>
      </w:pPr>
      <w:r w:rsidRPr="00940053">
        <w:rPr>
          <w:rFonts w:asciiTheme="minorHAnsi" w:eastAsiaTheme="minorHAnsi" w:hAnsiTheme="minorHAnsi" w:cstheme="minorHAnsi"/>
          <w:i/>
          <w:sz w:val="22"/>
          <w:szCs w:val="22"/>
          <w:lang w:eastAsia="en-US"/>
        </w:rPr>
        <w:t>(...)</w:t>
      </w:r>
    </w:p>
    <w:p w:rsidR="00691B91" w:rsidRPr="00326E56" w:rsidP="00326E56">
      <w:pPr>
        <w:pStyle w:val="NormalWeb"/>
        <w:spacing w:before="0" w:beforeAutospacing="0" w:after="0" w:afterAutospacing="0"/>
        <w:ind w:left="2268"/>
        <w:jc w:val="both"/>
        <w:rPr>
          <w:rFonts w:asciiTheme="minorHAnsi" w:hAnsiTheme="minorHAnsi" w:cstheme="minorHAnsi"/>
          <w:b/>
          <w:i/>
          <w:color w:val="000000"/>
          <w:sz w:val="20"/>
          <w:szCs w:val="20"/>
          <w:shd w:val="clear" w:color="auto" w:fill="FFFFFF"/>
        </w:rPr>
      </w:pPr>
      <w:r w:rsidRPr="00326E56">
        <w:rPr>
          <w:rFonts w:asciiTheme="minorHAnsi" w:eastAsiaTheme="minorHAnsi" w:hAnsiTheme="minorHAnsi" w:cstheme="minorHAnsi"/>
          <w:i/>
          <w:sz w:val="20"/>
          <w:szCs w:val="20"/>
          <w:lang w:eastAsia="en-US"/>
        </w:rPr>
        <w:t>(TJSP; Direta de Inconstitucionalidade 2172188-33.2021.8.26.0000; Relator (a): Campos Mello; Órgão Julgador: Órgão Especial; Tribunal de Justiça de São Paulo - N/A; Data do Julgamento: 26/01/2022; Data de Registro: 01/02/2022)</w:t>
      </w:r>
      <w:r w:rsidRPr="00326E56" w:rsidR="005D43F3">
        <w:rPr>
          <w:rFonts w:asciiTheme="minorHAnsi" w:eastAsiaTheme="minorHAnsi" w:hAnsiTheme="minorHAnsi" w:cstheme="minorHAnsi"/>
          <w:i/>
          <w:sz w:val="20"/>
          <w:szCs w:val="20"/>
          <w:lang w:eastAsia="en-US"/>
        </w:rPr>
        <w:t xml:space="preserve"> </w:t>
      </w:r>
      <w:r w:rsidRPr="00326E56">
        <w:rPr>
          <w:rFonts w:asciiTheme="minorHAnsi" w:hAnsiTheme="minorHAnsi" w:cstheme="minorHAnsi"/>
          <w:b/>
          <w:i/>
          <w:color w:val="000000"/>
          <w:sz w:val="20"/>
          <w:szCs w:val="20"/>
          <w:shd w:val="clear" w:color="auto" w:fill="FFFFFF"/>
        </w:rPr>
        <w:t>Grifo nosso.</w:t>
      </w:r>
    </w:p>
    <w:p w:rsidR="00420A13" w:rsidRPr="002249E9" w:rsidP="00420A13">
      <w:pPr>
        <w:pStyle w:val="NormalWeb"/>
        <w:spacing w:before="120" w:beforeAutospacing="0" w:after="120" w:afterAutospacing="0" w:line="360" w:lineRule="auto"/>
        <w:ind w:firstLine="1701"/>
        <w:jc w:val="both"/>
        <w:rPr>
          <w:rFonts w:asciiTheme="minorHAnsi" w:hAnsiTheme="minorHAnsi" w:cstheme="minorHAnsi"/>
        </w:rPr>
      </w:pPr>
      <w:r>
        <w:rPr>
          <w:rFonts w:asciiTheme="minorHAnsi" w:hAnsiTheme="minorHAnsi" w:cstheme="minorHAnsi"/>
        </w:rPr>
        <w:t>No mesmo</w:t>
      </w:r>
      <w:r w:rsidRPr="002249E9">
        <w:rPr>
          <w:rFonts w:asciiTheme="minorHAnsi" w:hAnsiTheme="minorHAnsi" w:cstheme="minorHAnsi"/>
        </w:rPr>
        <w:t xml:space="preserve"> diapasão</w:t>
      </w:r>
      <w:r>
        <w:rPr>
          <w:rFonts w:asciiTheme="minorHAnsi" w:hAnsiTheme="minorHAnsi" w:cstheme="minorHAnsi"/>
        </w:rPr>
        <w:t>, colacionamos outras decisões em casos análogos atinentes a normas em matéria urbanística</w:t>
      </w:r>
      <w:r w:rsidRPr="002249E9">
        <w:rPr>
          <w:rFonts w:asciiTheme="minorHAnsi" w:hAnsiTheme="minorHAnsi" w:cstheme="minorHAnsi"/>
        </w:rPr>
        <w:t>:</w:t>
      </w:r>
    </w:p>
    <w:p w:rsidR="00420A13" w:rsidRPr="00E36A15" w:rsidP="00326E56">
      <w:pPr>
        <w:pStyle w:val="Default"/>
        <w:ind w:left="2268"/>
        <w:jc w:val="both"/>
        <w:rPr>
          <w:rFonts w:ascii="Calibri" w:hAnsi="Calibri" w:cs="Calibri"/>
          <w:i/>
          <w:sz w:val="22"/>
          <w:szCs w:val="22"/>
        </w:rPr>
      </w:pPr>
      <w:r w:rsidRPr="00E36A15">
        <w:rPr>
          <w:rFonts w:ascii="Calibri" w:hAnsi="Calibri" w:cs="Calibri"/>
          <w:i/>
          <w:sz w:val="22"/>
          <w:szCs w:val="22"/>
        </w:rPr>
        <w:t xml:space="preserve">Ação direta de inconstitucionalidade - Impugnação à Lei nº 17.561, de 04 de junho de 2021, do Município de São Paulo – Alteração de </w:t>
      </w:r>
      <w:r w:rsidRPr="00E36A15">
        <w:rPr>
          <w:rFonts w:ascii="Calibri" w:hAnsi="Calibri" w:cs="Calibri"/>
          <w:i/>
          <w:sz w:val="22"/>
          <w:szCs w:val="22"/>
        </w:rPr>
        <w:t xml:space="preserve">disposições da Lei nº 15.893/13, estabelecendo </w:t>
      </w:r>
      <w:r w:rsidRPr="00FA1F72">
        <w:rPr>
          <w:rFonts w:ascii="Calibri" w:hAnsi="Calibri" w:cs="Calibri"/>
          <w:i/>
          <w:sz w:val="22"/>
          <w:szCs w:val="22"/>
          <w:u w:val="single"/>
        </w:rPr>
        <w:t>"novas diretrizes gerais, específicas e mecanismos para a implantação da Operação Consorciada Água Branca e define programa de intervenções para a área da operação, bem como substitui o Quadro III Fatores de Equivalência de CEPAC anexo à citada lei" –</w:t>
      </w:r>
      <w:r w:rsidRPr="00E36A15">
        <w:rPr>
          <w:rFonts w:ascii="Calibri" w:hAnsi="Calibri" w:cs="Calibri"/>
          <w:i/>
          <w:sz w:val="22"/>
          <w:szCs w:val="22"/>
        </w:rPr>
        <w:t xml:space="preserve"> </w:t>
      </w:r>
      <w:r w:rsidRPr="00FA1F72">
        <w:rPr>
          <w:rFonts w:ascii="Calibri" w:hAnsi="Calibri" w:cs="Calibri"/>
          <w:b/>
          <w:i/>
          <w:sz w:val="22"/>
          <w:szCs w:val="22"/>
        </w:rPr>
        <w:t>Matéria urbanística – Alegação de ausência de planejamento técnico e de participação popular</w:t>
      </w:r>
      <w:r w:rsidRPr="00E36A15">
        <w:rPr>
          <w:rFonts w:ascii="Calibri" w:hAnsi="Calibri" w:cs="Calibri"/>
          <w:i/>
          <w:sz w:val="22"/>
          <w:szCs w:val="22"/>
        </w:rPr>
        <w:t xml:space="preserve"> – </w:t>
      </w:r>
      <w:r w:rsidRPr="00FA1F72">
        <w:rPr>
          <w:rFonts w:ascii="Calibri" w:hAnsi="Calibri" w:cs="Calibri"/>
          <w:b/>
          <w:i/>
          <w:sz w:val="22"/>
          <w:szCs w:val="22"/>
          <w:u w:val="single"/>
        </w:rPr>
        <w:t xml:space="preserve">Apresentação do projeto de lei pelo Executivo com exposição técnica, que assinalou a necessidade de revisão dos valores dos </w:t>
      </w:r>
      <w:r w:rsidRPr="00FA1F72">
        <w:rPr>
          <w:rFonts w:ascii="Calibri" w:hAnsi="Calibri" w:cs="Calibri"/>
          <w:b/>
          <w:i/>
          <w:sz w:val="22"/>
          <w:szCs w:val="22"/>
          <w:u w:val="single"/>
        </w:rPr>
        <w:t>CEPACs</w:t>
      </w:r>
      <w:r w:rsidRPr="00FA1F72">
        <w:rPr>
          <w:rFonts w:ascii="Calibri" w:hAnsi="Calibri" w:cs="Calibri"/>
          <w:b/>
          <w:i/>
          <w:sz w:val="22"/>
          <w:szCs w:val="22"/>
          <w:u w:val="single"/>
        </w:rPr>
        <w:t>,</w:t>
      </w:r>
      <w:r w:rsidRPr="00E36A15">
        <w:rPr>
          <w:rFonts w:ascii="Calibri" w:hAnsi="Calibri" w:cs="Calibri"/>
          <w:i/>
          <w:sz w:val="22"/>
          <w:szCs w:val="22"/>
        </w:rPr>
        <w:t xml:space="preserve"> </w:t>
      </w:r>
      <w:r w:rsidRPr="00FA1F72">
        <w:rPr>
          <w:rFonts w:ascii="Calibri" w:hAnsi="Calibri" w:cs="Calibri"/>
          <w:b/>
          <w:i/>
          <w:sz w:val="22"/>
          <w:szCs w:val="22"/>
          <w:u w:val="single"/>
        </w:rPr>
        <w:t xml:space="preserve">de forma a viabilizar a efetiva implantação de empreendimentos privados na área e impulsionar a consecução da Operação Urbana na região da Água Branca – Participação comunitária através da realização de </w:t>
      </w:r>
      <w:r w:rsidRPr="00FA1F72">
        <w:rPr>
          <w:rFonts w:ascii="Calibri" w:hAnsi="Calibri" w:cs="Calibri"/>
          <w:b/>
          <w:i/>
          <w:sz w:val="22"/>
          <w:szCs w:val="22"/>
          <w:u w:val="single"/>
        </w:rPr>
        <w:t>8</w:t>
      </w:r>
      <w:r w:rsidRPr="00FA1F72">
        <w:rPr>
          <w:rFonts w:ascii="Calibri" w:hAnsi="Calibri" w:cs="Calibri"/>
          <w:b/>
          <w:i/>
          <w:sz w:val="22"/>
          <w:szCs w:val="22"/>
          <w:u w:val="single"/>
        </w:rPr>
        <w:t xml:space="preserve"> (oito) audiências públicas –</w:t>
      </w:r>
      <w:r w:rsidRPr="00E36A15">
        <w:rPr>
          <w:rFonts w:ascii="Calibri" w:hAnsi="Calibri" w:cs="Calibri"/>
          <w:i/>
          <w:sz w:val="22"/>
          <w:szCs w:val="22"/>
        </w:rPr>
        <w:t xml:space="preserve"> Posterior aprovação de substitutivo, que, inclusive, se aproxima dos anseios populares, manifestados nas audiências realizadas – Inconstitucionalidade não configurada – Ação improcedente. </w:t>
      </w:r>
    </w:p>
    <w:p w:rsidR="00420A13" w:rsidRPr="005D43F3" w:rsidP="00326E56">
      <w:pPr>
        <w:pStyle w:val="Default"/>
        <w:pBdr>
          <w:bottom w:val="single" w:sz="12" w:space="1" w:color="auto"/>
        </w:pBdr>
        <w:ind w:left="2268"/>
        <w:jc w:val="both"/>
        <w:rPr>
          <w:rFonts w:ascii="Calibri" w:hAnsi="Calibri" w:cs="Calibri"/>
          <w:i/>
          <w:sz w:val="20"/>
          <w:szCs w:val="20"/>
        </w:rPr>
      </w:pPr>
      <w:r w:rsidRPr="005D43F3">
        <w:rPr>
          <w:rFonts w:ascii="Calibri" w:hAnsi="Calibri" w:cs="Calibri"/>
          <w:i/>
          <w:sz w:val="20"/>
          <w:szCs w:val="20"/>
        </w:rPr>
        <w:t>(TJSP;</w:t>
      </w:r>
      <w:r w:rsidRPr="005D43F3">
        <w:rPr>
          <w:rFonts w:ascii="Calibri" w:hAnsi="Calibri" w:cs="Calibri"/>
          <w:i/>
          <w:sz w:val="20"/>
          <w:szCs w:val="20"/>
        </w:rPr>
        <w:t xml:space="preserve">  </w:t>
      </w:r>
      <w:r w:rsidRPr="005D43F3">
        <w:rPr>
          <w:rFonts w:ascii="Calibri" w:hAnsi="Calibri" w:cs="Calibri"/>
          <w:i/>
          <w:sz w:val="20"/>
          <w:szCs w:val="20"/>
        </w:rPr>
        <w:t>Direta de Inconstitucionalidade 2182422-74.2021.8.26.0000; Relator (a): Ademir Benedito; Órgão Julgador: Órgão Especial; Tribunal de Justiça de São Paulo - N/A; Data do Julgamento: 28/09/2022; Data de Registro: 03/10/2022)</w:t>
      </w:r>
    </w:p>
    <w:p w:rsidR="00326E56" w:rsidP="005D43F3">
      <w:pPr>
        <w:spacing w:after="120" w:line="240" w:lineRule="auto"/>
        <w:ind w:left="2268"/>
        <w:jc w:val="both"/>
        <w:rPr>
          <w:rFonts w:asciiTheme="minorHAnsi" w:hAnsiTheme="minorHAnsi" w:cstheme="minorHAnsi"/>
          <w:i/>
          <w:color w:val="000000"/>
          <w:sz w:val="22"/>
          <w:szCs w:val="22"/>
          <w:shd w:val="clear" w:color="auto" w:fill="FFFFFF"/>
        </w:rPr>
      </w:pPr>
    </w:p>
    <w:p w:rsidR="00B50ACD" w:rsidP="002D2750">
      <w:pPr>
        <w:spacing w:after="0" w:line="240" w:lineRule="auto"/>
        <w:ind w:left="2268"/>
        <w:jc w:val="both"/>
        <w:rPr>
          <w:rFonts w:asciiTheme="minorHAnsi" w:hAnsiTheme="minorHAnsi" w:cstheme="minorHAnsi"/>
          <w:i/>
          <w:color w:val="000000"/>
          <w:sz w:val="20"/>
          <w:shd w:val="clear" w:color="auto" w:fill="FFFFFF"/>
        </w:rPr>
      </w:pPr>
      <w:r w:rsidRPr="00940053">
        <w:rPr>
          <w:rFonts w:asciiTheme="minorHAnsi" w:hAnsiTheme="minorHAnsi" w:cstheme="minorHAnsi"/>
          <w:i/>
          <w:color w:val="000000"/>
          <w:sz w:val="22"/>
          <w:szCs w:val="22"/>
          <w:shd w:val="clear" w:color="auto" w:fill="FFFFFF"/>
        </w:rPr>
        <w:t xml:space="preserve">AÇÃO DIRETA DE INCONSTITUCIONALIDADE – Preliminar de nulidade suscitada pelo Presidente da Câmara Municipal porque, segundo afirma, "o pedido de esclarecimentos fora encaminhado ao endereço eletrônico do antigo Presidente" – O Presidente da Câmara Municipal é solicitado a prestar informações como Chefe e Representante do Poder Legislativo local, não pessoal ou individualmente, tal qual estabelece a Lei nº 9.868/99, em seu art. 6º – Aplicáveis </w:t>
      </w:r>
      <w:r w:rsidRPr="00940053">
        <w:rPr>
          <w:rFonts w:asciiTheme="minorHAnsi" w:hAnsiTheme="minorHAnsi" w:cstheme="minorHAnsi"/>
          <w:i/>
          <w:color w:val="000000"/>
          <w:sz w:val="22"/>
          <w:szCs w:val="22"/>
          <w:shd w:val="clear" w:color="auto" w:fill="FFFFFF"/>
        </w:rPr>
        <w:t>as</w:t>
      </w:r>
      <w:r w:rsidRPr="00940053">
        <w:rPr>
          <w:rFonts w:asciiTheme="minorHAnsi" w:hAnsiTheme="minorHAnsi" w:cstheme="minorHAnsi"/>
          <w:i/>
          <w:color w:val="000000"/>
          <w:sz w:val="22"/>
          <w:szCs w:val="22"/>
          <w:shd w:val="clear" w:color="auto" w:fill="FFFFFF"/>
        </w:rPr>
        <w:t xml:space="preserve"> disposições específicas do art. 90 da CE (art. 103 da CF) e da Lei Federal nº 8.868/99 – No caso, embora enviada mensagem eletrônica com ofício de requisição de informações para destinatário incorreto, eventual irregularidade restou sanada, pois prestadas as informações pelo atual Presidente da Câmara Municipal – Preliminar afastada. AÇÃO DIRETA DE INCONSTITUCIONALIDADE – Lei nº 1.160, de 17 de novembro de 2015, do Município de Franco da Rocha, que dispõe sobre "</w:t>
      </w:r>
      <w:r w:rsidRPr="00940053">
        <w:rPr>
          <w:rFonts w:asciiTheme="minorHAnsi" w:hAnsiTheme="minorHAnsi" w:cstheme="minorHAnsi"/>
          <w:b/>
          <w:i/>
          <w:color w:val="000000"/>
          <w:sz w:val="22"/>
          <w:szCs w:val="22"/>
          <w:shd w:val="clear" w:color="auto" w:fill="FFFFFF"/>
        </w:rPr>
        <w:t>normas e condições para instalação de postos de serviços e abastecimentos de veículos no Município de Franco da Rocha e dá outras providências"</w:t>
      </w:r>
      <w:r w:rsidRPr="00940053">
        <w:rPr>
          <w:rFonts w:asciiTheme="minorHAnsi" w:hAnsiTheme="minorHAnsi" w:cstheme="minorHAnsi"/>
          <w:i/>
          <w:color w:val="000000"/>
          <w:sz w:val="22"/>
          <w:szCs w:val="22"/>
          <w:shd w:val="clear" w:color="auto" w:fill="FFFFFF"/>
        </w:rPr>
        <w:t xml:space="preserve"> – VIOLAÇÃO DOS PRINCÍPIOS DA RESERVA DA ADMINISTRAÇÃO, DA SEPARAÇÃO DE PODERES E VÍCIO DE INICIATIVA (arts. 5º, 24, § 2º; 47; e 144 da CE) – Não configuração – Norma que trata da localização dos postos de serviço e abastecimento de veículos, de regras para sua construção e prevenção de poluição sonora, e cuida do ordenamento urbano, das posturas municipais e da poluição sonora – Norma atacada que não trata de quaisquer das matérias cuja iniciativa esteja reservada pela Constituição Estadual </w:t>
      </w:r>
      <w:r w:rsidRPr="00940053">
        <w:rPr>
          <w:rFonts w:asciiTheme="minorHAnsi" w:hAnsiTheme="minorHAnsi" w:cstheme="minorHAnsi"/>
          <w:i/>
          <w:color w:val="000000"/>
          <w:sz w:val="22"/>
          <w:szCs w:val="22"/>
          <w:shd w:val="clear" w:color="auto" w:fill="FFFFFF"/>
        </w:rPr>
        <w:t xml:space="preserve">ao Chefe do Poder Executivo – Competência concorrente – VIOLAÇÃO DOS PRINCÍPIOS DA LIVRE INICIATIVA E DA LIVRE CONCORRÊNCIA (art. 170 CF) – Não configuração – Lei que objetiva a segurança de obras e logradouros públicos, escolas e de sua vizinhança, o que se mostra legítimo, não havendo falar em violação dos princípios constitucionais da livre iniciativa e da livre concorrência – Jurisprudência – CAUSA DE PEDIR ABERTA – Pedido não atendido pelas razões iniciais, mas que pode ser analisado e decidido por outra razão, em prestígio da causa de pedir aberta, que permeia o processo da ação direta de inconstitucionalidade, permissão que pode levar, ou não, ao reconhecimento de que a norma desatende a preceito constitucional diverso do invocado na peça inaugural da ação – </w:t>
      </w:r>
      <w:r w:rsidRPr="00940053">
        <w:rPr>
          <w:rFonts w:asciiTheme="minorHAnsi" w:hAnsiTheme="minorHAnsi" w:cstheme="minorHAnsi"/>
          <w:b/>
          <w:i/>
          <w:color w:val="000000"/>
          <w:sz w:val="22"/>
          <w:szCs w:val="22"/>
          <w:shd w:val="clear" w:color="auto" w:fill="FFFFFF"/>
        </w:rPr>
        <w:t xml:space="preserve">PARTICIPAÇÃO POPULAR na edição da norma – Inocorrência que vicia o processo legislativo – Ofensa ao disposto nos arts. </w:t>
      </w:r>
      <w:r w:rsidRPr="00940053">
        <w:rPr>
          <w:rFonts w:asciiTheme="minorHAnsi" w:hAnsiTheme="minorHAnsi" w:cstheme="minorHAnsi"/>
          <w:b/>
          <w:i/>
          <w:color w:val="000000"/>
          <w:sz w:val="22"/>
          <w:szCs w:val="22"/>
          <w:shd w:val="clear" w:color="auto" w:fill="FFFFFF"/>
        </w:rPr>
        <w:t>180, II, e 191</w:t>
      </w:r>
      <w:r w:rsidRPr="00940053">
        <w:rPr>
          <w:rFonts w:asciiTheme="minorHAnsi" w:hAnsiTheme="minorHAnsi" w:cstheme="minorHAnsi"/>
          <w:b/>
          <w:i/>
          <w:color w:val="000000"/>
          <w:sz w:val="22"/>
          <w:szCs w:val="22"/>
          <w:shd w:val="clear" w:color="auto" w:fill="FFFFFF"/>
        </w:rPr>
        <w:t xml:space="preserve"> da Constituição do Estado, ao estabelecer o diploma diretrizes e normas relativas ao desenvolvimento urbano e ao meio ambiente, não observando no processo legislativo a participação popular – INCONSTITUCIONALIDADE DECLARADA,</w:t>
      </w:r>
      <w:r w:rsidRPr="00940053">
        <w:rPr>
          <w:rFonts w:asciiTheme="minorHAnsi" w:hAnsiTheme="minorHAnsi" w:cstheme="minorHAnsi"/>
          <w:i/>
          <w:color w:val="000000"/>
          <w:sz w:val="22"/>
          <w:szCs w:val="22"/>
          <w:shd w:val="clear" w:color="auto" w:fill="FFFFFF"/>
        </w:rPr>
        <w:t xml:space="preserve"> com observação destinada a assegurar situações jurídicas consolidadas no patrimônio de terceiros, nos termos do tópico final do voto do relator. Preliminar afastada e </w:t>
      </w:r>
      <w:r w:rsidRPr="00FA1F72">
        <w:rPr>
          <w:rFonts w:asciiTheme="minorHAnsi" w:hAnsiTheme="minorHAnsi" w:cstheme="minorHAnsi"/>
          <w:i/>
          <w:color w:val="000000"/>
          <w:sz w:val="22"/>
          <w:szCs w:val="22"/>
          <w:shd w:val="clear" w:color="auto" w:fill="FFFFFF"/>
        </w:rPr>
        <w:t xml:space="preserve">ação julgada procedente. </w:t>
      </w:r>
      <w:r w:rsidRPr="00FA1F72">
        <w:rPr>
          <w:rFonts w:asciiTheme="minorHAnsi" w:hAnsiTheme="minorHAnsi" w:cstheme="minorHAnsi"/>
          <w:i/>
          <w:color w:val="000000"/>
          <w:sz w:val="20"/>
          <w:shd w:val="clear" w:color="auto" w:fill="FFFFFF"/>
        </w:rPr>
        <w:t>(TJSP;</w:t>
      </w:r>
      <w:r w:rsidRPr="00FA1F72">
        <w:rPr>
          <w:rFonts w:asciiTheme="minorHAnsi" w:hAnsiTheme="minorHAnsi" w:cstheme="minorHAnsi"/>
          <w:i/>
          <w:color w:val="000000"/>
          <w:sz w:val="20"/>
          <w:shd w:val="clear" w:color="auto" w:fill="FFFFFF"/>
        </w:rPr>
        <w:t xml:space="preserve">  </w:t>
      </w:r>
      <w:r w:rsidRPr="00FA1F72">
        <w:rPr>
          <w:rFonts w:asciiTheme="minorHAnsi" w:hAnsiTheme="minorHAnsi" w:cstheme="minorHAnsi"/>
          <w:i/>
          <w:color w:val="000000"/>
          <w:sz w:val="20"/>
          <w:shd w:val="clear" w:color="auto" w:fill="FFFFFF"/>
        </w:rPr>
        <w:t xml:space="preserve">Direta de Inconstitucionalidade 2060485-34.2020.8.26.0000; Relator (a): João Carlos </w:t>
      </w:r>
      <w:r w:rsidRPr="00FA1F72">
        <w:rPr>
          <w:rFonts w:asciiTheme="minorHAnsi" w:hAnsiTheme="minorHAnsi" w:cstheme="minorHAnsi"/>
          <w:i/>
          <w:color w:val="000000"/>
          <w:sz w:val="20"/>
          <w:shd w:val="clear" w:color="auto" w:fill="FFFFFF"/>
        </w:rPr>
        <w:t>Saletti</w:t>
      </w:r>
      <w:r w:rsidRPr="00FA1F72">
        <w:rPr>
          <w:rFonts w:asciiTheme="minorHAnsi" w:hAnsiTheme="minorHAnsi" w:cstheme="minorHAnsi"/>
          <w:i/>
          <w:color w:val="000000"/>
          <w:sz w:val="20"/>
          <w:shd w:val="clear" w:color="auto" w:fill="FFFFFF"/>
        </w:rPr>
        <w:t>; Órgão Julgador: Órgão Especial; Tribunal de Justiça de São Paulo - N/A; Data do Julgamento: 23/06/2021; Data de Registro: 28/06/2021)</w:t>
      </w:r>
    </w:p>
    <w:p w:rsidR="00B50ACD" w:rsidRPr="00B50ACD" w:rsidP="002D2750">
      <w:pPr>
        <w:pBdr>
          <w:bottom w:val="single" w:sz="12" w:space="1" w:color="auto"/>
        </w:pBdr>
        <w:spacing w:after="0" w:line="240" w:lineRule="auto"/>
        <w:ind w:left="2268"/>
        <w:jc w:val="both"/>
        <w:rPr>
          <w:rFonts w:asciiTheme="minorHAnsi" w:hAnsiTheme="minorHAnsi" w:cstheme="minorHAnsi"/>
          <w:b/>
          <w:i/>
          <w:color w:val="000000"/>
          <w:szCs w:val="24"/>
          <w:shd w:val="clear" w:color="auto" w:fill="FFFFFF"/>
        </w:rPr>
      </w:pPr>
      <w:r w:rsidRPr="00B50ACD">
        <w:rPr>
          <w:rFonts w:asciiTheme="minorHAnsi" w:hAnsiTheme="minorHAnsi" w:cstheme="minorHAnsi"/>
          <w:b/>
          <w:i/>
          <w:color w:val="000000"/>
          <w:szCs w:val="24"/>
          <w:shd w:val="clear" w:color="auto" w:fill="FFFFFF"/>
        </w:rPr>
        <w:t>___________________________</w:t>
      </w:r>
      <w:r>
        <w:rPr>
          <w:rFonts w:asciiTheme="minorHAnsi" w:hAnsiTheme="minorHAnsi" w:cstheme="minorHAnsi"/>
          <w:b/>
          <w:i/>
          <w:color w:val="000000"/>
          <w:szCs w:val="24"/>
          <w:shd w:val="clear" w:color="auto" w:fill="FFFFFF"/>
        </w:rPr>
        <w:t>_________________________</w:t>
      </w:r>
    </w:p>
    <w:p w:rsidR="00420A13" w:rsidRPr="00436A94" w:rsidP="00326E56">
      <w:pPr>
        <w:pBdr>
          <w:bottom w:val="single" w:sz="12" w:space="1" w:color="auto"/>
        </w:pBdr>
        <w:spacing w:line="240" w:lineRule="auto"/>
        <w:ind w:left="2268"/>
        <w:jc w:val="both"/>
        <w:rPr>
          <w:rFonts w:asciiTheme="minorHAnsi" w:hAnsiTheme="minorHAnsi" w:cstheme="minorHAnsi"/>
          <w:i/>
          <w:sz w:val="20"/>
          <w:shd w:val="clear" w:color="auto" w:fill="FFFFFF"/>
        </w:rPr>
      </w:pPr>
      <w:r w:rsidRPr="002249E9">
        <w:rPr>
          <w:rFonts w:asciiTheme="minorHAnsi" w:hAnsiTheme="minorHAnsi" w:cstheme="minorHAnsi"/>
          <w:i/>
          <w:sz w:val="22"/>
          <w:szCs w:val="22"/>
          <w:shd w:val="clear" w:color="auto" w:fill="FFFFFF"/>
        </w:rPr>
        <w:t xml:space="preserve">AÇÃO DIRETA DE INCONSTITUCIONALIDADE Lei Complementar Municipal nº 280, de 17.07.2020, de iniciativa parlamentar, </w:t>
      </w:r>
      <w:r w:rsidRPr="00436A94">
        <w:rPr>
          <w:rFonts w:asciiTheme="minorHAnsi" w:hAnsiTheme="minorHAnsi" w:cstheme="minorHAnsi"/>
          <w:b/>
          <w:i/>
          <w:sz w:val="22"/>
          <w:szCs w:val="22"/>
          <w:u w:val="single"/>
          <w:shd w:val="clear" w:color="auto" w:fill="FFFFFF"/>
        </w:rPr>
        <w:t>dispondo sobre o direito de permanência de edificações na faixa não edificável contígua às faixas de domínio público de rodovias e redução da extensão da faixa não edificável.</w:t>
      </w:r>
      <w:r w:rsidRPr="002249E9">
        <w:rPr>
          <w:rFonts w:asciiTheme="minorHAnsi" w:hAnsiTheme="minorHAnsi" w:cstheme="minorHAnsi"/>
          <w:i/>
          <w:sz w:val="22"/>
          <w:szCs w:val="22"/>
          <w:shd w:val="clear" w:color="auto" w:fill="FFFFFF"/>
        </w:rPr>
        <w:t xml:space="preserve"> </w:t>
      </w:r>
      <w:r w:rsidRPr="00940053">
        <w:rPr>
          <w:rFonts w:asciiTheme="minorHAnsi" w:hAnsiTheme="minorHAnsi" w:cstheme="minorHAnsi"/>
          <w:i/>
          <w:sz w:val="22"/>
          <w:szCs w:val="22"/>
          <w:shd w:val="clear" w:color="auto" w:fill="FFFFFF"/>
        </w:rPr>
        <w:t>Vício de iniciativa. Inocorrência. Iniciativa legislativa comum</w:t>
      </w:r>
      <w:r w:rsidRPr="002249E9">
        <w:rPr>
          <w:rFonts w:asciiTheme="minorHAnsi" w:hAnsiTheme="minorHAnsi" w:cstheme="minorHAnsi"/>
          <w:b/>
          <w:i/>
          <w:sz w:val="22"/>
          <w:szCs w:val="22"/>
          <w:shd w:val="clear" w:color="auto" w:fill="FFFFFF"/>
        </w:rPr>
        <w:t>.</w:t>
      </w:r>
      <w:r w:rsidRPr="002249E9">
        <w:rPr>
          <w:rFonts w:asciiTheme="minorHAnsi" w:hAnsiTheme="minorHAnsi" w:cstheme="minorHAnsi"/>
          <w:i/>
          <w:sz w:val="22"/>
          <w:szCs w:val="22"/>
          <w:shd w:val="clear" w:color="auto" w:fill="FFFFFF"/>
        </w:rPr>
        <w:t xml:space="preserve"> Recente orientação do </w:t>
      </w:r>
      <w:r w:rsidRPr="002249E9">
        <w:rPr>
          <w:rFonts w:asciiTheme="minorHAnsi" w:hAnsiTheme="minorHAnsi" w:cstheme="minorHAnsi"/>
          <w:i/>
          <w:sz w:val="22"/>
          <w:szCs w:val="22"/>
          <w:shd w:val="clear" w:color="auto" w:fill="FFFFFF"/>
        </w:rPr>
        <w:t>Eg</w:t>
      </w:r>
      <w:r w:rsidRPr="002249E9">
        <w:rPr>
          <w:rFonts w:asciiTheme="minorHAnsi" w:hAnsiTheme="minorHAnsi" w:cstheme="minorHAnsi"/>
          <w:i/>
          <w:sz w:val="22"/>
          <w:szCs w:val="22"/>
          <w:shd w:val="clear" w:color="auto" w:fill="FFFFFF"/>
        </w:rPr>
        <w:t xml:space="preserve">. Supremo Tribunal Federal. </w:t>
      </w:r>
      <w:r w:rsidRPr="00940053">
        <w:rPr>
          <w:rFonts w:asciiTheme="minorHAnsi" w:hAnsiTheme="minorHAnsi" w:cstheme="minorHAnsi"/>
          <w:b/>
          <w:i/>
          <w:sz w:val="22"/>
          <w:szCs w:val="22"/>
          <w:shd w:val="clear" w:color="auto" w:fill="FFFFFF"/>
        </w:rPr>
        <w:t xml:space="preserve">Falta de participação popular. Imprescindível </w:t>
      </w:r>
      <w:r w:rsidRPr="00940053">
        <w:rPr>
          <w:rFonts w:asciiTheme="minorHAnsi" w:hAnsiTheme="minorHAnsi" w:cstheme="minorHAnsi"/>
          <w:b/>
          <w:i/>
          <w:sz w:val="22"/>
          <w:szCs w:val="22"/>
          <w:shd w:val="clear" w:color="auto" w:fill="FFFFFF"/>
        </w:rPr>
        <w:t>a</w:t>
      </w:r>
      <w:r w:rsidRPr="00940053">
        <w:rPr>
          <w:rFonts w:asciiTheme="minorHAnsi" w:hAnsiTheme="minorHAnsi" w:cstheme="minorHAnsi"/>
          <w:b/>
          <w:i/>
          <w:sz w:val="22"/>
          <w:szCs w:val="22"/>
          <w:shd w:val="clear" w:color="auto" w:fill="FFFFFF"/>
        </w:rPr>
        <w:t xml:space="preserve"> efetiva participação da comunidade, por suas entidades representativas.</w:t>
      </w:r>
      <w:r w:rsidRPr="002249E9">
        <w:rPr>
          <w:rFonts w:asciiTheme="minorHAnsi" w:hAnsiTheme="minorHAnsi" w:cstheme="minorHAnsi"/>
          <w:i/>
          <w:sz w:val="22"/>
          <w:szCs w:val="22"/>
          <w:shd w:val="clear" w:color="auto" w:fill="FFFFFF"/>
        </w:rPr>
        <w:t xml:space="preserve"> </w:t>
      </w:r>
      <w:r w:rsidRPr="002249E9">
        <w:rPr>
          <w:rFonts w:asciiTheme="minorHAnsi" w:hAnsiTheme="minorHAnsi" w:cstheme="minorHAnsi"/>
          <w:b/>
          <w:i/>
          <w:sz w:val="22"/>
          <w:szCs w:val="22"/>
          <w:shd w:val="clear" w:color="auto" w:fill="FFFFFF"/>
        </w:rPr>
        <w:t>A Constituição Estadual prevê a necessidade de participação comunitária em matéria urbanística</w:t>
      </w:r>
      <w:r w:rsidRPr="002249E9">
        <w:rPr>
          <w:rFonts w:asciiTheme="minorHAnsi" w:hAnsiTheme="minorHAnsi" w:cstheme="minorHAnsi"/>
          <w:i/>
          <w:sz w:val="22"/>
          <w:szCs w:val="22"/>
          <w:shd w:val="clear" w:color="auto" w:fill="FFFFFF"/>
        </w:rPr>
        <w:t xml:space="preserve">. </w:t>
      </w:r>
      <w:r w:rsidRPr="00940053">
        <w:rPr>
          <w:rFonts w:asciiTheme="minorHAnsi" w:hAnsiTheme="minorHAnsi" w:cstheme="minorHAnsi"/>
          <w:b/>
          <w:i/>
          <w:sz w:val="22"/>
          <w:szCs w:val="22"/>
          <w:shd w:val="clear" w:color="auto" w:fill="FFFFFF"/>
        </w:rPr>
        <w:t>Precedentes deste C. Órgão Especial.</w:t>
      </w:r>
      <w:r w:rsidRPr="002249E9">
        <w:rPr>
          <w:rFonts w:asciiTheme="minorHAnsi" w:hAnsiTheme="minorHAnsi" w:cstheme="minorHAnsi"/>
          <w:i/>
          <w:sz w:val="22"/>
          <w:szCs w:val="22"/>
          <w:shd w:val="clear" w:color="auto" w:fill="FFFFFF"/>
        </w:rPr>
        <w:t xml:space="preserve"> Inconstitucional o ato normativo impugnado. Estudo prévio. Necessidade. Se no âmbito do Executivo esse planejamento ou prévios estudos se fazem necessários, de igual forma se justificam idênticas medidas para modificar a regra original. Precedentes. Procedente a ação.</w:t>
      </w:r>
      <w:r>
        <w:rPr>
          <w:rFonts w:asciiTheme="minorHAnsi" w:hAnsiTheme="minorHAnsi" w:cstheme="minorHAnsi"/>
          <w:i/>
          <w:sz w:val="22"/>
          <w:szCs w:val="22"/>
          <w:shd w:val="clear" w:color="auto" w:fill="FFFFFF"/>
        </w:rPr>
        <w:t xml:space="preserve"> </w:t>
      </w:r>
      <w:r w:rsidRPr="00436A94">
        <w:rPr>
          <w:rFonts w:asciiTheme="minorHAnsi" w:hAnsiTheme="minorHAnsi" w:cstheme="minorHAnsi"/>
          <w:i/>
          <w:sz w:val="20"/>
          <w:shd w:val="clear" w:color="auto" w:fill="FFFFFF"/>
        </w:rPr>
        <w:t>(TJSP;</w:t>
      </w:r>
      <w:r w:rsidRPr="00436A94">
        <w:rPr>
          <w:rFonts w:asciiTheme="minorHAnsi" w:hAnsiTheme="minorHAnsi" w:cstheme="minorHAnsi"/>
          <w:i/>
          <w:sz w:val="20"/>
          <w:shd w:val="clear" w:color="auto" w:fill="FFFFFF"/>
        </w:rPr>
        <w:t xml:space="preserve">  </w:t>
      </w:r>
      <w:r w:rsidRPr="00436A94">
        <w:rPr>
          <w:rFonts w:asciiTheme="minorHAnsi" w:hAnsiTheme="minorHAnsi" w:cstheme="minorHAnsi"/>
          <w:i/>
          <w:sz w:val="20"/>
          <w:shd w:val="clear" w:color="auto" w:fill="FFFFFF"/>
        </w:rPr>
        <w:t>Direta de Inconstitucionalidade 2188536-63.2020.8.26.0000; Relator (a): Evaristo dos Santos; Órgão Julgador: Órgão Especial; Tribunal de Justiça de São Paulo - N/A; Data do Julgamento: 03/03/2021; Data de Registro: 04/03/2021)</w:t>
      </w:r>
    </w:p>
    <w:p w:rsidR="00420A13" w:rsidRPr="00436A94" w:rsidP="00420A13">
      <w:pPr>
        <w:ind w:left="2268"/>
        <w:jc w:val="both"/>
        <w:rPr>
          <w:rFonts w:asciiTheme="minorHAnsi" w:hAnsiTheme="minorHAnsi" w:cstheme="minorHAnsi"/>
          <w:i/>
          <w:sz w:val="4"/>
          <w:szCs w:val="4"/>
          <w:shd w:val="clear" w:color="auto" w:fill="FFFFFF"/>
        </w:rPr>
      </w:pPr>
    </w:p>
    <w:p w:rsidR="00691B91" w:rsidRPr="00691B91" w:rsidP="00326E56">
      <w:pPr>
        <w:spacing w:after="0" w:line="240" w:lineRule="auto"/>
        <w:ind w:left="2268"/>
        <w:jc w:val="both"/>
        <w:rPr>
          <w:rFonts w:asciiTheme="minorHAnsi" w:hAnsiTheme="minorHAnsi" w:cstheme="minorHAnsi"/>
          <w:b/>
          <w:i/>
          <w:szCs w:val="24"/>
          <w:shd w:val="clear" w:color="auto" w:fill="FFFFFF"/>
        </w:rPr>
      </w:pPr>
      <w:r w:rsidRPr="002249E9">
        <w:rPr>
          <w:rFonts w:asciiTheme="minorHAnsi" w:hAnsiTheme="minorHAnsi" w:cstheme="minorHAnsi"/>
          <w:i/>
          <w:sz w:val="22"/>
          <w:szCs w:val="22"/>
          <w:shd w:val="clear" w:color="auto" w:fill="FFFFFF"/>
        </w:rPr>
        <w:t xml:space="preserve">"AÇÃO DIRETA DE INCONSTITUCIONALIDADE – Lei nº 5.122, de 9-1-2016, do Município de Mauá, que </w:t>
      </w:r>
      <w:r w:rsidRPr="002249E9">
        <w:rPr>
          <w:rFonts w:asciiTheme="minorHAnsi" w:hAnsiTheme="minorHAnsi" w:cstheme="minorHAnsi"/>
          <w:b/>
          <w:i/>
          <w:sz w:val="22"/>
          <w:szCs w:val="22"/>
          <w:shd w:val="clear" w:color="auto" w:fill="FFFFFF"/>
        </w:rPr>
        <w:t>fixa prazo de sessenta dias para a emissão de alvará de construção, alvará de conservação e habite-se de obras particulares, sob pena de autorização tácita e emissão de alvará definitivo em trinta dias</w:t>
      </w:r>
      <w:r w:rsidRPr="002249E9">
        <w:rPr>
          <w:rFonts w:asciiTheme="minorHAnsi" w:hAnsiTheme="minorHAnsi" w:cstheme="minorHAnsi"/>
          <w:i/>
          <w:sz w:val="22"/>
          <w:szCs w:val="22"/>
          <w:shd w:val="clear" w:color="auto" w:fill="FFFFFF"/>
        </w:rPr>
        <w:t xml:space="preserve"> – Poder de polícia administrativa e desenvolvimento urbano. </w:t>
      </w:r>
      <w:r w:rsidRPr="002249E9">
        <w:rPr>
          <w:rFonts w:asciiTheme="minorHAnsi" w:hAnsiTheme="minorHAnsi" w:cstheme="minorHAnsi"/>
          <w:i/>
          <w:sz w:val="22"/>
          <w:szCs w:val="22"/>
          <w:shd w:val="clear" w:color="auto" w:fill="FFFFFF"/>
        </w:rPr>
        <w:t>1</w:t>
      </w:r>
      <w:r w:rsidRPr="002249E9">
        <w:rPr>
          <w:rFonts w:asciiTheme="minorHAnsi" w:hAnsiTheme="minorHAnsi" w:cstheme="minorHAnsi"/>
          <w:i/>
          <w:sz w:val="22"/>
          <w:szCs w:val="22"/>
          <w:shd w:val="clear" w:color="auto" w:fill="FFFFFF"/>
        </w:rPr>
        <w:t xml:space="preserve">. Violação ao princípio da separação entre os Poderes: vício de iniciativa e reserva da Administração. Inocorrência. Poder de polícia e desenvolvimento urbano. Inaplicabilidade do Tema 917 de Repercussão Geral do STF. Norma não trata de estrutura ou de atribuição de órgão nem de regime jurídico de servidores públicos. </w:t>
      </w:r>
      <w:r w:rsidRPr="00436A94">
        <w:rPr>
          <w:rFonts w:asciiTheme="minorHAnsi" w:hAnsiTheme="minorHAnsi" w:cstheme="minorHAnsi"/>
          <w:i/>
          <w:sz w:val="22"/>
          <w:szCs w:val="22"/>
          <w:shd w:val="clear" w:color="auto" w:fill="FFFFFF"/>
        </w:rPr>
        <w:t>Competência legislativa concorrente.</w:t>
      </w:r>
      <w:r w:rsidRPr="002249E9">
        <w:rPr>
          <w:rFonts w:asciiTheme="minorHAnsi" w:hAnsiTheme="minorHAnsi" w:cstheme="minorHAnsi"/>
          <w:i/>
          <w:sz w:val="22"/>
          <w:szCs w:val="22"/>
          <w:shd w:val="clear" w:color="auto" w:fill="FFFFFF"/>
        </w:rPr>
        <w:t xml:space="preserve"> Matéria que não está inserida na reserva da Administração. 2. Princípio da causa de pedir aberta. Não vinculação aos fundamentos constantes da petição inicial. </w:t>
      </w:r>
      <w:r w:rsidRPr="00436A94">
        <w:rPr>
          <w:rFonts w:asciiTheme="minorHAnsi" w:hAnsiTheme="minorHAnsi" w:cstheme="minorHAnsi"/>
          <w:b/>
          <w:i/>
          <w:sz w:val="22"/>
          <w:szCs w:val="22"/>
          <w:u w:val="single"/>
          <w:shd w:val="clear" w:color="auto" w:fill="FFFFFF"/>
        </w:rPr>
        <w:t>2.1. Parcelamento, uso e ocupação do solo urbano. Inexistência de participação de entidades comunitárias no processo legislativo e de estudos prévios. Incompatibilidade com os arts. 180, II e 191, da CE/89, e arts. 24, I, 29, XII, 30, VIII e 182 da CF/88. Ocorrência.</w:t>
      </w:r>
      <w:r w:rsidRPr="002249E9">
        <w:rPr>
          <w:rFonts w:asciiTheme="minorHAnsi" w:hAnsiTheme="minorHAnsi" w:cstheme="minorHAnsi"/>
          <w:i/>
          <w:sz w:val="22"/>
          <w:szCs w:val="22"/>
          <w:shd w:val="clear" w:color="auto" w:fill="FFFFFF"/>
        </w:rPr>
        <w:t xml:space="preserve"> 2.2. Expedição de alvará de construção, de conservação e de habite-se. Decurso do prazo estabelecido para a prática de ato administrativo. Silêncio da administração. Aprovação tácita. Lei que, em última análise, dispensa o estudo prévio de impacto ambiental e isenta o proprietário do imóvel de aplicação de multas e embargos em decorrência de condutas e atividades lesivas ao meio ambiente. Ofensa ao princípio da razoabilidade e ao direito fundamental à proteção ao meio ambiente. Incompatibilidade com os arts. 225 da CF/88 e 192 e 195 da CE/89. Ocorrência. 3. </w:t>
      </w:r>
      <w:r w:rsidRPr="002249E9">
        <w:rPr>
          <w:rFonts w:asciiTheme="minorHAnsi" w:hAnsiTheme="minorHAnsi" w:cstheme="minorHAnsi"/>
          <w:b/>
          <w:i/>
          <w:sz w:val="22"/>
          <w:szCs w:val="22"/>
          <w:shd w:val="clear" w:color="auto" w:fill="FFFFFF"/>
        </w:rPr>
        <w:t>Ação procedente." </w:t>
      </w:r>
      <w:r w:rsidRPr="004613AF">
        <w:rPr>
          <w:rFonts w:asciiTheme="minorHAnsi" w:hAnsiTheme="minorHAnsi" w:cstheme="minorHAnsi"/>
          <w:i/>
          <w:sz w:val="20"/>
          <w:shd w:val="clear" w:color="auto" w:fill="FFFFFF"/>
        </w:rPr>
        <w:t>(TJSP;  Direta de Inconstitucionalidade 2299687-34.2020.8.26.0000; Relator (a): Carlos Bueno; Órgão Julgador: Órgão Especial; Tribunal de Justiça de São Paulo - N/A; Data do Julgamento: 28/07/2021; Data de Registro: 30/07/2021)</w:t>
      </w:r>
      <w:r w:rsidR="005D43F3">
        <w:rPr>
          <w:rFonts w:asciiTheme="minorHAnsi" w:hAnsiTheme="minorHAnsi" w:cstheme="minorHAnsi"/>
          <w:i/>
          <w:sz w:val="20"/>
          <w:shd w:val="clear" w:color="auto" w:fill="FFFFFF"/>
        </w:rPr>
        <w:t xml:space="preserve"> </w:t>
      </w:r>
      <w:r w:rsidRPr="00691B91">
        <w:rPr>
          <w:rFonts w:asciiTheme="minorHAnsi" w:hAnsiTheme="minorHAnsi" w:cstheme="minorHAnsi"/>
          <w:b/>
          <w:i/>
          <w:szCs w:val="24"/>
          <w:shd w:val="clear" w:color="auto" w:fill="FFFFFF"/>
        </w:rPr>
        <w:t xml:space="preserve">Grifo nosso. </w:t>
      </w:r>
    </w:p>
    <w:p w:rsidR="005D43F3" w:rsidRPr="005D43F3" w:rsidP="00420A13">
      <w:pPr>
        <w:pStyle w:val="NormalWeb"/>
        <w:spacing w:before="120" w:beforeAutospacing="0" w:after="120" w:afterAutospacing="0" w:line="360" w:lineRule="auto"/>
        <w:ind w:firstLine="1701"/>
        <w:jc w:val="both"/>
        <w:rPr>
          <w:rFonts w:asciiTheme="minorHAnsi" w:hAnsiTheme="minorHAnsi" w:cstheme="minorHAnsi"/>
          <w:sz w:val="12"/>
          <w:szCs w:val="12"/>
        </w:rPr>
      </w:pPr>
    </w:p>
    <w:p w:rsidR="00420A13" w:rsidRPr="002249E9" w:rsidP="00420A13">
      <w:pPr>
        <w:pStyle w:val="NormalWeb"/>
        <w:spacing w:before="120" w:beforeAutospacing="0" w:after="120" w:afterAutospacing="0" w:line="360" w:lineRule="auto"/>
        <w:ind w:firstLine="1701"/>
        <w:jc w:val="both"/>
        <w:rPr>
          <w:rFonts w:asciiTheme="minorHAnsi" w:hAnsiTheme="minorHAnsi" w:cstheme="minorHAnsi"/>
        </w:rPr>
      </w:pPr>
      <w:r w:rsidRPr="002249E9">
        <w:rPr>
          <w:rFonts w:asciiTheme="minorHAnsi" w:hAnsiTheme="minorHAnsi" w:cstheme="minorHAnsi"/>
        </w:rPr>
        <w:t xml:space="preserve">Destarte, consoante entendimento da E. Corte Paulista </w:t>
      </w:r>
      <w:r>
        <w:rPr>
          <w:rFonts w:asciiTheme="minorHAnsi" w:hAnsiTheme="minorHAnsi" w:cstheme="minorHAnsi"/>
        </w:rPr>
        <w:t xml:space="preserve">é imprescindível </w:t>
      </w:r>
      <w:r w:rsidRPr="002249E9">
        <w:rPr>
          <w:rFonts w:asciiTheme="minorHAnsi" w:hAnsiTheme="minorHAnsi" w:cstheme="minorHAnsi"/>
        </w:rPr>
        <w:t>participação p</w:t>
      </w:r>
      <w:r w:rsidR="00CB1C28">
        <w:rPr>
          <w:rFonts w:asciiTheme="minorHAnsi" w:hAnsiTheme="minorHAnsi" w:cstheme="minorHAnsi"/>
        </w:rPr>
        <w:t xml:space="preserve">opular e comunitária, bem como </w:t>
      </w:r>
      <w:r w:rsidRPr="002249E9">
        <w:rPr>
          <w:rFonts w:asciiTheme="minorHAnsi" w:hAnsiTheme="minorHAnsi" w:cstheme="minorHAnsi"/>
        </w:rPr>
        <w:t>a</w:t>
      </w:r>
      <w:r w:rsidR="00CB1C28">
        <w:rPr>
          <w:rFonts w:asciiTheme="minorHAnsi" w:hAnsiTheme="minorHAnsi" w:cstheme="minorHAnsi"/>
        </w:rPr>
        <w:t xml:space="preserve"> realização de estudos técnicos</w:t>
      </w:r>
      <w:r w:rsidRPr="002249E9">
        <w:rPr>
          <w:rFonts w:asciiTheme="minorHAnsi" w:hAnsiTheme="minorHAnsi" w:cstheme="minorHAnsi"/>
        </w:rPr>
        <w:t xml:space="preserve"> durante o processo legiferante em matérias urbanísticas.</w:t>
      </w:r>
    </w:p>
    <w:p w:rsidR="00646924" w:rsidRPr="00436A94" w:rsidP="00436A94">
      <w:pPr>
        <w:pStyle w:val="Default"/>
        <w:spacing w:after="240" w:line="360" w:lineRule="auto"/>
        <w:ind w:firstLine="1701"/>
        <w:jc w:val="both"/>
        <w:rPr>
          <w:rFonts w:asciiTheme="minorHAnsi" w:hAnsiTheme="minorHAnsi" w:cstheme="minorHAnsi"/>
          <w:color w:val="auto"/>
        </w:rPr>
      </w:pPr>
      <w:r w:rsidRPr="00436A94">
        <w:rPr>
          <w:rFonts w:asciiTheme="minorHAnsi" w:hAnsiTheme="minorHAnsi" w:cstheme="minorHAnsi"/>
          <w:color w:val="auto"/>
        </w:rPr>
        <w:t>Por seu turno</w:t>
      </w:r>
      <w:r w:rsidRPr="00436A94" w:rsidR="00301BFA">
        <w:rPr>
          <w:rFonts w:asciiTheme="minorHAnsi" w:hAnsiTheme="minorHAnsi" w:cstheme="minorHAnsi"/>
          <w:color w:val="auto"/>
        </w:rPr>
        <w:t xml:space="preserve"> o parágrafo único do art. 4º do projeto tenciona obter autorização legislativa para abertura de crédito adicional especial.</w:t>
      </w:r>
    </w:p>
    <w:p w:rsidR="00646924" w:rsidRPr="00436A94" w:rsidP="00646924">
      <w:pPr>
        <w:pStyle w:val="Default"/>
        <w:spacing w:after="240" w:line="360" w:lineRule="auto"/>
        <w:ind w:firstLine="1701"/>
        <w:jc w:val="both"/>
        <w:rPr>
          <w:rFonts w:asciiTheme="minorHAnsi" w:hAnsiTheme="minorHAnsi" w:cstheme="minorHAnsi"/>
          <w:color w:val="auto"/>
        </w:rPr>
      </w:pPr>
      <w:r w:rsidRPr="00436A94">
        <w:rPr>
          <w:rFonts w:asciiTheme="minorHAnsi" w:hAnsiTheme="minorHAnsi" w:cstheme="minorHAnsi"/>
          <w:color w:val="auto"/>
          <w:lang w:val="pt-PT"/>
        </w:rPr>
        <w:t xml:space="preserve">Neste aspecto, a </w:t>
      </w:r>
      <w:r w:rsidRPr="00436A94">
        <w:rPr>
          <w:rFonts w:asciiTheme="minorHAnsi" w:hAnsiTheme="minorHAnsi" w:cstheme="minorHAnsi"/>
          <w:b/>
          <w:color w:val="auto"/>
          <w:u w:val="single"/>
          <w:lang w:val="pt-PT"/>
        </w:rPr>
        <w:t>iniciativa legislativa é exclusiva do Chefe do Poder Executivo Municipal</w:t>
      </w:r>
      <w:r w:rsidRPr="00436A94">
        <w:rPr>
          <w:rFonts w:asciiTheme="minorHAnsi" w:hAnsiTheme="minorHAnsi" w:cstheme="minorHAnsi"/>
          <w:b/>
          <w:color w:val="auto"/>
          <w:lang w:val="pt-PT"/>
        </w:rPr>
        <w:t>,</w:t>
      </w:r>
      <w:r w:rsidRPr="00436A94">
        <w:rPr>
          <w:rFonts w:asciiTheme="minorHAnsi" w:hAnsiTheme="minorHAnsi" w:cstheme="minorHAnsi"/>
          <w:color w:val="auto"/>
          <w:lang w:val="pt-PT"/>
        </w:rPr>
        <w:t xml:space="preserve"> uma vez que tal operação implica na alteração da peça orçamentária referente ao exercício financeiro em curso, conforme art. 48, inciso IV, da Lei Orgânica Municipal:</w:t>
      </w:r>
    </w:p>
    <w:p w:rsidR="00646924" w:rsidRPr="00436A94" w:rsidP="00646924">
      <w:pPr>
        <w:spacing w:after="0" w:line="240" w:lineRule="auto"/>
        <w:ind w:left="2268"/>
        <w:jc w:val="both"/>
        <w:rPr>
          <w:rFonts w:asciiTheme="minorHAnsi" w:hAnsiTheme="minorHAnsi" w:cstheme="minorHAnsi"/>
          <w:i/>
          <w:sz w:val="22"/>
          <w:szCs w:val="22"/>
        </w:rPr>
      </w:pPr>
      <w:r w:rsidRPr="00436A94">
        <w:rPr>
          <w:rFonts w:asciiTheme="minorHAnsi" w:hAnsiTheme="minorHAnsi" w:cstheme="minorHAnsi"/>
          <w:i/>
          <w:sz w:val="22"/>
          <w:szCs w:val="22"/>
        </w:rPr>
        <w:t xml:space="preserve">Artigo 48 - </w:t>
      </w:r>
      <w:r w:rsidRPr="00436A94">
        <w:rPr>
          <w:rFonts w:asciiTheme="minorHAnsi" w:hAnsiTheme="minorHAnsi" w:cstheme="minorHAnsi"/>
          <w:b/>
          <w:i/>
          <w:sz w:val="22"/>
          <w:szCs w:val="22"/>
        </w:rPr>
        <w:t>Compete, exclusivamente, ao Prefeito</w:t>
      </w:r>
      <w:r w:rsidRPr="00436A94">
        <w:rPr>
          <w:rFonts w:asciiTheme="minorHAnsi" w:hAnsiTheme="minorHAnsi" w:cstheme="minorHAnsi"/>
          <w:i/>
          <w:sz w:val="22"/>
          <w:szCs w:val="22"/>
        </w:rPr>
        <w:t xml:space="preserve"> a </w:t>
      </w:r>
      <w:r w:rsidRPr="00436A94">
        <w:rPr>
          <w:rFonts w:asciiTheme="minorHAnsi" w:hAnsiTheme="minorHAnsi" w:cstheme="minorHAnsi"/>
          <w:b/>
          <w:i/>
          <w:sz w:val="22"/>
          <w:szCs w:val="22"/>
        </w:rPr>
        <w:t>iniciativa dos projetos de lei</w:t>
      </w:r>
      <w:r w:rsidRPr="00436A94">
        <w:rPr>
          <w:rFonts w:asciiTheme="minorHAnsi" w:hAnsiTheme="minorHAnsi" w:cstheme="minorHAnsi"/>
          <w:i/>
          <w:sz w:val="22"/>
          <w:szCs w:val="22"/>
        </w:rPr>
        <w:t xml:space="preserve"> que disponham sobre:</w:t>
      </w:r>
    </w:p>
    <w:p w:rsidR="00646924" w:rsidRPr="00436A94" w:rsidP="00646924">
      <w:pPr>
        <w:spacing w:after="0" w:line="240" w:lineRule="auto"/>
        <w:ind w:left="2268"/>
        <w:jc w:val="both"/>
        <w:rPr>
          <w:rFonts w:asciiTheme="minorHAnsi" w:hAnsiTheme="minorHAnsi" w:cstheme="minorHAnsi"/>
          <w:i/>
          <w:sz w:val="22"/>
          <w:szCs w:val="22"/>
        </w:rPr>
      </w:pPr>
      <w:r w:rsidRPr="00436A94">
        <w:rPr>
          <w:rFonts w:asciiTheme="minorHAnsi" w:hAnsiTheme="minorHAnsi" w:cstheme="minorHAnsi"/>
          <w:i/>
          <w:sz w:val="22"/>
          <w:szCs w:val="22"/>
        </w:rPr>
        <w:t>[...]</w:t>
      </w:r>
    </w:p>
    <w:p w:rsidR="00646924" w:rsidRPr="00436A94" w:rsidP="00646924">
      <w:pPr>
        <w:spacing w:after="0" w:line="240" w:lineRule="auto"/>
        <w:ind w:left="2268"/>
        <w:jc w:val="both"/>
        <w:rPr>
          <w:rFonts w:asciiTheme="minorHAnsi" w:hAnsiTheme="minorHAnsi" w:cstheme="minorHAnsi"/>
          <w:i/>
          <w:sz w:val="22"/>
          <w:szCs w:val="22"/>
        </w:rPr>
      </w:pPr>
      <w:r w:rsidRPr="00436A94">
        <w:rPr>
          <w:rFonts w:asciiTheme="minorHAnsi" w:hAnsiTheme="minorHAnsi" w:cstheme="minorHAnsi"/>
          <w:i/>
          <w:sz w:val="22"/>
          <w:szCs w:val="22"/>
        </w:rPr>
        <w:t xml:space="preserve">IV </w:t>
      </w:r>
      <w:r w:rsidRPr="00436A94">
        <w:rPr>
          <w:rFonts w:asciiTheme="minorHAnsi" w:hAnsiTheme="minorHAnsi" w:cstheme="minorHAnsi"/>
          <w:b/>
          <w:i/>
          <w:sz w:val="22"/>
          <w:szCs w:val="22"/>
        </w:rPr>
        <w:t>- abertura de créditos adicionais</w:t>
      </w:r>
      <w:r w:rsidRPr="00436A94">
        <w:rPr>
          <w:rFonts w:asciiTheme="minorHAnsi" w:hAnsiTheme="minorHAnsi" w:cstheme="minorHAnsi"/>
          <w:i/>
          <w:sz w:val="22"/>
          <w:szCs w:val="22"/>
        </w:rPr>
        <w:t>. (Grifo nosso).</w:t>
      </w:r>
    </w:p>
    <w:p w:rsidR="00646924" w:rsidRPr="00436A94" w:rsidP="00301BFA">
      <w:pPr>
        <w:pStyle w:val="Default"/>
        <w:spacing w:after="240" w:line="360" w:lineRule="auto"/>
        <w:jc w:val="both"/>
        <w:rPr>
          <w:rFonts w:asciiTheme="minorHAnsi" w:hAnsiTheme="minorHAnsi" w:cstheme="minorHAnsi"/>
          <w:color w:val="auto"/>
          <w:sz w:val="4"/>
          <w:szCs w:val="4"/>
        </w:rPr>
      </w:pPr>
    </w:p>
    <w:p w:rsidR="00301BFA" w:rsidRPr="00436A94" w:rsidP="00436A94">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 xml:space="preserve"> </w:t>
      </w:r>
      <w:r w:rsidRPr="00436A94">
        <w:rPr>
          <w:rFonts w:asciiTheme="minorHAnsi" w:hAnsiTheme="minorHAnsi" w:cstheme="minorHAnsi"/>
          <w:color w:val="auto"/>
        </w:rPr>
        <w:t xml:space="preserve">No que tange à abertura de créditos adicionais a Constituição Federal, no artigo 167, inciso V e a Constituição do Estado de São Paulo, no artigo 176, inciso V </w:t>
      </w:r>
      <w:r w:rsidRPr="00436A94">
        <w:rPr>
          <w:rFonts w:asciiTheme="minorHAnsi" w:hAnsiTheme="minorHAnsi" w:cstheme="minorHAnsi"/>
          <w:b/>
          <w:color w:val="auto"/>
          <w:u w:val="single"/>
        </w:rPr>
        <w:t>vedam a abertura de crédito suplementar ou especial sem prévia autorização legislativa e sem indicação dos recursos correspondentes</w:t>
      </w:r>
      <w:r w:rsidRPr="00436A94">
        <w:rPr>
          <w:rFonts w:asciiTheme="minorHAnsi" w:hAnsiTheme="minorHAnsi" w:cstheme="minorHAnsi"/>
          <w:color w:val="auto"/>
        </w:rPr>
        <w:t>.</w:t>
      </w:r>
    </w:p>
    <w:p w:rsidR="00301BFA" w:rsidRPr="00436A94" w:rsidP="00646924">
      <w:pPr>
        <w:pStyle w:val="Default"/>
        <w:ind w:left="2268"/>
        <w:jc w:val="both"/>
        <w:rPr>
          <w:rFonts w:eastAsia="Times New Roman" w:asciiTheme="minorHAnsi" w:hAnsiTheme="minorHAnsi" w:cstheme="minorHAnsi"/>
          <w:b/>
          <w:i/>
          <w:color w:val="auto"/>
          <w:sz w:val="22"/>
          <w:szCs w:val="22"/>
          <w:u w:val="single"/>
        </w:rPr>
      </w:pPr>
      <w:r w:rsidRPr="00436A94">
        <w:rPr>
          <w:rFonts w:eastAsia="Times New Roman" w:asciiTheme="minorHAnsi" w:hAnsiTheme="minorHAnsi" w:cstheme="minorHAnsi"/>
          <w:b/>
          <w:i/>
          <w:color w:val="auto"/>
          <w:sz w:val="22"/>
          <w:szCs w:val="22"/>
          <w:u w:val="single"/>
        </w:rPr>
        <w:t>Constituição Federal</w:t>
      </w:r>
    </w:p>
    <w:p w:rsidR="00301BFA" w:rsidRPr="00436A94" w:rsidP="00646924">
      <w:pPr>
        <w:pStyle w:val="Default"/>
        <w:ind w:left="2268"/>
        <w:jc w:val="both"/>
        <w:rPr>
          <w:rFonts w:eastAsia="Times New Roman" w:asciiTheme="minorHAnsi" w:hAnsiTheme="minorHAnsi" w:cstheme="minorHAnsi"/>
          <w:i/>
          <w:color w:val="auto"/>
          <w:sz w:val="22"/>
          <w:szCs w:val="22"/>
        </w:rPr>
      </w:pPr>
      <w:r w:rsidRPr="00436A94">
        <w:rPr>
          <w:rFonts w:eastAsia="Times New Roman" w:asciiTheme="minorHAnsi" w:hAnsiTheme="minorHAnsi" w:cstheme="minorHAnsi"/>
          <w:i/>
          <w:color w:val="auto"/>
          <w:sz w:val="22"/>
          <w:szCs w:val="22"/>
        </w:rPr>
        <w:t>167. São vedados:</w:t>
      </w:r>
    </w:p>
    <w:p w:rsidR="00301BFA" w:rsidRPr="00436A94" w:rsidP="00646924">
      <w:pPr>
        <w:pStyle w:val="Default"/>
        <w:ind w:left="2268"/>
        <w:jc w:val="both"/>
        <w:rPr>
          <w:rFonts w:eastAsia="Times New Roman" w:asciiTheme="minorHAnsi" w:hAnsiTheme="minorHAnsi" w:cstheme="minorHAnsi"/>
          <w:i/>
          <w:color w:val="auto"/>
          <w:sz w:val="22"/>
          <w:szCs w:val="22"/>
        </w:rPr>
      </w:pPr>
      <w:r w:rsidRPr="00436A94">
        <w:rPr>
          <w:rFonts w:eastAsia="Times New Roman" w:asciiTheme="minorHAnsi" w:hAnsiTheme="minorHAnsi" w:cstheme="minorHAnsi"/>
          <w:i/>
          <w:color w:val="auto"/>
          <w:sz w:val="22"/>
          <w:szCs w:val="22"/>
        </w:rPr>
        <w:t>[</w:t>
      </w:r>
      <w:r w:rsidRPr="00436A94">
        <w:rPr>
          <w:rFonts w:eastAsia="Times New Roman" w:asciiTheme="minorHAnsi" w:hAnsiTheme="minorHAnsi" w:cstheme="minorHAnsi"/>
          <w:i/>
          <w:color w:val="auto"/>
          <w:sz w:val="22"/>
          <w:szCs w:val="22"/>
        </w:rPr>
        <w:t>..</w:t>
      </w:r>
      <w:r w:rsidRPr="00436A94">
        <w:rPr>
          <w:rFonts w:eastAsia="Times New Roman" w:asciiTheme="minorHAnsi" w:hAnsiTheme="minorHAnsi" w:cstheme="minorHAnsi"/>
          <w:i/>
          <w:color w:val="auto"/>
          <w:sz w:val="22"/>
          <w:szCs w:val="22"/>
        </w:rPr>
        <w:t>]</w:t>
      </w:r>
    </w:p>
    <w:p w:rsidR="00301BFA" w:rsidRPr="00436A94" w:rsidP="00646924">
      <w:pPr>
        <w:pStyle w:val="Default"/>
        <w:ind w:left="2268"/>
        <w:jc w:val="both"/>
        <w:rPr>
          <w:rFonts w:eastAsia="Times New Roman" w:asciiTheme="minorHAnsi" w:hAnsiTheme="minorHAnsi" w:cstheme="minorHAnsi"/>
          <w:b/>
          <w:i/>
          <w:color w:val="auto"/>
          <w:sz w:val="22"/>
          <w:szCs w:val="22"/>
        </w:rPr>
      </w:pPr>
      <w:r w:rsidRPr="00436A94">
        <w:rPr>
          <w:rFonts w:eastAsia="Times New Roman" w:asciiTheme="minorHAnsi" w:hAnsiTheme="minorHAnsi" w:cstheme="minorHAnsi"/>
          <w:i/>
          <w:color w:val="auto"/>
          <w:sz w:val="22"/>
          <w:szCs w:val="22"/>
        </w:rPr>
        <w:t xml:space="preserve">V - a abertura de crédito suplementar ou especial sem prévia autorização legislativa e </w:t>
      </w:r>
      <w:r w:rsidRPr="00436A94">
        <w:rPr>
          <w:rFonts w:eastAsia="Times New Roman" w:asciiTheme="minorHAnsi" w:hAnsiTheme="minorHAnsi" w:cstheme="minorHAnsi"/>
          <w:b/>
          <w:i/>
          <w:color w:val="auto"/>
          <w:sz w:val="22"/>
          <w:szCs w:val="22"/>
        </w:rPr>
        <w:t>sem indicação dos recursos correspondentes;</w:t>
      </w:r>
    </w:p>
    <w:p w:rsidR="00301BFA" w:rsidRPr="00436A94" w:rsidP="00646924">
      <w:pPr>
        <w:pStyle w:val="Default"/>
        <w:ind w:left="2268"/>
        <w:jc w:val="both"/>
        <w:rPr>
          <w:rFonts w:eastAsia="Times New Roman" w:asciiTheme="minorHAnsi" w:hAnsiTheme="minorHAnsi" w:cstheme="minorHAnsi"/>
          <w:i/>
          <w:color w:val="auto"/>
          <w:sz w:val="22"/>
          <w:szCs w:val="22"/>
        </w:rPr>
      </w:pPr>
      <w:r w:rsidRPr="00436A94">
        <w:rPr>
          <w:rFonts w:eastAsia="Times New Roman" w:asciiTheme="minorHAnsi" w:hAnsiTheme="minorHAnsi" w:cstheme="minorHAnsi"/>
          <w:i/>
          <w:color w:val="auto"/>
          <w:sz w:val="22"/>
          <w:szCs w:val="22"/>
        </w:rPr>
        <w:t>[...]</w:t>
      </w:r>
    </w:p>
    <w:p w:rsidR="00301BFA" w:rsidRPr="00436A94" w:rsidP="00646924">
      <w:pPr>
        <w:pStyle w:val="Default"/>
        <w:ind w:left="2268"/>
        <w:jc w:val="both"/>
        <w:rPr>
          <w:rFonts w:eastAsia="Times New Roman" w:asciiTheme="minorHAnsi" w:hAnsiTheme="minorHAnsi" w:cstheme="minorHAnsi"/>
          <w:i/>
          <w:color w:val="auto"/>
          <w:sz w:val="4"/>
          <w:szCs w:val="4"/>
        </w:rPr>
      </w:pPr>
    </w:p>
    <w:p w:rsidR="00301BFA" w:rsidRPr="00436A94" w:rsidP="00646924">
      <w:pPr>
        <w:pStyle w:val="Default"/>
        <w:ind w:left="2268"/>
        <w:jc w:val="both"/>
        <w:rPr>
          <w:rFonts w:eastAsia="Times New Roman" w:asciiTheme="minorHAnsi" w:hAnsiTheme="minorHAnsi" w:cstheme="minorHAnsi"/>
          <w:b/>
          <w:i/>
          <w:color w:val="auto"/>
          <w:sz w:val="22"/>
          <w:szCs w:val="22"/>
          <w:u w:val="single"/>
        </w:rPr>
      </w:pPr>
      <w:r w:rsidRPr="00436A94">
        <w:rPr>
          <w:rFonts w:eastAsia="Times New Roman" w:asciiTheme="minorHAnsi" w:hAnsiTheme="minorHAnsi" w:cstheme="minorHAnsi"/>
          <w:b/>
          <w:i/>
          <w:color w:val="auto"/>
          <w:sz w:val="22"/>
          <w:szCs w:val="22"/>
          <w:u w:val="single"/>
        </w:rPr>
        <w:t>Constituição do Estado de São Paulo</w:t>
      </w:r>
    </w:p>
    <w:p w:rsidR="00301BFA" w:rsidRPr="00436A94" w:rsidP="00646924">
      <w:pPr>
        <w:pStyle w:val="Default"/>
        <w:ind w:left="2268"/>
        <w:jc w:val="both"/>
        <w:rPr>
          <w:rFonts w:eastAsia="Times New Roman" w:asciiTheme="minorHAnsi" w:hAnsiTheme="minorHAnsi" w:cstheme="minorHAnsi"/>
          <w:i/>
          <w:color w:val="auto"/>
          <w:sz w:val="22"/>
          <w:szCs w:val="22"/>
        </w:rPr>
      </w:pPr>
      <w:r w:rsidRPr="00436A94">
        <w:rPr>
          <w:rFonts w:eastAsia="Times New Roman" w:asciiTheme="minorHAnsi" w:hAnsiTheme="minorHAnsi" w:cstheme="minorHAnsi"/>
          <w:i/>
          <w:color w:val="auto"/>
          <w:sz w:val="22"/>
          <w:szCs w:val="22"/>
        </w:rPr>
        <w:t>Artigo 176 - São vedados:</w:t>
      </w:r>
    </w:p>
    <w:p w:rsidR="00301BFA" w:rsidRPr="00436A94" w:rsidP="00646924">
      <w:pPr>
        <w:pStyle w:val="Default"/>
        <w:ind w:left="2268"/>
        <w:jc w:val="both"/>
        <w:rPr>
          <w:rFonts w:eastAsia="Times New Roman" w:asciiTheme="minorHAnsi" w:hAnsiTheme="minorHAnsi" w:cstheme="minorHAnsi"/>
          <w:i/>
          <w:color w:val="auto"/>
          <w:sz w:val="22"/>
          <w:szCs w:val="22"/>
        </w:rPr>
      </w:pPr>
      <w:r w:rsidRPr="00436A94">
        <w:rPr>
          <w:rFonts w:eastAsia="Times New Roman" w:asciiTheme="minorHAnsi" w:hAnsiTheme="minorHAnsi" w:cstheme="minorHAnsi"/>
          <w:i/>
          <w:color w:val="auto"/>
          <w:sz w:val="22"/>
          <w:szCs w:val="22"/>
        </w:rPr>
        <w:t>[...]</w:t>
      </w:r>
    </w:p>
    <w:p w:rsidR="00301BFA" w:rsidRPr="00436A94" w:rsidP="00646924">
      <w:pPr>
        <w:pStyle w:val="Default"/>
        <w:ind w:left="2268"/>
        <w:jc w:val="both"/>
        <w:rPr>
          <w:rFonts w:eastAsia="Times New Roman" w:asciiTheme="minorHAnsi" w:hAnsiTheme="minorHAnsi" w:cstheme="minorHAnsi"/>
          <w:b/>
          <w:i/>
          <w:color w:val="auto"/>
          <w:sz w:val="22"/>
          <w:szCs w:val="22"/>
        </w:rPr>
      </w:pPr>
      <w:r w:rsidRPr="00436A94">
        <w:rPr>
          <w:rFonts w:eastAsia="Times New Roman" w:asciiTheme="minorHAnsi" w:hAnsiTheme="minorHAnsi" w:cstheme="minorHAnsi"/>
          <w:i/>
          <w:color w:val="auto"/>
          <w:sz w:val="22"/>
          <w:szCs w:val="22"/>
        </w:rPr>
        <w:t xml:space="preserve">V - a abertura de crédito suplementar ou especial sem prévia autorização legislativa e </w:t>
      </w:r>
      <w:r w:rsidRPr="00436A94">
        <w:rPr>
          <w:rFonts w:eastAsia="Times New Roman" w:asciiTheme="minorHAnsi" w:hAnsiTheme="minorHAnsi" w:cstheme="minorHAnsi"/>
          <w:b/>
          <w:i/>
          <w:color w:val="auto"/>
          <w:sz w:val="22"/>
          <w:szCs w:val="22"/>
        </w:rPr>
        <w:t>sem indicação dos recursos correspondentes;</w:t>
      </w:r>
    </w:p>
    <w:p w:rsidR="00301BFA" w:rsidRPr="00436A94" w:rsidP="00646924">
      <w:pPr>
        <w:pStyle w:val="Default"/>
        <w:ind w:left="2268"/>
        <w:jc w:val="both"/>
        <w:rPr>
          <w:rFonts w:eastAsia="Times New Roman" w:asciiTheme="minorHAnsi" w:hAnsiTheme="minorHAnsi" w:cstheme="minorHAnsi"/>
          <w:i/>
          <w:color w:val="auto"/>
          <w:sz w:val="22"/>
          <w:szCs w:val="22"/>
        </w:rPr>
      </w:pPr>
      <w:r w:rsidRPr="00436A94">
        <w:rPr>
          <w:rFonts w:eastAsia="Times New Roman" w:asciiTheme="minorHAnsi" w:hAnsiTheme="minorHAnsi" w:cstheme="minorHAnsi"/>
          <w:i/>
          <w:color w:val="auto"/>
          <w:sz w:val="22"/>
          <w:szCs w:val="22"/>
        </w:rPr>
        <w:t>[...]</w:t>
      </w:r>
    </w:p>
    <w:p w:rsidR="00301BFA" w:rsidRPr="00436A94" w:rsidP="00301BFA">
      <w:pPr>
        <w:pStyle w:val="Default"/>
        <w:ind w:left="2835"/>
        <w:jc w:val="both"/>
        <w:rPr>
          <w:rFonts w:eastAsia="Times New Roman" w:asciiTheme="minorHAnsi" w:hAnsiTheme="minorHAnsi" w:cstheme="minorHAnsi"/>
          <w:i/>
          <w:color w:val="auto"/>
          <w:sz w:val="22"/>
          <w:szCs w:val="22"/>
        </w:rPr>
      </w:pPr>
    </w:p>
    <w:p w:rsidR="00301BFA" w:rsidRPr="00436A94" w:rsidP="00326E56">
      <w:pPr>
        <w:tabs>
          <w:tab w:val="left" w:pos="1701"/>
        </w:tabs>
        <w:spacing w:after="0" w:line="360" w:lineRule="auto"/>
        <w:ind w:firstLine="1701"/>
        <w:jc w:val="both"/>
        <w:rPr>
          <w:rFonts w:eastAsia="Calibri" w:asciiTheme="minorHAnsi" w:hAnsiTheme="minorHAnsi" w:cstheme="minorHAnsi"/>
          <w:sz w:val="22"/>
          <w:szCs w:val="22"/>
        </w:rPr>
      </w:pPr>
      <w:r>
        <w:rPr>
          <w:rFonts w:eastAsia="Calibri" w:asciiTheme="minorHAnsi" w:hAnsiTheme="minorHAnsi" w:cstheme="minorHAnsi"/>
          <w:szCs w:val="24"/>
        </w:rPr>
        <w:t xml:space="preserve"> </w:t>
      </w:r>
      <w:r w:rsidRPr="00436A94">
        <w:rPr>
          <w:rFonts w:eastAsia="Calibri" w:asciiTheme="minorHAnsi" w:hAnsiTheme="minorHAnsi" w:cstheme="minorHAnsi"/>
          <w:szCs w:val="24"/>
        </w:rPr>
        <w:t xml:space="preserve">Do mesmo modo, a Lei Orgânica deste Município estabelece que a abertura de créditos adicionais </w:t>
      </w:r>
      <w:r w:rsidRPr="00436A94">
        <w:rPr>
          <w:rFonts w:eastAsia="Calibri" w:asciiTheme="minorHAnsi" w:hAnsiTheme="minorHAnsi" w:cstheme="minorHAnsi"/>
          <w:szCs w:val="24"/>
        </w:rPr>
        <w:t>exige</w:t>
      </w:r>
      <w:r w:rsidRPr="00436A94">
        <w:rPr>
          <w:rFonts w:eastAsia="Calibri" w:asciiTheme="minorHAnsi" w:hAnsiTheme="minorHAnsi" w:cstheme="minorHAnsi"/>
          <w:szCs w:val="24"/>
        </w:rPr>
        <w:t xml:space="preserve"> autorização legislativa, conforme artigos a seguir colacionados:</w:t>
      </w:r>
    </w:p>
    <w:p w:rsidR="00301BFA" w:rsidRPr="00436A94" w:rsidP="00326E56">
      <w:pPr>
        <w:spacing w:after="0" w:line="240" w:lineRule="auto"/>
        <w:ind w:left="2268"/>
        <w:jc w:val="both"/>
        <w:rPr>
          <w:rFonts w:asciiTheme="minorHAnsi" w:hAnsiTheme="minorHAnsi" w:cstheme="minorHAnsi"/>
          <w:i/>
          <w:sz w:val="22"/>
          <w:szCs w:val="22"/>
        </w:rPr>
      </w:pPr>
      <w:r w:rsidRPr="00436A94">
        <w:rPr>
          <w:rFonts w:asciiTheme="minorHAnsi" w:hAnsiTheme="minorHAnsi" w:cstheme="minorHAnsi"/>
          <w:i/>
          <w:sz w:val="22"/>
          <w:szCs w:val="22"/>
        </w:rPr>
        <w:t xml:space="preserve">Artigo 8º - Cabe à Câmara, com a sanção do Prefeito, observadas as determinações e a hierarquia constitucional, suplementar a legislação Federal e Estadual e fiscalizar, mediante controle externo, a administração direta ou indireta, as fundações e as empresas em que </w:t>
      </w:r>
      <w:r w:rsidRPr="00436A94">
        <w:rPr>
          <w:rFonts w:asciiTheme="minorHAnsi" w:hAnsiTheme="minorHAnsi" w:cstheme="minorHAnsi"/>
          <w:i/>
          <w:sz w:val="22"/>
          <w:szCs w:val="22"/>
        </w:rPr>
        <w:t xml:space="preserve">o Município detenha a maioria do capital social com direito a voto, especialmente: </w:t>
      </w:r>
    </w:p>
    <w:p w:rsidR="00301BFA" w:rsidRPr="00436A94" w:rsidP="00646924">
      <w:pPr>
        <w:spacing w:after="0" w:line="240" w:lineRule="auto"/>
        <w:ind w:left="2268"/>
        <w:jc w:val="both"/>
        <w:rPr>
          <w:rFonts w:asciiTheme="minorHAnsi" w:hAnsiTheme="minorHAnsi" w:cstheme="minorHAnsi"/>
          <w:i/>
          <w:sz w:val="22"/>
          <w:szCs w:val="22"/>
        </w:rPr>
      </w:pPr>
      <w:r w:rsidRPr="00436A94">
        <w:rPr>
          <w:rFonts w:asciiTheme="minorHAnsi" w:hAnsiTheme="minorHAnsi" w:cstheme="minorHAnsi"/>
          <w:i/>
          <w:sz w:val="22"/>
          <w:szCs w:val="22"/>
        </w:rPr>
        <w:t>[...]</w:t>
      </w:r>
    </w:p>
    <w:p w:rsidR="00301BFA" w:rsidRPr="00436A94" w:rsidP="00646924">
      <w:pPr>
        <w:spacing w:after="0" w:line="240" w:lineRule="auto"/>
        <w:ind w:left="2268"/>
        <w:jc w:val="both"/>
        <w:rPr>
          <w:rFonts w:asciiTheme="minorHAnsi" w:hAnsiTheme="minorHAnsi" w:cstheme="minorHAnsi"/>
          <w:i/>
          <w:sz w:val="22"/>
          <w:szCs w:val="22"/>
        </w:rPr>
      </w:pPr>
      <w:r w:rsidRPr="00436A94">
        <w:rPr>
          <w:rFonts w:asciiTheme="minorHAnsi" w:hAnsiTheme="minorHAnsi" w:cstheme="minorHAnsi"/>
          <w:i/>
          <w:sz w:val="22"/>
          <w:szCs w:val="22"/>
        </w:rPr>
        <w:t xml:space="preserve">III - votar o plano plurianual, a lei de diretrizes orçamentárias, o orçamento anual e </w:t>
      </w:r>
      <w:r w:rsidRPr="00436A94">
        <w:rPr>
          <w:rFonts w:asciiTheme="minorHAnsi" w:hAnsiTheme="minorHAnsi" w:cstheme="minorHAnsi"/>
          <w:b/>
          <w:i/>
          <w:sz w:val="22"/>
          <w:szCs w:val="22"/>
        </w:rPr>
        <w:t>autorizar a abertura de créditos adicionais</w:t>
      </w:r>
      <w:r w:rsidRPr="00436A94">
        <w:rPr>
          <w:rFonts w:asciiTheme="minorHAnsi" w:hAnsiTheme="minorHAnsi" w:cstheme="minorHAnsi"/>
          <w:i/>
          <w:sz w:val="22"/>
          <w:szCs w:val="22"/>
        </w:rPr>
        <w:t xml:space="preserve">; </w:t>
      </w:r>
    </w:p>
    <w:p w:rsidR="00301BFA" w:rsidRPr="00436A94" w:rsidP="00646924">
      <w:pPr>
        <w:spacing w:after="0" w:line="240" w:lineRule="auto"/>
        <w:ind w:left="2268"/>
        <w:jc w:val="both"/>
        <w:rPr>
          <w:rFonts w:asciiTheme="minorHAnsi" w:hAnsiTheme="minorHAnsi" w:cstheme="minorHAnsi"/>
          <w:i/>
          <w:sz w:val="22"/>
          <w:szCs w:val="22"/>
        </w:rPr>
      </w:pPr>
    </w:p>
    <w:p w:rsidR="00301BFA" w:rsidRPr="00436A94" w:rsidP="00646924">
      <w:pPr>
        <w:spacing w:after="0" w:line="240" w:lineRule="auto"/>
        <w:ind w:left="2268"/>
        <w:jc w:val="both"/>
        <w:rPr>
          <w:rFonts w:asciiTheme="minorHAnsi" w:hAnsiTheme="minorHAnsi" w:cstheme="minorHAnsi"/>
          <w:i/>
          <w:sz w:val="22"/>
          <w:szCs w:val="22"/>
        </w:rPr>
      </w:pPr>
      <w:r w:rsidRPr="00436A94">
        <w:rPr>
          <w:rFonts w:asciiTheme="minorHAnsi" w:hAnsiTheme="minorHAnsi" w:cstheme="minorHAnsi"/>
          <w:i/>
          <w:sz w:val="22"/>
          <w:szCs w:val="22"/>
        </w:rPr>
        <w:t xml:space="preserve">Artigo 154 - São vedados: </w:t>
      </w:r>
    </w:p>
    <w:p w:rsidR="00301BFA" w:rsidRPr="00436A94" w:rsidP="00646924">
      <w:pPr>
        <w:spacing w:after="0" w:line="240" w:lineRule="auto"/>
        <w:ind w:left="2268"/>
        <w:jc w:val="both"/>
        <w:rPr>
          <w:rFonts w:asciiTheme="minorHAnsi" w:hAnsiTheme="minorHAnsi" w:cstheme="minorHAnsi"/>
          <w:i/>
          <w:sz w:val="22"/>
          <w:szCs w:val="22"/>
        </w:rPr>
      </w:pPr>
      <w:r w:rsidRPr="00436A94">
        <w:rPr>
          <w:rFonts w:asciiTheme="minorHAnsi" w:hAnsiTheme="minorHAnsi" w:cstheme="minorHAnsi"/>
          <w:i/>
          <w:sz w:val="22"/>
          <w:szCs w:val="22"/>
        </w:rPr>
        <w:t>[...]</w:t>
      </w:r>
    </w:p>
    <w:p w:rsidR="00301BFA" w:rsidRPr="00436A94" w:rsidP="00646924">
      <w:pPr>
        <w:spacing w:after="0" w:line="240" w:lineRule="auto"/>
        <w:ind w:left="2268"/>
        <w:jc w:val="both"/>
        <w:rPr>
          <w:rFonts w:asciiTheme="minorHAnsi" w:hAnsiTheme="minorHAnsi" w:cstheme="minorHAnsi"/>
          <w:i/>
          <w:sz w:val="22"/>
          <w:szCs w:val="22"/>
        </w:rPr>
      </w:pPr>
      <w:r w:rsidRPr="00436A94">
        <w:rPr>
          <w:rFonts w:asciiTheme="minorHAnsi" w:hAnsiTheme="minorHAnsi" w:cstheme="minorHAnsi"/>
          <w:i/>
          <w:sz w:val="22"/>
          <w:szCs w:val="22"/>
        </w:rPr>
        <w:t>V - abertura de crédito suplementar ou especial sem prévia autorização legislativa e sem indicação dos recursos correspondentes;</w:t>
      </w:r>
    </w:p>
    <w:p w:rsidR="00301BFA" w:rsidRPr="00436A94" w:rsidP="00301BFA">
      <w:pPr>
        <w:spacing w:after="0"/>
        <w:ind w:left="2835"/>
        <w:jc w:val="both"/>
        <w:rPr>
          <w:rFonts w:asciiTheme="minorHAnsi" w:hAnsiTheme="minorHAnsi" w:cstheme="minorHAnsi"/>
          <w:i/>
          <w:sz w:val="22"/>
          <w:szCs w:val="22"/>
        </w:rPr>
      </w:pPr>
    </w:p>
    <w:p w:rsidR="00301BFA" w:rsidRPr="00436A94" w:rsidP="00646924">
      <w:pPr>
        <w:spacing w:after="240" w:line="360" w:lineRule="auto"/>
        <w:ind w:firstLine="1701"/>
        <w:jc w:val="both"/>
        <w:rPr>
          <w:rFonts w:asciiTheme="minorHAnsi" w:hAnsiTheme="minorHAnsi" w:cstheme="minorHAnsi"/>
          <w:szCs w:val="24"/>
          <w:lang w:val="pt-PT"/>
        </w:rPr>
      </w:pPr>
      <w:r w:rsidRPr="00436A94">
        <w:rPr>
          <w:rFonts w:asciiTheme="minorHAnsi" w:hAnsiTheme="minorHAnsi" w:cstheme="minorHAnsi"/>
          <w:szCs w:val="24"/>
          <w:lang w:val="pt-PT"/>
        </w:rPr>
        <w:t>Trata-se do exercício do controle financeiro-orçamentário pelo Legislativo em atinência ao sistema de freios e contrapesos que almeja preservar o equilíbrio necessário à realização do bem estar da coletividade.</w:t>
      </w:r>
    </w:p>
    <w:p w:rsidR="00301BFA" w:rsidRPr="00436A94" w:rsidP="00301BFA">
      <w:pPr>
        <w:tabs>
          <w:tab w:val="left" w:pos="1701"/>
        </w:tabs>
        <w:spacing w:after="0" w:line="360" w:lineRule="auto"/>
        <w:ind w:firstLine="1701"/>
        <w:jc w:val="both"/>
        <w:rPr>
          <w:rFonts w:asciiTheme="minorHAnsi" w:hAnsiTheme="minorHAnsi" w:cstheme="minorHAnsi"/>
          <w:sz w:val="22"/>
          <w:szCs w:val="22"/>
          <w:lang w:val="pt-PT"/>
        </w:rPr>
      </w:pPr>
      <w:r w:rsidRPr="00436A94">
        <w:rPr>
          <w:rFonts w:asciiTheme="minorHAnsi" w:hAnsiTheme="minorHAnsi" w:cstheme="minorHAnsi"/>
          <w:szCs w:val="24"/>
          <w:lang w:val="pt-PT"/>
        </w:rPr>
        <w:t xml:space="preserve">A abertura de créditos adicionais está prevista na </w:t>
      </w:r>
      <w:r w:rsidRPr="00436A94">
        <w:rPr>
          <w:rFonts w:asciiTheme="minorHAnsi" w:hAnsiTheme="minorHAnsi" w:cstheme="minorHAnsi"/>
          <w:bCs/>
          <w:szCs w:val="24"/>
          <w:lang w:val="pt-PT"/>
        </w:rPr>
        <w:t>Lei Federal nº 4.320, de 17 de março de 1964</w:t>
      </w:r>
      <w:r w:rsidRPr="00436A94">
        <w:rPr>
          <w:rFonts w:asciiTheme="minorHAnsi" w:hAnsiTheme="minorHAnsi" w:cstheme="minorHAnsi"/>
          <w:szCs w:val="24"/>
          <w:lang w:val="pt-PT"/>
        </w:rPr>
        <w:t xml:space="preserve">, que estatui as normas gerais de direito financeiro e assim conceitua: </w:t>
      </w:r>
    </w:p>
    <w:p w:rsidR="00301BFA" w:rsidRPr="00436A94" w:rsidP="00646924">
      <w:pPr>
        <w:tabs>
          <w:tab w:val="left" w:pos="1701"/>
        </w:tabs>
        <w:spacing w:after="0"/>
        <w:ind w:left="2268"/>
        <w:jc w:val="both"/>
        <w:rPr>
          <w:rFonts w:asciiTheme="minorHAnsi" w:hAnsiTheme="minorHAnsi" w:cstheme="minorHAnsi"/>
          <w:b/>
          <w:i/>
          <w:sz w:val="22"/>
          <w:szCs w:val="22"/>
          <w:shd w:val="clear" w:color="auto" w:fill="FFFFFF"/>
        </w:rPr>
      </w:pPr>
      <w:r w:rsidRPr="00436A94">
        <w:rPr>
          <w:rFonts w:asciiTheme="minorHAnsi" w:hAnsiTheme="minorHAnsi" w:cstheme="minorHAnsi"/>
          <w:i/>
          <w:sz w:val="22"/>
          <w:szCs w:val="22"/>
          <w:shd w:val="clear" w:color="auto" w:fill="FFFFFF"/>
        </w:rPr>
        <w:t xml:space="preserve">Art. 40. </w:t>
      </w:r>
      <w:r w:rsidRPr="00436A94">
        <w:rPr>
          <w:rFonts w:asciiTheme="minorHAnsi" w:hAnsiTheme="minorHAnsi" w:cstheme="minorHAnsi"/>
          <w:b/>
          <w:i/>
          <w:sz w:val="22"/>
          <w:szCs w:val="22"/>
          <w:shd w:val="clear" w:color="auto" w:fill="FFFFFF"/>
        </w:rPr>
        <w:t>São créditos adicionais, as autorizações de despesa não computadas ou insuficientemente dotadas na Lei de Orçamento.</w:t>
      </w:r>
    </w:p>
    <w:p w:rsidR="00301BFA" w:rsidRPr="00436A94" w:rsidP="00301BFA">
      <w:pPr>
        <w:tabs>
          <w:tab w:val="left" w:pos="1701"/>
        </w:tabs>
        <w:spacing w:after="0"/>
        <w:ind w:left="2835"/>
        <w:jc w:val="both"/>
        <w:rPr>
          <w:rFonts w:asciiTheme="minorHAnsi" w:hAnsiTheme="minorHAnsi" w:cstheme="minorHAnsi"/>
          <w:i/>
          <w:sz w:val="22"/>
          <w:szCs w:val="22"/>
          <w:shd w:val="clear" w:color="auto" w:fill="FFFFFF"/>
        </w:rPr>
      </w:pPr>
    </w:p>
    <w:p w:rsidR="00301BFA" w:rsidRPr="00436A94" w:rsidP="00301BFA">
      <w:pPr>
        <w:tabs>
          <w:tab w:val="left" w:pos="1701"/>
        </w:tabs>
        <w:spacing w:after="240" w:line="360" w:lineRule="auto"/>
        <w:ind w:firstLine="1701"/>
        <w:jc w:val="both"/>
        <w:rPr>
          <w:rFonts w:asciiTheme="minorHAnsi" w:hAnsiTheme="minorHAnsi" w:cstheme="minorHAnsi"/>
          <w:bCs/>
          <w:szCs w:val="24"/>
          <w:lang w:val="pt-PT"/>
        </w:rPr>
      </w:pPr>
      <w:r w:rsidRPr="00436A94">
        <w:rPr>
          <w:rFonts w:asciiTheme="minorHAnsi" w:hAnsiTheme="minorHAnsi" w:cstheme="minorHAnsi"/>
          <w:szCs w:val="24"/>
          <w:lang w:val="pt-PT"/>
        </w:rPr>
        <w:t xml:space="preserve">A propósito, o </w:t>
      </w:r>
      <w:r w:rsidRPr="00436A94">
        <w:rPr>
          <w:rFonts w:asciiTheme="minorHAnsi" w:hAnsiTheme="minorHAnsi" w:cstheme="minorHAnsi"/>
          <w:bCs/>
          <w:szCs w:val="24"/>
          <w:lang w:val="pt-PT"/>
        </w:rPr>
        <w:t xml:space="preserve">artigo 41 </w:t>
      </w:r>
      <w:r w:rsidRPr="00436A94">
        <w:rPr>
          <w:rFonts w:asciiTheme="minorHAnsi" w:hAnsiTheme="minorHAnsi" w:cstheme="minorHAnsi"/>
          <w:szCs w:val="24"/>
          <w:lang w:val="pt-PT"/>
        </w:rPr>
        <w:t>da referida lei federal assim enuncia</w:t>
      </w:r>
      <w:r w:rsidRPr="00436A94">
        <w:rPr>
          <w:rFonts w:asciiTheme="minorHAnsi" w:hAnsiTheme="minorHAnsi" w:cstheme="minorHAnsi"/>
          <w:bCs/>
          <w:szCs w:val="24"/>
          <w:lang w:val="pt-PT"/>
        </w:rPr>
        <w:t>:</w:t>
      </w:r>
    </w:p>
    <w:p w:rsidR="00301BFA" w:rsidRPr="00436A94" w:rsidP="00646924">
      <w:pPr>
        <w:pStyle w:val="NormalWeb"/>
        <w:spacing w:before="0" w:beforeAutospacing="0" w:after="0" w:afterAutospacing="0"/>
        <w:ind w:left="2268"/>
        <w:jc w:val="both"/>
        <w:rPr>
          <w:rFonts w:asciiTheme="minorHAnsi" w:hAnsiTheme="minorHAnsi" w:cstheme="minorHAnsi"/>
          <w:i/>
          <w:sz w:val="22"/>
          <w:szCs w:val="22"/>
        </w:rPr>
      </w:pPr>
      <w:r w:rsidRPr="00436A94">
        <w:rPr>
          <w:rStyle w:val="apple-converted-space"/>
          <w:rFonts w:asciiTheme="minorHAnsi" w:hAnsiTheme="minorHAnsi" w:cstheme="minorHAnsi"/>
          <w:i/>
        </w:rPr>
        <w:t> </w:t>
      </w:r>
      <w:bookmarkStart w:id="0" w:name="art41"/>
      <w:bookmarkEnd w:id="0"/>
      <w:r w:rsidRPr="00436A94">
        <w:rPr>
          <w:rFonts w:asciiTheme="minorHAnsi" w:hAnsiTheme="minorHAnsi" w:cstheme="minorHAnsi"/>
          <w:i/>
          <w:sz w:val="22"/>
          <w:szCs w:val="22"/>
        </w:rPr>
        <w:t>Art. 41. Os créditos adicionais classificam-se em:</w:t>
      </w:r>
      <w:bookmarkStart w:id="1" w:name="art41i"/>
      <w:bookmarkEnd w:id="1"/>
    </w:p>
    <w:p w:rsidR="00301BFA" w:rsidRPr="00436A94" w:rsidP="00646924">
      <w:pPr>
        <w:pStyle w:val="NormalWeb"/>
        <w:spacing w:before="0" w:beforeAutospacing="0" w:after="0" w:afterAutospacing="0"/>
        <w:ind w:left="2268"/>
        <w:jc w:val="both"/>
        <w:rPr>
          <w:rFonts w:asciiTheme="minorHAnsi" w:hAnsiTheme="minorHAnsi" w:cstheme="minorHAnsi"/>
          <w:i/>
          <w:sz w:val="22"/>
          <w:szCs w:val="22"/>
        </w:rPr>
      </w:pPr>
      <w:r w:rsidRPr="00436A94">
        <w:rPr>
          <w:rFonts w:asciiTheme="minorHAnsi" w:hAnsiTheme="minorHAnsi" w:cstheme="minorHAnsi"/>
          <w:i/>
          <w:sz w:val="22"/>
          <w:szCs w:val="22"/>
        </w:rPr>
        <w:t>I - suplementares, os destinados a reforço de dotação orçamentária;</w:t>
      </w:r>
    </w:p>
    <w:p w:rsidR="00301BFA" w:rsidRPr="00436A94" w:rsidP="00646924">
      <w:pPr>
        <w:pStyle w:val="NormalWeb"/>
        <w:spacing w:before="0" w:beforeAutospacing="0" w:after="0" w:afterAutospacing="0"/>
        <w:ind w:left="2268"/>
        <w:jc w:val="both"/>
        <w:rPr>
          <w:rFonts w:asciiTheme="minorHAnsi" w:hAnsiTheme="minorHAnsi" w:cstheme="minorHAnsi"/>
          <w:i/>
          <w:sz w:val="22"/>
          <w:szCs w:val="22"/>
        </w:rPr>
      </w:pPr>
      <w:r w:rsidRPr="00436A94">
        <w:rPr>
          <w:rStyle w:val="apple-converted-space"/>
          <w:rFonts w:asciiTheme="minorHAnsi" w:hAnsiTheme="minorHAnsi" w:cstheme="minorHAnsi"/>
          <w:b/>
          <w:i/>
          <w:sz w:val="22"/>
          <w:szCs w:val="22"/>
          <w:u w:val="single"/>
        </w:rPr>
        <w:t> </w:t>
      </w:r>
      <w:bookmarkStart w:id="2" w:name="art41ii"/>
      <w:bookmarkEnd w:id="2"/>
      <w:r w:rsidRPr="00436A94">
        <w:rPr>
          <w:rFonts w:asciiTheme="minorHAnsi" w:hAnsiTheme="minorHAnsi" w:cstheme="minorHAnsi"/>
          <w:b/>
          <w:i/>
          <w:sz w:val="22"/>
          <w:szCs w:val="22"/>
          <w:u w:val="single"/>
        </w:rPr>
        <w:t>II - especiais, os destinados a despesas para as quais não haja dotação orçamentária específica</w:t>
      </w:r>
      <w:r w:rsidRPr="00436A94">
        <w:rPr>
          <w:rFonts w:asciiTheme="minorHAnsi" w:hAnsiTheme="minorHAnsi" w:cstheme="minorHAnsi"/>
          <w:i/>
          <w:sz w:val="22"/>
          <w:szCs w:val="22"/>
        </w:rPr>
        <w:t>;</w:t>
      </w:r>
    </w:p>
    <w:p w:rsidR="00301BFA" w:rsidRPr="00436A94" w:rsidP="00646924">
      <w:pPr>
        <w:pStyle w:val="NormalWeb"/>
        <w:spacing w:before="0" w:beforeAutospacing="0" w:after="0" w:afterAutospacing="0"/>
        <w:ind w:left="2268"/>
        <w:jc w:val="both"/>
        <w:rPr>
          <w:rFonts w:asciiTheme="minorHAnsi" w:hAnsiTheme="minorHAnsi" w:cstheme="minorHAnsi"/>
          <w:i/>
          <w:sz w:val="22"/>
          <w:szCs w:val="22"/>
        </w:rPr>
      </w:pPr>
      <w:r w:rsidRPr="00436A94">
        <w:rPr>
          <w:rFonts w:asciiTheme="minorHAnsi" w:hAnsiTheme="minorHAnsi" w:cstheme="minorHAnsi"/>
          <w:i/>
          <w:sz w:val="22"/>
          <w:szCs w:val="22"/>
        </w:rPr>
        <w:t>III - extraordinários, os destinados a despesas urgentes e imprevistas, em caso de guerra, comoção intestina ou calamidade pública.</w:t>
      </w:r>
    </w:p>
    <w:p w:rsidR="00301BFA" w:rsidRPr="00436A94" w:rsidP="00301BFA">
      <w:pPr>
        <w:pStyle w:val="NormalWeb"/>
        <w:spacing w:before="0" w:beforeAutospacing="0" w:after="0" w:afterAutospacing="0"/>
        <w:ind w:left="2835"/>
        <w:jc w:val="both"/>
        <w:rPr>
          <w:rFonts w:asciiTheme="minorHAnsi" w:hAnsiTheme="minorHAnsi" w:cstheme="minorHAnsi"/>
          <w:i/>
          <w:sz w:val="22"/>
          <w:szCs w:val="22"/>
        </w:rPr>
      </w:pPr>
    </w:p>
    <w:p w:rsidR="00301BFA" w:rsidRPr="00436A94" w:rsidP="00301BFA">
      <w:pPr>
        <w:pStyle w:val="BodyText2"/>
        <w:spacing w:after="240" w:line="360" w:lineRule="auto"/>
        <w:ind w:firstLine="1701"/>
        <w:jc w:val="both"/>
        <w:rPr>
          <w:rFonts w:asciiTheme="minorHAnsi" w:hAnsiTheme="minorHAnsi" w:cstheme="minorHAnsi"/>
          <w:szCs w:val="24"/>
        </w:rPr>
      </w:pPr>
      <w:r w:rsidRPr="00436A94">
        <w:rPr>
          <w:rFonts w:asciiTheme="minorHAnsi" w:hAnsiTheme="minorHAnsi" w:cstheme="minorHAnsi"/>
          <w:szCs w:val="24"/>
        </w:rPr>
        <w:t xml:space="preserve"> Prosseguindo na análise, segue abaixo dispositivo da </w:t>
      </w:r>
      <w:r w:rsidRPr="00436A94">
        <w:rPr>
          <w:rFonts w:asciiTheme="minorHAnsi" w:hAnsiTheme="minorHAnsi" w:cstheme="minorHAnsi"/>
          <w:bCs/>
          <w:szCs w:val="24"/>
          <w:lang w:val="pt-PT"/>
        </w:rPr>
        <w:t>Lei nº 4.320/64</w:t>
      </w:r>
      <w:r w:rsidRPr="00436A94">
        <w:rPr>
          <w:rFonts w:asciiTheme="minorHAnsi" w:hAnsiTheme="minorHAnsi" w:cstheme="minorHAnsi"/>
          <w:szCs w:val="24"/>
        </w:rPr>
        <w:t xml:space="preserve"> aplicável ao caso em tela, senão vejamos:</w:t>
      </w:r>
    </w:p>
    <w:p w:rsidR="00301BFA" w:rsidRPr="00436A94" w:rsidP="00646924">
      <w:pPr>
        <w:tabs>
          <w:tab w:val="left" w:pos="3420"/>
        </w:tabs>
        <w:spacing w:after="0" w:line="240" w:lineRule="auto"/>
        <w:ind w:left="2268"/>
        <w:jc w:val="both"/>
        <w:rPr>
          <w:rFonts w:asciiTheme="minorHAnsi" w:hAnsiTheme="minorHAnsi" w:cstheme="minorHAnsi"/>
          <w:b/>
          <w:i/>
          <w:sz w:val="22"/>
          <w:szCs w:val="22"/>
          <w:lang w:val="pt-PT"/>
        </w:rPr>
      </w:pPr>
      <w:r w:rsidRPr="00436A94">
        <w:rPr>
          <w:rFonts w:asciiTheme="minorHAnsi" w:hAnsiTheme="minorHAnsi" w:cstheme="minorHAnsi"/>
          <w:b/>
          <w:bCs/>
          <w:i/>
          <w:sz w:val="22"/>
          <w:szCs w:val="22"/>
          <w:lang w:val="pt-PT"/>
        </w:rPr>
        <w:t>Art. 43.</w:t>
      </w:r>
      <w:r w:rsidRPr="00436A94">
        <w:rPr>
          <w:rFonts w:asciiTheme="minorHAnsi" w:hAnsiTheme="minorHAnsi" w:cstheme="minorHAnsi"/>
          <w:bCs/>
          <w:i/>
          <w:sz w:val="22"/>
          <w:szCs w:val="22"/>
          <w:lang w:val="pt-PT"/>
        </w:rPr>
        <w:t xml:space="preserve"> </w:t>
      </w:r>
      <w:r w:rsidRPr="00436A94">
        <w:rPr>
          <w:rFonts w:asciiTheme="minorHAnsi" w:hAnsiTheme="minorHAnsi" w:cstheme="minorHAnsi"/>
          <w:b/>
          <w:bCs/>
          <w:i/>
          <w:sz w:val="22"/>
          <w:szCs w:val="22"/>
          <w:lang w:val="pt-PT"/>
        </w:rPr>
        <w:t>A abertura dos créditos suplementares e especiais depende da existência de recursos disponíveis para ocorrer à despesa e será precedida de exposição justificativa.</w:t>
      </w:r>
      <w:r w:rsidRPr="00436A94">
        <w:rPr>
          <w:rFonts w:asciiTheme="minorHAnsi" w:hAnsiTheme="minorHAnsi" w:cstheme="minorHAnsi"/>
          <w:b/>
          <w:i/>
          <w:sz w:val="22"/>
          <w:szCs w:val="22"/>
          <w:lang w:val="pt-PT"/>
        </w:rPr>
        <w:t xml:space="preserve"> </w:t>
      </w:r>
    </w:p>
    <w:p w:rsidR="00301BFA" w:rsidRPr="00436A94" w:rsidP="00646924">
      <w:pPr>
        <w:tabs>
          <w:tab w:val="left" w:pos="3420"/>
        </w:tabs>
        <w:spacing w:after="0" w:line="240" w:lineRule="auto"/>
        <w:ind w:left="2268"/>
        <w:jc w:val="both"/>
        <w:rPr>
          <w:rStyle w:val="apple-converted-space"/>
          <w:rFonts w:asciiTheme="minorHAnsi" w:hAnsiTheme="minorHAnsi" w:cstheme="minorHAnsi"/>
          <w:b/>
          <w:i/>
          <w:sz w:val="22"/>
          <w:szCs w:val="22"/>
        </w:rPr>
      </w:pPr>
      <w:r w:rsidRPr="00436A94">
        <w:rPr>
          <w:rFonts w:asciiTheme="minorHAnsi" w:hAnsiTheme="minorHAnsi" w:cstheme="minorHAnsi"/>
          <w:b/>
          <w:i/>
          <w:sz w:val="22"/>
          <w:szCs w:val="22"/>
        </w:rPr>
        <w:t>§ 1º Consideram-se recursos para o fim deste artigo, desde que não comprometidos:</w:t>
      </w:r>
      <w:bookmarkStart w:id="3" w:name="art43§1i"/>
      <w:bookmarkEnd w:id="3"/>
    </w:p>
    <w:p w:rsidR="00301BFA" w:rsidRPr="00436A94" w:rsidP="00646924">
      <w:pPr>
        <w:tabs>
          <w:tab w:val="left" w:pos="3420"/>
        </w:tabs>
        <w:spacing w:after="0" w:line="240" w:lineRule="auto"/>
        <w:ind w:left="2268"/>
        <w:jc w:val="both"/>
        <w:rPr>
          <w:rFonts w:asciiTheme="minorHAnsi" w:hAnsiTheme="minorHAnsi" w:cstheme="minorHAnsi"/>
          <w:i/>
          <w:sz w:val="22"/>
          <w:szCs w:val="22"/>
        </w:rPr>
      </w:pPr>
      <w:r w:rsidRPr="00436A94">
        <w:rPr>
          <w:rFonts w:asciiTheme="minorHAnsi" w:hAnsiTheme="minorHAnsi" w:cstheme="minorHAnsi"/>
          <w:i/>
          <w:sz w:val="22"/>
          <w:szCs w:val="22"/>
        </w:rPr>
        <w:t>I - o superávit financeiro apurado em balanço patrimonial do exercício anterior;</w:t>
      </w:r>
      <w:bookmarkStart w:id="4" w:name="art43§1ii"/>
      <w:bookmarkEnd w:id="4"/>
    </w:p>
    <w:p w:rsidR="00301BFA" w:rsidRPr="00436A94" w:rsidP="00646924">
      <w:pPr>
        <w:tabs>
          <w:tab w:val="left" w:pos="3420"/>
        </w:tabs>
        <w:spacing w:after="0" w:line="240" w:lineRule="auto"/>
        <w:ind w:left="2268"/>
        <w:jc w:val="both"/>
        <w:rPr>
          <w:rFonts w:asciiTheme="minorHAnsi" w:hAnsiTheme="minorHAnsi" w:cstheme="minorHAnsi"/>
          <w:i/>
          <w:sz w:val="22"/>
          <w:szCs w:val="22"/>
        </w:rPr>
      </w:pPr>
      <w:r w:rsidRPr="00436A94">
        <w:rPr>
          <w:rFonts w:asciiTheme="minorHAnsi" w:hAnsiTheme="minorHAnsi" w:cstheme="minorHAnsi"/>
          <w:i/>
          <w:sz w:val="22"/>
          <w:szCs w:val="22"/>
        </w:rPr>
        <w:t>II - os provenientes de excesso de arrecadação;</w:t>
      </w:r>
      <w:bookmarkStart w:id="5" w:name="art43§1iii"/>
      <w:bookmarkEnd w:id="5"/>
    </w:p>
    <w:p w:rsidR="00301BFA" w:rsidRPr="00436A94" w:rsidP="00646924">
      <w:pPr>
        <w:tabs>
          <w:tab w:val="left" w:pos="3420"/>
        </w:tabs>
        <w:spacing w:after="0" w:line="240" w:lineRule="auto"/>
        <w:ind w:left="2268"/>
        <w:jc w:val="both"/>
        <w:rPr>
          <w:rStyle w:val="apple-converted-space"/>
          <w:rFonts w:asciiTheme="minorHAnsi" w:hAnsiTheme="minorHAnsi" w:cstheme="minorHAnsi"/>
          <w:i/>
          <w:iCs/>
          <w:sz w:val="22"/>
          <w:szCs w:val="22"/>
        </w:rPr>
      </w:pPr>
      <w:r w:rsidRPr="00436A94">
        <w:rPr>
          <w:rFonts w:asciiTheme="minorHAnsi" w:hAnsiTheme="minorHAnsi" w:cstheme="minorHAnsi"/>
          <w:i/>
          <w:sz w:val="22"/>
          <w:szCs w:val="22"/>
        </w:rPr>
        <w:t>III - os resultantes de anulação parcial ou total de dotações orçamentárias ou de créditos adicionais, autorizados em Lei</w:t>
      </w:r>
      <w:r w:rsidRPr="00436A94">
        <w:rPr>
          <w:rFonts w:asciiTheme="minorHAnsi" w:hAnsiTheme="minorHAnsi" w:cstheme="minorHAnsi"/>
          <w:i/>
          <w:iCs/>
          <w:sz w:val="22"/>
          <w:szCs w:val="22"/>
        </w:rPr>
        <w:t>;</w:t>
      </w:r>
      <w:bookmarkStart w:id="6" w:name="art43§1iv"/>
      <w:bookmarkEnd w:id="6"/>
    </w:p>
    <w:p w:rsidR="00301BFA" w:rsidRPr="00436A94" w:rsidP="00646924">
      <w:pPr>
        <w:tabs>
          <w:tab w:val="left" w:pos="3420"/>
        </w:tabs>
        <w:spacing w:after="0" w:line="240" w:lineRule="auto"/>
        <w:ind w:left="2268"/>
        <w:jc w:val="both"/>
        <w:rPr>
          <w:rFonts w:asciiTheme="minorHAnsi" w:hAnsiTheme="minorHAnsi" w:cstheme="minorHAnsi"/>
          <w:i/>
          <w:iCs/>
          <w:sz w:val="22"/>
          <w:szCs w:val="22"/>
        </w:rPr>
      </w:pPr>
      <w:r w:rsidRPr="00436A94">
        <w:rPr>
          <w:rFonts w:asciiTheme="minorHAnsi" w:hAnsiTheme="minorHAnsi" w:cstheme="minorHAnsi"/>
          <w:i/>
          <w:sz w:val="22"/>
          <w:szCs w:val="22"/>
        </w:rPr>
        <w:t>IV</w:t>
      </w:r>
      <w:r w:rsidRPr="00436A94">
        <w:rPr>
          <w:rStyle w:val="apple-converted-space"/>
          <w:rFonts w:asciiTheme="minorHAnsi" w:hAnsiTheme="minorHAnsi" w:cstheme="minorHAnsi"/>
          <w:i/>
          <w:sz w:val="22"/>
          <w:szCs w:val="22"/>
        </w:rPr>
        <w:t> </w:t>
      </w:r>
      <w:r w:rsidRPr="00436A94">
        <w:rPr>
          <w:rFonts w:asciiTheme="minorHAnsi" w:hAnsiTheme="minorHAnsi" w:cstheme="minorHAnsi"/>
          <w:i/>
          <w:iCs/>
          <w:sz w:val="22"/>
          <w:szCs w:val="22"/>
        </w:rPr>
        <w:t>-</w:t>
      </w:r>
      <w:r w:rsidRPr="00436A94">
        <w:rPr>
          <w:rStyle w:val="apple-converted-space"/>
          <w:rFonts w:asciiTheme="minorHAnsi" w:hAnsiTheme="minorHAnsi" w:cstheme="minorHAnsi"/>
          <w:i/>
          <w:iCs/>
          <w:sz w:val="22"/>
          <w:szCs w:val="22"/>
        </w:rPr>
        <w:t> </w:t>
      </w:r>
      <w:r w:rsidRPr="00436A94">
        <w:rPr>
          <w:rFonts w:asciiTheme="minorHAnsi" w:hAnsiTheme="minorHAnsi" w:cstheme="minorHAnsi"/>
          <w:i/>
          <w:sz w:val="22"/>
          <w:szCs w:val="22"/>
        </w:rPr>
        <w:t>o produto de operações de credito autorizadas, em forma que juridicamente possibilite ao poder executivo realiza-las</w:t>
      </w:r>
      <w:r w:rsidRPr="00436A94">
        <w:rPr>
          <w:rFonts w:asciiTheme="minorHAnsi" w:hAnsiTheme="minorHAnsi" w:cstheme="minorHAnsi"/>
          <w:i/>
          <w:iCs/>
          <w:sz w:val="22"/>
          <w:szCs w:val="22"/>
        </w:rPr>
        <w:t>.</w:t>
      </w:r>
      <w:bookmarkStart w:id="7" w:name="art43§2"/>
      <w:bookmarkEnd w:id="7"/>
    </w:p>
    <w:p w:rsidR="00301BFA" w:rsidRPr="00436A94" w:rsidP="00646924">
      <w:pPr>
        <w:tabs>
          <w:tab w:val="left" w:pos="3420"/>
        </w:tabs>
        <w:spacing w:after="0" w:line="240" w:lineRule="auto"/>
        <w:ind w:left="2268"/>
        <w:jc w:val="both"/>
        <w:rPr>
          <w:rFonts w:asciiTheme="minorHAnsi" w:hAnsiTheme="minorHAnsi" w:cstheme="minorHAnsi"/>
          <w:i/>
          <w:sz w:val="22"/>
          <w:szCs w:val="22"/>
        </w:rPr>
      </w:pPr>
      <w:bookmarkStart w:id="8" w:name="art43§4"/>
      <w:bookmarkEnd w:id="8"/>
      <w:r w:rsidRPr="00436A94">
        <w:rPr>
          <w:rFonts w:asciiTheme="minorHAnsi" w:hAnsiTheme="minorHAnsi" w:cstheme="minorHAnsi"/>
          <w:i/>
          <w:sz w:val="22"/>
          <w:szCs w:val="22"/>
        </w:rPr>
        <w:t>(...)</w:t>
      </w:r>
    </w:p>
    <w:p w:rsidR="00301BFA" w:rsidRPr="00436A94" w:rsidP="00646924">
      <w:pPr>
        <w:pStyle w:val="BodyText"/>
        <w:spacing w:before="240" w:after="240" w:line="360" w:lineRule="auto"/>
        <w:ind w:firstLine="1701"/>
        <w:jc w:val="both"/>
        <w:rPr>
          <w:rFonts w:asciiTheme="minorHAnsi" w:hAnsiTheme="minorHAnsi" w:cstheme="minorHAnsi"/>
          <w:szCs w:val="24"/>
        </w:rPr>
      </w:pPr>
      <w:r w:rsidRPr="00436A94">
        <w:rPr>
          <w:rFonts w:asciiTheme="minorHAnsi" w:hAnsiTheme="minorHAnsi" w:cstheme="minorHAnsi"/>
          <w:szCs w:val="24"/>
        </w:rPr>
        <w:t xml:space="preserve">Em âmbito municipal cumpre mencionar a Lei nº 6.136, de 25 de agosto de 2021, que dispõe sobre diretrizes a serem observadas quanto </w:t>
      </w:r>
      <w:r w:rsidRPr="00436A94">
        <w:rPr>
          <w:rFonts w:asciiTheme="minorHAnsi" w:hAnsiTheme="minorHAnsi" w:cstheme="minorHAnsi"/>
          <w:szCs w:val="24"/>
        </w:rPr>
        <w:t>a</w:t>
      </w:r>
      <w:r w:rsidRPr="00436A94">
        <w:rPr>
          <w:rFonts w:asciiTheme="minorHAnsi" w:hAnsiTheme="minorHAnsi" w:cstheme="minorHAnsi"/>
          <w:szCs w:val="24"/>
        </w:rPr>
        <w:t xml:space="preserve"> autorização para abertura de crédito adicional especial e/ou suplementar, que assim estabelece:</w:t>
      </w:r>
    </w:p>
    <w:p w:rsidR="00301BFA" w:rsidRPr="00436A94" w:rsidP="00F73368">
      <w:pPr>
        <w:pStyle w:val="BodyText"/>
        <w:spacing w:after="0" w:line="240" w:lineRule="auto"/>
        <w:ind w:left="2268"/>
        <w:jc w:val="both"/>
        <w:rPr>
          <w:rFonts w:asciiTheme="minorHAnsi" w:hAnsiTheme="minorHAnsi" w:cstheme="minorHAnsi"/>
          <w:i/>
          <w:sz w:val="22"/>
          <w:szCs w:val="22"/>
        </w:rPr>
      </w:pPr>
      <w:r w:rsidRPr="00436A94">
        <w:rPr>
          <w:rFonts w:asciiTheme="minorHAnsi" w:hAnsiTheme="minorHAnsi" w:cstheme="minorHAnsi"/>
          <w:b/>
          <w:i/>
          <w:sz w:val="22"/>
          <w:szCs w:val="22"/>
        </w:rPr>
        <w:t>Art. 1°</w:t>
      </w:r>
      <w:r w:rsidRPr="00436A94">
        <w:rPr>
          <w:rFonts w:asciiTheme="minorHAnsi" w:hAnsiTheme="minorHAnsi" w:cstheme="minorHAnsi"/>
          <w:i/>
          <w:sz w:val="22"/>
          <w:szCs w:val="22"/>
        </w:rPr>
        <w:t xml:space="preserve"> Para a consecução dos objetivos previstos nesta Lei, o Poder Executivo se obriga a instruir os projetos que versem sobre autorização para abertura de crédito adicional especial e/ou suplementar, com os seguintes documentos: </w:t>
      </w:r>
    </w:p>
    <w:p w:rsidR="00301BFA" w:rsidRPr="00436A94" w:rsidP="00F73368">
      <w:pPr>
        <w:pStyle w:val="BodyText"/>
        <w:spacing w:after="0" w:line="240" w:lineRule="auto"/>
        <w:ind w:left="2268"/>
        <w:jc w:val="both"/>
        <w:rPr>
          <w:rFonts w:asciiTheme="minorHAnsi" w:hAnsiTheme="minorHAnsi" w:cstheme="minorHAnsi"/>
          <w:i/>
          <w:sz w:val="22"/>
          <w:szCs w:val="22"/>
        </w:rPr>
      </w:pPr>
      <w:r w:rsidRPr="00436A94">
        <w:rPr>
          <w:rFonts w:asciiTheme="minorHAnsi" w:hAnsiTheme="minorHAnsi" w:cstheme="minorHAnsi"/>
          <w:i/>
          <w:sz w:val="22"/>
          <w:szCs w:val="22"/>
        </w:rPr>
        <w:t xml:space="preserve">I - exposição justificada e detalhada; </w:t>
      </w:r>
    </w:p>
    <w:p w:rsidR="00301BFA" w:rsidRPr="00436A94" w:rsidP="00F73368">
      <w:pPr>
        <w:pStyle w:val="BodyText"/>
        <w:spacing w:after="0" w:line="240" w:lineRule="auto"/>
        <w:ind w:left="2268"/>
        <w:jc w:val="both"/>
        <w:rPr>
          <w:rFonts w:asciiTheme="minorHAnsi" w:hAnsiTheme="minorHAnsi" w:cstheme="minorHAnsi"/>
          <w:i/>
          <w:sz w:val="22"/>
          <w:szCs w:val="22"/>
        </w:rPr>
      </w:pPr>
      <w:r w:rsidRPr="00436A94">
        <w:rPr>
          <w:rFonts w:asciiTheme="minorHAnsi" w:hAnsiTheme="minorHAnsi" w:cstheme="minorHAnsi"/>
          <w:i/>
          <w:sz w:val="22"/>
          <w:szCs w:val="22"/>
        </w:rPr>
        <w:t xml:space="preserve">II - especificar pormenorizadamente quais as dotações que estão sendo anuladas, bem como quais os valores retirados de cada dotação e sua respectiva destinação; </w:t>
      </w:r>
    </w:p>
    <w:p w:rsidR="00301BFA" w:rsidRPr="00436A94" w:rsidP="00F73368">
      <w:pPr>
        <w:pStyle w:val="BodyText"/>
        <w:spacing w:after="0" w:line="240" w:lineRule="auto"/>
        <w:ind w:left="2268"/>
        <w:jc w:val="both"/>
        <w:rPr>
          <w:rFonts w:asciiTheme="minorHAnsi" w:hAnsiTheme="minorHAnsi" w:cstheme="minorHAnsi"/>
          <w:i/>
          <w:sz w:val="22"/>
          <w:szCs w:val="22"/>
        </w:rPr>
      </w:pPr>
      <w:r w:rsidRPr="00436A94">
        <w:rPr>
          <w:rFonts w:asciiTheme="minorHAnsi" w:hAnsiTheme="minorHAnsi" w:cstheme="minorHAnsi"/>
          <w:i/>
          <w:sz w:val="22"/>
          <w:szCs w:val="22"/>
        </w:rPr>
        <w:t xml:space="preserve">III - especificação detalhada e comprovada acerca do superávit financeiro, quando houver; </w:t>
      </w:r>
      <w:r w:rsidRPr="00436A94">
        <w:rPr>
          <w:rFonts w:asciiTheme="minorHAnsi" w:hAnsiTheme="minorHAnsi" w:cstheme="minorHAnsi"/>
          <w:i/>
          <w:sz w:val="22"/>
          <w:szCs w:val="22"/>
        </w:rPr>
        <w:t>e</w:t>
      </w:r>
      <w:r w:rsidRPr="00436A94">
        <w:rPr>
          <w:rFonts w:asciiTheme="minorHAnsi" w:hAnsiTheme="minorHAnsi" w:cstheme="minorHAnsi"/>
          <w:i/>
          <w:sz w:val="22"/>
          <w:szCs w:val="22"/>
        </w:rPr>
        <w:t xml:space="preserve"> </w:t>
      </w:r>
    </w:p>
    <w:p w:rsidR="00301BFA" w:rsidRPr="00436A94" w:rsidP="00F73368">
      <w:pPr>
        <w:pStyle w:val="BodyText"/>
        <w:spacing w:after="0" w:line="240" w:lineRule="auto"/>
        <w:ind w:left="2268"/>
        <w:jc w:val="both"/>
        <w:rPr>
          <w:rFonts w:asciiTheme="minorHAnsi" w:hAnsiTheme="minorHAnsi" w:cstheme="minorHAnsi"/>
          <w:i/>
          <w:sz w:val="22"/>
          <w:szCs w:val="22"/>
        </w:rPr>
      </w:pPr>
      <w:r w:rsidRPr="00436A94">
        <w:rPr>
          <w:rFonts w:asciiTheme="minorHAnsi" w:hAnsiTheme="minorHAnsi" w:cstheme="minorHAnsi"/>
          <w:i/>
          <w:sz w:val="22"/>
          <w:szCs w:val="22"/>
        </w:rPr>
        <w:t xml:space="preserve">VI - especificação detalhada acerca do excesso de arrecadação. </w:t>
      </w:r>
    </w:p>
    <w:p w:rsidR="00301BFA" w:rsidRPr="00436A94" w:rsidP="00301BFA">
      <w:pPr>
        <w:pStyle w:val="BodyText"/>
        <w:spacing w:after="0" w:line="240" w:lineRule="auto"/>
        <w:ind w:left="2835"/>
        <w:jc w:val="both"/>
        <w:rPr>
          <w:rFonts w:asciiTheme="minorHAnsi" w:hAnsiTheme="minorHAnsi" w:cstheme="minorHAnsi"/>
          <w:i/>
          <w:sz w:val="12"/>
          <w:szCs w:val="12"/>
        </w:rPr>
      </w:pPr>
    </w:p>
    <w:p w:rsidR="00301BFA" w:rsidRPr="00436A94" w:rsidP="00301BFA">
      <w:pPr>
        <w:pStyle w:val="BodyText"/>
        <w:spacing w:after="0" w:line="240" w:lineRule="auto"/>
        <w:ind w:left="2835"/>
        <w:jc w:val="both"/>
        <w:rPr>
          <w:rFonts w:asciiTheme="minorHAnsi" w:hAnsiTheme="minorHAnsi" w:cstheme="minorHAnsi"/>
          <w:i/>
          <w:sz w:val="4"/>
          <w:szCs w:val="4"/>
        </w:rPr>
      </w:pPr>
    </w:p>
    <w:p w:rsidR="00646924" w:rsidP="00646924">
      <w:pPr>
        <w:pStyle w:val="BodyText"/>
        <w:spacing w:before="240" w:after="240" w:line="360" w:lineRule="auto"/>
        <w:ind w:firstLine="1701"/>
        <w:jc w:val="both"/>
        <w:rPr>
          <w:rFonts w:asciiTheme="minorHAnsi" w:hAnsiTheme="minorHAnsi" w:cstheme="minorHAnsi"/>
          <w:szCs w:val="24"/>
          <w:u w:val="single"/>
        </w:rPr>
      </w:pPr>
      <w:r w:rsidRPr="009D4D53">
        <w:rPr>
          <w:rFonts w:asciiTheme="minorHAnsi" w:hAnsiTheme="minorHAnsi" w:cstheme="minorHAnsi"/>
          <w:i/>
          <w:szCs w:val="24"/>
          <w:u w:val="single"/>
        </w:rPr>
        <w:t xml:space="preserve">In casu, </w:t>
      </w:r>
      <w:r w:rsidRPr="009D4D53">
        <w:rPr>
          <w:rFonts w:asciiTheme="minorHAnsi" w:hAnsiTheme="minorHAnsi" w:cstheme="minorHAnsi"/>
          <w:szCs w:val="24"/>
          <w:u w:val="single"/>
        </w:rPr>
        <w:t xml:space="preserve">observamos que </w:t>
      </w:r>
      <w:r w:rsidRPr="009D4D53">
        <w:rPr>
          <w:rFonts w:asciiTheme="minorHAnsi" w:hAnsiTheme="minorHAnsi" w:cstheme="minorHAnsi"/>
          <w:b/>
          <w:szCs w:val="24"/>
          <w:u w:val="single"/>
        </w:rPr>
        <w:t>não consta</w:t>
      </w:r>
      <w:r w:rsidRPr="009D4D53">
        <w:rPr>
          <w:rFonts w:asciiTheme="minorHAnsi" w:hAnsiTheme="minorHAnsi" w:cstheme="minorHAnsi"/>
          <w:szCs w:val="24"/>
          <w:u w:val="single"/>
        </w:rPr>
        <w:t xml:space="preserve"> do projeto</w:t>
      </w:r>
      <w:r w:rsidRPr="009D4D53" w:rsidR="00547F9D">
        <w:rPr>
          <w:rFonts w:asciiTheme="minorHAnsi" w:hAnsiTheme="minorHAnsi" w:cstheme="minorHAnsi"/>
          <w:szCs w:val="24"/>
          <w:u w:val="single"/>
        </w:rPr>
        <w:t xml:space="preserve"> </w:t>
      </w:r>
      <w:r w:rsidRPr="009D4D53">
        <w:rPr>
          <w:rFonts w:asciiTheme="minorHAnsi" w:hAnsiTheme="minorHAnsi" w:cstheme="minorHAnsi"/>
          <w:szCs w:val="24"/>
          <w:u w:val="single"/>
        </w:rPr>
        <w:t>a indicação</w:t>
      </w:r>
      <w:r w:rsidRPr="00436A94">
        <w:rPr>
          <w:rFonts w:asciiTheme="minorHAnsi" w:hAnsiTheme="minorHAnsi" w:cstheme="minorHAnsi"/>
          <w:szCs w:val="24"/>
          <w:u w:val="single"/>
        </w:rPr>
        <w:t xml:space="preserve"> dos recursos para cobertura do pretend</w:t>
      </w:r>
      <w:r w:rsidR="009D4D53">
        <w:rPr>
          <w:rFonts w:asciiTheme="minorHAnsi" w:hAnsiTheme="minorHAnsi" w:cstheme="minorHAnsi"/>
          <w:szCs w:val="24"/>
          <w:u w:val="single"/>
        </w:rPr>
        <w:t xml:space="preserve">ido crédito adicional especial </w:t>
      </w:r>
      <w:r w:rsidRPr="00436A94" w:rsidR="00547F9D">
        <w:rPr>
          <w:rFonts w:asciiTheme="minorHAnsi" w:hAnsiTheme="minorHAnsi" w:cstheme="minorHAnsi"/>
          <w:szCs w:val="24"/>
          <w:u w:val="single"/>
        </w:rPr>
        <w:t>violando</w:t>
      </w:r>
      <w:r w:rsidRPr="00436A94">
        <w:rPr>
          <w:rFonts w:asciiTheme="minorHAnsi" w:hAnsiTheme="minorHAnsi" w:cstheme="minorHAnsi"/>
          <w:szCs w:val="24"/>
          <w:u w:val="single"/>
        </w:rPr>
        <w:t xml:space="preserve"> o disposto no art. 1</w:t>
      </w:r>
      <w:r w:rsidRPr="00436A94" w:rsidR="00547F9D">
        <w:rPr>
          <w:rFonts w:asciiTheme="minorHAnsi" w:hAnsiTheme="minorHAnsi" w:cstheme="minorHAnsi"/>
          <w:szCs w:val="24"/>
          <w:u w:val="single"/>
        </w:rPr>
        <w:t>67</w:t>
      </w:r>
      <w:r w:rsidR="009D4D53">
        <w:rPr>
          <w:rFonts w:asciiTheme="minorHAnsi" w:hAnsiTheme="minorHAnsi" w:cstheme="minorHAnsi"/>
          <w:szCs w:val="24"/>
          <w:u w:val="single"/>
        </w:rPr>
        <w:t xml:space="preserve">, da CF, art. 176, </w:t>
      </w:r>
      <w:r w:rsidRPr="00436A94" w:rsidR="00547F9D">
        <w:rPr>
          <w:rFonts w:asciiTheme="minorHAnsi" w:hAnsiTheme="minorHAnsi" w:cstheme="minorHAnsi"/>
          <w:szCs w:val="24"/>
          <w:u w:val="single"/>
        </w:rPr>
        <w:t>da CE</w:t>
      </w:r>
      <w:r w:rsidRPr="00436A94" w:rsidR="00F73368">
        <w:rPr>
          <w:rFonts w:asciiTheme="minorHAnsi" w:hAnsiTheme="minorHAnsi" w:cstheme="minorHAnsi"/>
          <w:szCs w:val="24"/>
          <w:u w:val="single"/>
        </w:rPr>
        <w:t>,</w:t>
      </w:r>
      <w:r w:rsidRPr="00436A94" w:rsidR="00547F9D">
        <w:rPr>
          <w:rFonts w:asciiTheme="minorHAnsi" w:hAnsiTheme="minorHAnsi" w:cstheme="minorHAnsi"/>
          <w:szCs w:val="24"/>
          <w:u w:val="single"/>
        </w:rPr>
        <w:t xml:space="preserve"> art. </w:t>
      </w:r>
      <w:r w:rsidR="009D4D53">
        <w:rPr>
          <w:rFonts w:asciiTheme="minorHAnsi" w:hAnsiTheme="minorHAnsi" w:cstheme="minorHAnsi"/>
          <w:szCs w:val="24"/>
          <w:u w:val="single"/>
        </w:rPr>
        <w:t xml:space="preserve">43, </w:t>
      </w:r>
      <w:r w:rsidRPr="00436A94">
        <w:rPr>
          <w:rFonts w:asciiTheme="minorHAnsi" w:hAnsiTheme="minorHAnsi" w:cstheme="minorHAnsi"/>
          <w:szCs w:val="24"/>
          <w:u w:val="single"/>
        </w:rPr>
        <w:t>da Lei Federal nº 4.320/1964</w:t>
      </w:r>
      <w:r w:rsidRPr="00436A94" w:rsidR="00F73368">
        <w:rPr>
          <w:rFonts w:asciiTheme="minorHAnsi" w:hAnsiTheme="minorHAnsi" w:cstheme="minorHAnsi"/>
          <w:szCs w:val="24"/>
          <w:u w:val="single"/>
        </w:rPr>
        <w:t xml:space="preserve"> e art. 1º</w:t>
      </w:r>
      <w:r w:rsidR="009D4D53">
        <w:rPr>
          <w:rFonts w:asciiTheme="minorHAnsi" w:hAnsiTheme="minorHAnsi" w:cstheme="minorHAnsi"/>
          <w:szCs w:val="24"/>
          <w:u w:val="single"/>
        </w:rPr>
        <w:t>,</w:t>
      </w:r>
      <w:r w:rsidRPr="00436A94" w:rsidR="00F73368">
        <w:rPr>
          <w:rFonts w:asciiTheme="minorHAnsi" w:hAnsiTheme="minorHAnsi" w:cstheme="minorHAnsi"/>
          <w:szCs w:val="24"/>
          <w:u w:val="single"/>
        </w:rPr>
        <w:t xml:space="preserve"> da LM 6.136/2021</w:t>
      </w:r>
      <w:r w:rsidRPr="00436A94">
        <w:rPr>
          <w:rFonts w:asciiTheme="minorHAnsi" w:hAnsiTheme="minorHAnsi" w:cstheme="minorHAnsi"/>
          <w:szCs w:val="24"/>
          <w:u w:val="single"/>
        </w:rPr>
        <w:t>.</w:t>
      </w:r>
    </w:p>
    <w:p w:rsidR="00436A94" w:rsidRPr="00AD36D4" w:rsidP="00436A94">
      <w:pPr>
        <w:pStyle w:val="NormalWeb"/>
        <w:spacing w:line="360" w:lineRule="auto"/>
        <w:ind w:firstLine="1701"/>
        <w:jc w:val="both"/>
        <w:rPr>
          <w:rFonts w:asciiTheme="minorHAnsi" w:hAnsiTheme="minorHAnsi" w:cstheme="minorHAnsi"/>
        </w:rPr>
      </w:pPr>
      <w:r w:rsidRPr="002249E9">
        <w:rPr>
          <w:rFonts w:asciiTheme="minorHAnsi" w:hAnsiTheme="minorHAnsi" w:cstheme="minorHAnsi"/>
        </w:rPr>
        <w:t>Por fim, no que tange à forma o projeto atende aos preceitos da Lei Complementar nº 95/98 que dispõe sobre a elaboração, a redação, a alteração e a consolidação das leis, conforme determina o parágrafo único do art. 59 da Constituição Federal e estabelece normas para a consolidação dos atos normativos que menciona.</w:t>
      </w:r>
    </w:p>
    <w:p w:rsidR="00703833" w:rsidRPr="00436A94" w:rsidP="00703833">
      <w:pPr>
        <w:pStyle w:val="BodyText"/>
        <w:spacing w:after="240" w:line="360" w:lineRule="auto"/>
        <w:ind w:firstLine="1701"/>
        <w:jc w:val="both"/>
        <w:rPr>
          <w:rFonts w:ascii="Calibri" w:hAnsi="Calibri" w:cs="Calibri"/>
          <w:szCs w:val="24"/>
        </w:rPr>
      </w:pPr>
      <w:r w:rsidRPr="00F71C32">
        <w:rPr>
          <w:rFonts w:ascii="Calibri" w:hAnsi="Calibri" w:cs="Calibri"/>
          <w:szCs w:val="24"/>
        </w:rPr>
        <w:t xml:space="preserve">Ante </w:t>
      </w:r>
      <w:r w:rsidRPr="00F71C32" w:rsidR="009966F0">
        <w:rPr>
          <w:rFonts w:ascii="Calibri" w:hAnsi="Calibri" w:cs="Calibri"/>
          <w:szCs w:val="24"/>
        </w:rPr>
        <w:t xml:space="preserve">todo </w:t>
      </w:r>
      <w:r w:rsidRPr="00F71C32">
        <w:rPr>
          <w:rFonts w:ascii="Calibri" w:hAnsi="Calibri" w:cs="Calibri"/>
          <w:szCs w:val="24"/>
        </w:rPr>
        <w:t xml:space="preserve">o exposto, </w:t>
      </w:r>
      <w:r w:rsidRPr="00436A94" w:rsidR="00F0113D">
        <w:rPr>
          <w:rFonts w:ascii="Calibri" w:hAnsi="Calibri" w:cs="Calibri"/>
          <w:szCs w:val="24"/>
        </w:rPr>
        <w:t>consoante os fundamentos acima articulados baseados no posicionamento jurisprudencial</w:t>
      </w:r>
      <w:r w:rsidR="00F0113D">
        <w:rPr>
          <w:rFonts w:ascii="Calibri" w:hAnsi="Calibri" w:cs="Calibri"/>
          <w:szCs w:val="24"/>
        </w:rPr>
        <w:t xml:space="preserve">, </w:t>
      </w:r>
      <w:r w:rsidRPr="00436A94" w:rsidR="00BE358E">
        <w:rPr>
          <w:rFonts w:ascii="Calibri" w:hAnsi="Calibri" w:cs="Calibri"/>
          <w:szCs w:val="24"/>
        </w:rPr>
        <w:t xml:space="preserve">conclui-se que o projeto </w:t>
      </w:r>
      <w:r w:rsidRPr="00436A94" w:rsidR="00BE358E">
        <w:rPr>
          <w:rFonts w:ascii="Calibri" w:hAnsi="Calibri" w:cs="Calibri"/>
          <w:b/>
          <w:szCs w:val="24"/>
        </w:rPr>
        <w:t xml:space="preserve">poderá </w:t>
      </w:r>
      <w:r w:rsidRPr="00436A94" w:rsidR="00BE358E">
        <w:rPr>
          <w:rFonts w:ascii="Calibri" w:hAnsi="Calibri" w:cs="Calibri"/>
          <w:szCs w:val="24"/>
        </w:rPr>
        <w:t>reunir condições de constitucionalidade, desde que observados os procedimentos</w:t>
      </w:r>
      <w:r w:rsidRPr="00436A94" w:rsidR="00444ACD">
        <w:rPr>
          <w:rFonts w:ascii="Calibri" w:hAnsi="Calibri" w:cs="Calibri"/>
          <w:szCs w:val="24"/>
        </w:rPr>
        <w:t xml:space="preserve"> formais em matéria </w:t>
      </w:r>
      <w:r w:rsidRPr="00436A94" w:rsidR="00444ACD">
        <w:rPr>
          <w:rFonts w:ascii="Calibri" w:hAnsi="Calibri" w:cs="Calibri"/>
          <w:szCs w:val="24"/>
        </w:rPr>
        <w:t>urbanística</w:t>
      </w:r>
      <w:r w:rsidRPr="00436A94" w:rsidR="00BE358E">
        <w:rPr>
          <w:rFonts w:ascii="Calibri" w:hAnsi="Calibri" w:cs="Calibri"/>
          <w:szCs w:val="24"/>
        </w:rPr>
        <w:t xml:space="preserve"> estabelecidos </w:t>
      </w:r>
      <w:r w:rsidRPr="00436A94" w:rsidR="00692544">
        <w:rPr>
          <w:rFonts w:ascii="Calibri" w:hAnsi="Calibri" w:cs="Calibri"/>
          <w:szCs w:val="24"/>
        </w:rPr>
        <w:t>pela</w:t>
      </w:r>
      <w:r w:rsidR="00F0113D">
        <w:rPr>
          <w:rFonts w:ascii="Calibri" w:hAnsi="Calibri" w:cs="Calibri"/>
          <w:szCs w:val="24"/>
        </w:rPr>
        <w:t xml:space="preserve"> Constituição Estadual</w:t>
      </w:r>
      <w:r w:rsidR="00F0113D">
        <w:rPr>
          <w:rFonts w:ascii="Calibri" w:hAnsi="Calibri" w:cs="Calibri"/>
          <w:szCs w:val="24"/>
        </w:rPr>
        <w:t>.</w:t>
      </w:r>
      <w:r w:rsidRPr="00436A94" w:rsidR="00BE358E">
        <w:rPr>
          <w:rFonts w:ascii="Calibri" w:hAnsi="Calibri" w:cs="Calibri"/>
          <w:szCs w:val="24"/>
        </w:rPr>
        <w:t xml:space="preserve"> </w:t>
      </w:r>
      <w:r w:rsidRPr="00436A94" w:rsidR="00900276">
        <w:rPr>
          <w:rFonts w:ascii="Calibri" w:hAnsi="Calibri" w:cs="Calibri"/>
          <w:szCs w:val="24"/>
        </w:rPr>
        <w:t>Sobeja</w:t>
      </w:r>
      <w:r w:rsidRPr="00436A94" w:rsidR="00DD5BF1">
        <w:rPr>
          <w:rFonts w:ascii="Calibri" w:hAnsi="Calibri" w:cs="Calibri"/>
          <w:szCs w:val="24"/>
        </w:rPr>
        <w:t>,</w:t>
      </w:r>
      <w:r w:rsidRPr="00436A94" w:rsidR="00900276">
        <w:rPr>
          <w:rFonts w:ascii="Calibri" w:hAnsi="Calibri" w:cs="Calibri"/>
          <w:szCs w:val="24"/>
        </w:rPr>
        <w:t xml:space="preserve"> </w:t>
      </w:r>
      <w:r w:rsidRPr="00436A94" w:rsidR="00122EE6">
        <w:rPr>
          <w:rFonts w:ascii="Calibri" w:hAnsi="Calibri" w:cs="Calibri"/>
          <w:szCs w:val="24"/>
        </w:rPr>
        <w:t>ainda</w:t>
      </w:r>
      <w:r w:rsidRPr="00436A94" w:rsidR="00DD5BF1">
        <w:rPr>
          <w:rFonts w:ascii="Calibri" w:hAnsi="Calibri" w:cs="Calibri"/>
          <w:szCs w:val="24"/>
        </w:rPr>
        <w:t>,</w:t>
      </w:r>
      <w:r w:rsidRPr="00436A94" w:rsidR="00122EE6">
        <w:rPr>
          <w:rFonts w:ascii="Calibri" w:hAnsi="Calibri" w:cs="Calibri"/>
          <w:szCs w:val="24"/>
        </w:rPr>
        <w:t xml:space="preserve"> ressalva quanto à necessidade</w:t>
      </w:r>
      <w:r w:rsidRPr="00436A94" w:rsidR="00436A94">
        <w:rPr>
          <w:rFonts w:ascii="Calibri" w:hAnsi="Calibri" w:cs="Calibri"/>
          <w:szCs w:val="24"/>
        </w:rPr>
        <w:t xml:space="preserve"> de indicação dos recursos para cobertura do pretendido crédito adicional especial, consoante </w:t>
      </w:r>
      <w:r w:rsidR="00F1177C">
        <w:rPr>
          <w:rFonts w:ascii="Calibri" w:hAnsi="Calibri" w:cs="Calibri"/>
          <w:szCs w:val="24"/>
        </w:rPr>
        <w:t>dispositivos constitucionais e legais supracitadas</w:t>
      </w:r>
      <w:r w:rsidRPr="00436A94" w:rsidR="00436A94">
        <w:rPr>
          <w:rFonts w:ascii="Calibri" w:hAnsi="Calibri" w:cs="Calibri"/>
          <w:szCs w:val="24"/>
        </w:rPr>
        <w:t>.</w:t>
      </w:r>
      <w:r w:rsidRPr="00436A94" w:rsidR="00F71C32">
        <w:rPr>
          <w:rFonts w:ascii="Calibri" w:hAnsi="Calibri" w:cs="Calibri"/>
          <w:szCs w:val="24"/>
        </w:rPr>
        <w:t xml:space="preserve"> </w:t>
      </w:r>
      <w:r w:rsidRPr="00436A94" w:rsidR="00E41567">
        <w:rPr>
          <w:rFonts w:ascii="Calibri" w:hAnsi="Calibri" w:cs="Calibri"/>
          <w:szCs w:val="24"/>
        </w:rPr>
        <w:t xml:space="preserve"> </w:t>
      </w:r>
      <w:r w:rsidRPr="00436A94" w:rsidR="003E6731">
        <w:rPr>
          <w:rFonts w:ascii="Calibri" w:hAnsi="Calibri" w:cs="Calibri"/>
          <w:szCs w:val="24"/>
        </w:rPr>
        <w:t>No exame do mérito</w:t>
      </w:r>
      <w:r w:rsidRPr="00436A94">
        <w:rPr>
          <w:rFonts w:ascii="Calibri" w:hAnsi="Calibri" w:cs="Calibri"/>
          <w:szCs w:val="24"/>
        </w:rPr>
        <w:t>, o Plenário é soberano.</w:t>
      </w:r>
    </w:p>
    <w:p w:rsidR="00244DC5" w:rsidRPr="00244DC5" w:rsidP="00244DC5">
      <w:pPr>
        <w:spacing w:before="240" w:after="240" w:line="360" w:lineRule="auto"/>
        <w:ind w:firstLine="1701"/>
        <w:jc w:val="both"/>
        <w:rPr>
          <w:rFonts w:asciiTheme="minorHAnsi" w:hAnsiTheme="minorHAnsi" w:cstheme="minorHAnsi"/>
          <w:szCs w:val="24"/>
        </w:rPr>
      </w:pPr>
      <w:r w:rsidRPr="00244DC5">
        <w:rPr>
          <w:rFonts w:asciiTheme="minorHAnsi" w:hAnsiTheme="minorHAnsi" w:cstheme="minorHAnsi"/>
          <w:szCs w:val="24"/>
        </w:rPr>
        <w:t>É o parecer, a superior consideração.</w:t>
      </w:r>
    </w:p>
    <w:p w:rsidR="00244DC5" w:rsidRPr="00C81E2E" w:rsidP="00244DC5">
      <w:pPr>
        <w:spacing w:after="0" w:line="360" w:lineRule="auto"/>
        <w:ind w:firstLine="1701"/>
        <w:jc w:val="both"/>
        <w:rPr>
          <w:rFonts w:ascii="Calibri" w:hAnsi="Calibri" w:cs="Tahoma"/>
          <w:iCs/>
          <w:color w:val="FF0000"/>
          <w:szCs w:val="24"/>
        </w:rPr>
      </w:pPr>
      <w:r w:rsidRPr="00F71C32">
        <w:rPr>
          <w:rFonts w:ascii="Calibri" w:hAnsi="Calibri" w:cs="Tahoma"/>
          <w:iCs/>
          <w:szCs w:val="24"/>
        </w:rPr>
        <w:t xml:space="preserve">Procuradoria, aos </w:t>
      </w:r>
      <w:r w:rsidR="006256F4">
        <w:rPr>
          <w:rFonts w:ascii="Calibri" w:hAnsi="Calibri" w:cs="Tahoma"/>
          <w:iCs/>
          <w:szCs w:val="24"/>
        </w:rPr>
        <w:t>02</w:t>
      </w:r>
      <w:r w:rsidRPr="00436A94">
        <w:rPr>
          <w:rFonts w:ascii="Calibri" w:hAnsi="Calibri" w:cs="Tahoma"/>
          <w:iCs/>
          <w:szCs w:val="24"/>
        </w:rPr>
        <w:t xml:space="preserve"> de </w:t>
      </w:r>
      <w:r w:rsidR="006256F4">
        <w:rPr>
          <w:rFonts w:ascii="Calibri" w:hAnsi="Calibri" w:cs="Tahoma"/>
          <w:iCs/>
          <w:szCs w:val="24"/>
        </w:rPr>
        <w:t>maio</w:t>
      </w:r>
      <w:bookmarkStart w:id="9" w:name="_GoBack"/>
      <w:bookmarkEnd w:id="9"/>
      <w:r w:rsidRPr="00436A94">
        <w:rPr>
          <w:rFonts w:ascii="Calibri" w:hAnsi="Calibri" w:cs="Tahoma"/>
          <w:iCs/>
          <w:szCs w:val="24"/>
        </w:rPr>
        <w:t xml:space="preserve"> </w:t>
      </w:r>
      <w:r w:rsidRPr="00436A94">
        <w:rPr>
          <w:rFonts w:ascii="Calibri" w:hAnsi="Calibri" w:cs="Tahoma"/>
          <w:iCs/>
          <w:szCs w:val="24"/>
        </w:rPr>
        <w:t>de</w:t>
      </w:r>
      <w:r w:rsidRPr="00436A94">
        <w:rPr>
          <w:rFonts w:ascii="Calibri" w:hAnsi="Calibri" w:cs="Tahoma"/>
          <w:iCs/>
          <w:szCs w:val="24"/>
        </w:rPr>
        <w:t xml:space="preserve"> 2024.</w:t>
      </w:r>
    </w:p>
    <w:p w:rsidR="00244DC5" w:rsidP="00244DC5">
      <w:pPr>
        <w:tabs>
          <w:tab w:val="left" w:pos="5130"/>
        </w:tabs>
        <w:spacing w:after="0" w:line="360" w:lineRule="auto"/>
        <w:rPr>
          <w:rFonts w:asciiTheme="minorHAnsi" w:hAnsiTheme="minorHAnsi" w:cstheme="minorHAnsi"/>
          <w:color w:val="FF0000"/>
        </w:rPr>
      </w:pPr>
    </w:p>
    <w:p w:rsidR="00326E56" w:rsidP="00244DC5">
      <w:pPr>
        <w:tabs>
          <w:tab w:val="left" w:pos="5130"/>
        </w:tabs>
        <w:spacing w:after="0" w:line="360" w:lineRule="auto"/>
        <w:rPr>
          <w:rFonts w:asciiTheme="minorHAnsi" w:hAnsiTheme="minorHAnsi" w:cstheme="minorHAnsi"/>
          <w:color w:val="FF0000"/>
        </w:rPr>
      </w:pPr>
    </w:p>
    <w:p w:rsidR="00244DC5" w:rsidRPr="00244DC5" w:rsidP="00244DC5">
      <w:pPr>
        <w:spacing w:after="0" w:line="240" w:lineRule="auto"/>
        <w:rPr>
          <w:rFonts w:ascii="Calibri" w:hAnsi="Calibri" w:cs="Calibri"/>
          <w:szCs w:val="24"/>
        </w:rPr>
      </w:pPr>
      <w:r w:rsidRPr="00244DC5">
        <w:rPr>
          <w:rFonts w:ascii="Calibri" w:hAnsi="Calibri" w:cs="Calibri"/>
          <w:b/>
          <w:szCs w:val="24"/>
        </w:rPr>
        <w:t xml:space="preserve">Rosemeire de Souza Cardoso Barbosa                            </w:t>
      </w:r>
      <w:r w:rsidR="000F6132">
        <w:rPr>
          <w:rFonts w:ascii="Calibri" w:hAnsi="Calibri" w:cs="Calibri"/>
          <w:b/>
          <w:szCs w:val="24"/>
        </w:rPr>
        <w:t xml:space="preserve">      </w:t>
      </w:r>
      <w:r w:rsidRPr="00244DC5">
        <w:rPr>
          <w:rFonts w:ascii="Calibri" w:hAnsi="Calibri" w:cs="Calibri"/>
          <w:b/>
          <w:szCs w:val="24"/>
        </w:rPr>
        <w:t>Tiago Fadel Malghosian</w:t>
      </w:r>
    </w:p>
    <w:p w:rsidR="00244DC5" w:rsidRPr="00244DC5" w:rsidP="00244DC5">
      <w:pPr>
        <w:tabs>
          <w:tab w:val="left" w:pos="2880"/>
        </w:tabs>
        <w:spacing w:after="0" w:line="240" w:lineRule="auto"/>
        <w:rPr>
          <w:rFonts w:ascii="Calibri" w:hAnsi="Calibri" w:cs="Calibri"/>
          <w:b/>
          <w:szCs w:val="24"/>
        </w:rPr>
      </w:pPr>
      <w:r w:rsidRPr="00244DC5">
        <w:rPr>
          <w:rFonts w:ascii="Calibri" w:hAnsi="Calibri" w:cs="Calibri"/>
          <w:b/>
          <w:szCs w:val="24"/>
        </w:rPr>
        <w:t xml:space="preserve">     Procuradora - OAB/SP 308.298                               </w:t>
      </w:r>
      <w:r w:rsidR="000F6132">
        <w:rPr>
          <w:rFonts w:ascii="Calibri" w:hAnsi="Calibri" w:cs="Calibri"/>
          <w:b/>
          <w:szCs w:val="24"/>
        </w:rPr>
        <w:t xml:space="preserve">     </w:t>
      </w:r>
      <w:r w:rsidRPr="00244DC5">
        <w:rPr>
          <w:rFonts w:ascii="Calibri" w:hAnsi="Calibri" w:cs="Calibri"/>
          <w:b/>
          <w:szCs w:val="24"/>
        </w:rPr>
        <w:t>Procurador - OAB/SP 319.159</w:t>
      </w:r>
    </w:p>
    <w:p w:rsidR="00252ADC" w:rsidRPr="00595C1B" w:rsidP="00F0630F">
      <w:pPr>
        <w:spacing w:after="0" w:line="240" w:lineRule="auto"/>
        <w:rPr>
          <w:rFonts w:ascii="Calibri" w:hAnsi="Calibri" w:cs="Calibri"/>
          <w:color w:val="FF0000"/>
        </w:rPr>
      </w:pPr>
      <w:r w:rsidRPr="00244DC5">
        <w:rPr>
          <w:rFonts w:ascii="Calibri" w:hAnsi="Calibri" w:cs="Calibri"/>
          <w:szCs w:val="24"/>
        </w:rPr>
        <w:t xml:space="preserve">             Assinatura eletrônica                                               </w:t>
      </w:r>
      <w:r w:rsidR="000F6132">
        <w:rPr>
          <w:rFonts w:ascii="Calibri" w:hAnsi="Calibri" w:cs="Calibri"/>
          <w:szCs w:val="24"/>
        </w:rPr>
        <w:t xml:space="preserve">       </w:t>
      </w:r>
      <w:r w:rsidRPr="00244DC5">
        <w:rPr>
          <w:rFonts w:ascii="Calibri" w:hAnsi="Calibri" w:cs="Calibri"/>
          <w:szCs w:val="24"/>
        </w:rPr>
        <w:t>Assinatura eletrônica</w:t>
      </w:r>
    </w:p>
    <w:sectPr w:rsidSect="00326E56">
      <w:headerReference w:type="default" r:id="rId6"/>
      <w:footerReference w:type="default" r:id="rId7"/>
      <w:type w:val="continuous"/>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2B5F03" w:rsidP="00FC3987">
            <w:pPr>
              <w:pStyle w:val="Footer"/>
              <w:jc w:val="right"/>
            </w:pPr>
          </w:p>
          <w:p w:rsidR="002B5F03" w:rsidP="000F6284">
            <w:pPr>
              <w:pStyle w:val="Footer"/>
              <w:ind w:right="-313"/>
              <w:jc w:val="center"/>
              <w:rPr>
                <w:sz w:val="18"/>
                <w:lang w:val="pt-PT"/>
              </w:rPr>
            </w:pPr>
            <w:r>
              <w:rPr>
                <w:sz w:val="18"/>
                <w:lang w:val="pt-PT"/>
              </w:rPr>
              <w:t>________________________________________________________________________________________</w:t>
            </w:r>
          </w:p>
          <w:p w:rsidR="002B5F03" w:rsidP="000F6284">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2B5F03" w:rsidP="000F6284">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2B5F03" w:rsidP="000F6284">
            <w:pPr>
              <w:pStyle w:val="Footer"/>
              <w:ind w:left="-1985" w:right="-313"/>
              <w:jc w:val="center"/>
            </w:pPr>
          </w:p>
          <w:p w:rsidR="002B5F03" w:rsidP="00FC3987">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6256F4">
              <w:rPr>
                <w:b/>
                <w:bCs/>
                <w:noProof/>
                <w:sz w:val="18"/>
                <w:szCs w:val="18"/>
              </w:rPr>
              <w:t>15</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6256F4">
              <w:rPr>
                <w:b/>
                <w:bCs/>
                <w:noProof/>
                <w:sz w:val="18"/>
                <w:szCs w:val="18"/>
              </w:rPr>
              <w:t>15</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B5F03">
      <w:pPr>
        <w:spacing w:after="0" w:line="240" w:lineRule="auto"/>
      </w:pPr>
      <w:r>
        <w:separator/>
      </w:r>
    </w:p>
  </w:footnote>
  <w:footnote w:type="continuationSeparator" w:id="1">
    <w:p w:rsidR="002B5F03">
      <w:pPr>
        <w:spacing w:after="0" w:line="240" w:lineRule="auto"/>
      </w:pPr>
      <w:r>
        <w:continuationSeparator/>
      </w:r>
    </w:p>
  </w:footnote>
  <w:footnote w:id="2">
    <w:p w:rsidR="00DB65C8" w:rsidRPr="00DB65C8" w:rsidP="00DB65C8">
      <w:pPr>
        <w:pStyle w:val="FootnoteText"/>
        <w:jc w:val="both"/>
        <w:rPr>
          <w:rFonts w:asciiTheme="minorHAnsi" w:hAnsiTheme="minorHAnsi"/>
        </w:rPr>
      </w:pPr>
      <w:r w:rsidRPr="00DB65C8">
        <w:rPr>
          <w:rStyle w:val="FootnoteReference"/>
          <w:rFonts w:asciiTheme="minorHAnsi" w:hAnsiTheme="minorHAnsi"/>
        </w:rPr>
        <w:footnoteRef/>
      </w:r>
      <w:r w:rsidRPr="00DB65C8">
        <w:rPr>
          <w:rFonts w:asciiTheme="minorHAnsi" w:hAnsiTheme="minorHAnsi"/>
        </w:rPr>
        <w:t xml:space="preserve"> “</w:t>
      </w:r>
      <w:r w:rsidRPr="00DB65C8">
        <w:rPr>
          <w:rFonts w:asciiTheme="minorHAnsi" w:hAnsiTheme="minorHAnsi"/>
          <w:i/>
          <w:iCs/>
        </w:rPr>
        <w:t>Art. 38. Compete à Comissão de Justiça e Redação manifestar-se sobre todos os assuntos entregues</w:t>
      </w:r>
      <w:r>
        <w:rPr>
          <w:rFonts w:asciiTheme="minorHAnsi" w:hAnsiTheme="minorHAnsi"/>
          <w:i/>
          <w:iCs/>
        </w:rPr>
        <w:t xml:space="preserve"> </w:t>
      </w:r>
      <w:r w:rsidRPr="00DB65C8">
        <w:rPr>
          <w:rFonts w:asciiTheme="minorHAnsi" w:hAnsiTheme="minorHAnsi"/>
          <w:i/>
          <w:iCs/>
        </w:rPr>
        <w:t>à sua apreciação, quanto ao seu aspecto constitucional, legal ou jurídico e quanto ao seu aspecto gramatical e lógico, quando solicitado o seu parecer por imposição regimental ou deliberação de um terço dos Vereadores da Câmara. § 1º É</w:t>
      </w:r>
      <w:r w:rsidRPr="00DB65C8">
        <w:rPr>
          <w:rFonts w:asciiTheme="minorHAnsi" w:hAnsiTheme="minorHAnsi"/>
          <w:i/>
          <w:iCs/>
        </w:rPr>
        <w:t xml:space="preserve">  </w:t>
      </w:r>
      <w:r w:rsidRPr="00DB65C8">
        <w:rPr>
          <w:rFonts w:asciiTheme="minorHAnsi" w:hAnsiTheme="minorHAnsi"/>
          <w:i/>
          <w:iCs/>
        </w:rPr>
        <w:t>obrigatória  a  audiência  da  Comissão  sobre  todos  os  projetos  que  tramitem  pela  Câmara, ressalvados os que explicitamente tiverem outro destino por este Regimento. § 2º Concluindo a Comissão de Justiça e Redação  pela  ilegalidade  ou  inconstitucionalidade  de  um projeto,  deve  o  parecer  vir  a  plenário  para  ser  discutido  e  somente  quando  rejeitado  prosseguirá  o processo</w:t>
      </w:r>
      <w:r w:rsidRPr="00DB65C8">
        <w:rPr>
          <w:rFonts w:asciiTheme="minorHAnsi" w:hAnsiTheme="minorHAnsi"/>
        </w:rPr>
        <w:t>.”</w:t>
      </w:r>
    </w:p>
  </w:footnote>
  <w:footnote w:id="3">
    <w:p w:rsidR="00DB65C8" w:rsidRPr="00DB65C8" w:rsidP="00DB65C8">
      <w:pPr>
        <w:spacing w:after="120" w:line="240" w:lineRule="auto"/>
        <w:jc w:val="both"/>
        <w:rPr>
          <w:rFonts w:asciiTheme="minorHAnsi" w:hAnsiTheme="minorHAnsi"/>
        </w:rPr>
      </w:pPr>
      <w:r w:rsidRPr="00DB65C8">
        <w:rPr>
          <w:rStyle w:val="FootnoteReference"/>
          <w:rFonts w:asciiTheme="minorHAnsi" w:hAnsiTheme="minorHAnsi"/>
        </w:rPr>
        <w:footnoteRef/>
      </w:r>
      <w:r w:rsidRPr="00DB65C8">
        <w:rPr>
          <w:rFonts w:asciiTheme="minorHAnsi" w:hAnsiTheme="minorHAnsi"/>
        </w:rPr>
        <w:t xml:space="preserve"> </w:t>
      </w:r>
      <w:r w:rsidRPr="00DB65C8">
        <w:rPr>
          <w:rFonts w:asciiTheme="minorHAnsi" w:hAnsiTheme="minorHAnsi" w:cstheme="minorHAnsi"/>
          <w:sz w:val="20"/>
        </w:rPr>
        <w:t xml:space="preserve">Nesse sentido é o entendimento do Supremo Tribunal Federal: </w:t>
      </w:r>
      <w:r w:rsidRPr="00DB65C8">
        <w:rPr>
          <w:rFonts w:asciiTheme="minorHAnsi" w:hAnsiTheme="minorHAnsi" w:cstheme="minorHAnsi"/>
          <w:i/>
          <w:sz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DB65C8">
        <w:rPr>
          <w:rFonts w:asciiTheme="minorHAnsi" w:hAnsiTheme="minorHAnsi" w:cstheme="minorHAnsi"/>
          <w:i/>
          <w:sz w:val="20"/>
        </w:rPr>
        <w:t>exoficio</w:t>
      </w:r>
      <w:r w:rsidRPr="00DB65C8">
        <w:rPr>
          <w:rFonts w:asciiTheme="minorHAnsi" w:hAnsiTheme="minorHAnsi" w:cstheme="minorHAnsi"/>
          <w:i/>
          <w:sz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w:t>
      </w:r>
      <w:r w:rsidRPr="00DB65C8">
        <w:rPr>
          <w:rFonts w:asciiTheme="minorHAnsi" w:hAnsiTheme="minorHAnsi" w:cstheme="minorHAnsi"/>
          <w:i/>
          <w:sz w:val="20"/>
        </w:rPr>
        <w:t>)</w:t>
      </w:r>
      <w:r w:rsidRPr="00DB65C8">
        <w:rPr>
          <w:rFonts w:asciiTheme="minorHAnsi" w:hAnsiTheme="minorHAnsi" w:cstheme="minorHAnsi"/>
          <w:i/>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5F03" w:rsidP="000F6284">
    <w:pPr>
      <w:pStyle w:val="Header"/>
      <w:jc w:val="center"/>
      <w:rPr>
        <w:b/>
        <w:sz w:val="26"/>
        <w:lang w:val="pt-PT"/>
      </w:rPr>
    </w:pPr>
  </w:p>
  <w:p w:rsidR="002B5F03" w:rsidP="000F6284">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B5F03" w:rsidP="000F6284">
                          <w:r>
                            <w:rPr>
                              <w:noProof/>
                            </w:rPr>
                            <w:drawing>
                              <wp:inline distT="0" distB="0" distL="0" distR="0">
                                <wp:extent cx="876300" cy="850900"/>
                                <wp:effectExtent l="19050" t="0" r="0" b="0"/>
                                <wp:docPr id="1950171279"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42378"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76149632"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2B5F03" w:rsidP="000F6284">
                    <w:drawing>
                      <wp:inline distT="0" distB="0" distL="0" distR="0">
                        <wp:extent cx="876300" cy="850900"/>
                        <wp:effectExtent l="19050" t="0" r="0" b="0"/>
                        <wp:docPr id="1"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276898"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75647291" r:id="rId4"/>
                    </w:object>
                  </w:p>
                </w:txbxContent>
              </v:textbox>
              <w10:wrap type="square"/>
            </v:shape>
          </w:pict>
        </mc:Fallback>
      </mc:AlternateContent>
    </w:r>
  </w:p>
  <w:p w:rsidR="002B5F03" w:rsidP="000F6284">
    <w:pPr>
      <w:pStyle w:val="Header"/>
      <w:jc w:val="center"/>
      <w:rPr>
        <w:b/>
        <w:sz w:val="28"/>
        <w:lang w:val="pt-PT"/>
      </w:rPr>
    </w:pPr>
    <w:r>
      <w:rPr>
        <w:b/>
        <w:sz w:val="28"/>
        <w:lang w:val="pt-PT"/>
      </w:rPr>
      <w:t>CÂMARA MUNICIPAL DE VALINHOS</w:t>
    </w:r>
  </w:p>
  <w:p w:rsidR="002B5F03" w:rsidP="000F6284">
    <w:pPr>
      <w:pStyle w:val="Header"/>
      <w:jc w:val="center"/>
      <w:rPr>
        <w:sz w:val="20"/>
        <w:lang w:val="pt-PT"/>
      </w:rPr>
    </w:pPr>
    <w:r>
      <w:rPr>
        <w:sz w:val="20"/>
        <w:lang w:val="pt-PT"/>
      </w:rPr>
      <w:t>ESTADO DE SÃO PAULO</w:t>
    </w:r>
  </w:p>
  <w:p w:rsidR="002B5F03" w:rsidP="000F6284">
    <w:pPr>
      <w:pStyle w:val="Header"/>
    </w:pPr>
  </w:p>
  <w:p w:rsidR="002B5F03" w:rsidP="006D70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CEA4A9C"/>
    <w:multiLevelType w:val="hybridMultilevel"/>
    <w:tmpl w:val="87903E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2B"/>
    <w:rsid w:val="00004D76"/>
    <w:rsid w:val="000062A0"/>
    <w:rsid w:val="00010331"/>
    <w:rsid w:val="00011DB3"/>
    <w:rsid w:val="00013CAF"/>
    <w:rsid w:val="000152F2"/>
    <w:rsid w:val="00031E27"/>
    <w:rsid w:val="0004208F"/>
    <w:rsid w:val="00054DD1"/>
    <w:rsid w:val="00060CA0"/>
    <w:rsid w:val="00072745"/>
    <w:rsid w:val="00084F89"/>
    <w:rsid w:val="00087763"/>
    <w:rsid w:val="00091AC3"/>
    <w:rsid w:val="00094FC8"/>
    <w:rsid w:val="000A7037"/>
    <w:rsid w:val="000B4ADE"/>
    <w:rsid w:val="000C06A9"/>
    <w:rsid w:val="000C08B8"/>
    <w:rsid w:val="000C1D38"/>
    <w:rsid w:val="000C3EF3"/>
    <w:rsid w:val="000C5FC0"/>
    <w:rsid w:val="000C60A7"/>
    <w:rsid w:val="000C7DFF"/>
    <w:rsid w:val="000E086D"/>
    <w:rsid w:val="000E6E82"/>
    <w:rsid w:val="000F6132"/>
    <w:rsid w:val="000F6284"/>
    <w:rsid w:val="000F68ED"/>
    <w:rsid w:val="00104D6E"/>
    <w:rsid w:val="001060D1"/>
    <w:rsid w:val="00107ACC"/>
    <w:rsid w:val="0011642A"/>
    <w:rsid w:val="00117687"/>
    <w:rsid w:val="00122EE6"/>
    <w:rsid w:val="0013060F"/>
    <w:rsid w:val="00132824"/>
    <w:rsid w:val="00140E33"/>
    <w:rsid w:val="00141BA0"/>
    <w:rsid w:val="001420FA"/>
    <w:rsid w:val="0014270F"/>
    <w:rsid w:val="00144475"/>
    <w:rsid w:val="00146CE5"/>
    <w:rsid w:val="00152692"/>
    <w:rsid w:val="0016364A"/>
    <w:rsid w:val="00164251"/>
    <w:rsid w:val="00174657"/>
    <w:rsid w:val="00183492"/>
    <w:rsid w:val="0018612D"/>
    <w:rsid w:val="001A2347"/>
    <w:rsid w:val="001A4F7F"/>
    <w:rsid w:val="001A61DB"/>
    <w:rsid w:val="001C4D63"/>
    <w:rsid w:val="002027AE"/>
    <w:rsid w:val="00215CD7"/>
    <w:rsid w:val="0022477A"/>
    <w:rsid w:val="002249E9"/>
    <w:rsid w:val="002268B5"/>
    <w:rsid w:val="00230E31"/>
    <w:rsid w:val="002324DA"/>
    <w:rsid w:val="00236776"/>
    <w:rsid w:val="002433C5"/>
    <w:rsid w:val="00244DC5"/>
    <w:rsid w:val="00252ADC"/>
    <w:rsid w:val="00261689"/>
    <w:rsid w:val="0026654A"/>
    <w:rsid w:val="00267382"/>
    <w:rsid w:val="00287DF9"/>
    <w:rsid w:val="0029011B"/>
    <w:rsid w:val="002907F1"/>
    <w:rsid w:val="002B15C8"/>
    <w:rsid w:val="002B1985"/>
    <w:rsid w:val="002B5F03"/>
    <w:rsid w:val="002C052C"/>
    <w:rsid w:val="002C2449"/>
    <w:rsid w:val="002C514C"/>
    <w:rsid w:val="002C7E9A"/>
    <w:rsid w:val="002D0737"/>
    <w:rsid w:val="002D2750"/>
    <w:rsid w:val="002E0808"/>
    <w:rsid w:val="002E0E58"/>
    <w:rsid w:val="002E5E66"/>
    <w:rsid w:val="002F31F1"/>
    <w:rsid w:val="002F6340"/>
    <w:rsid w:val="00301BFA"/>
    <w:rsid w:val="00304A13"/>
    <w:rsid w:val="00304D47"/>
    <w:rsid w:val="003066AF"/>
    <w:rsid w:val="00313E26"/>
    <w:rsid w:val="00324DAA"/>
    <w:rsid w:val="00326E56"/>
    <w:rsid w:val="00342350"/>
    <w:rsid w:val="0036016D"/>
    <w:rsid w:val="00365F07"/>
    <w:rsid w:val="0038135B"/>
    <w:rsid w:val="0038137B"/>
    <w:rsid w:val="00392550"/>
    <w:rsid w:val="0039289D"/>
    <w:rsid w:val="0039295D"/>
    <w:rsid w:val="00394141"/>
    <w:rsid w:val="00396BF6"/>
    <w:rsid w:val="0039705A"/>
    <w:rsid w:val="003A2C23"/>
    <w:rsid w:val="003B02E8"/>
    <w:rsid w:val="003B0AE0"/>
    <w:rsid w:val="003C02A2"/>
    <w:rsid w:val="003C2A33"/>
    <w:rsid w:val="003C2EAD"/>
    <w:rsid w:val="003D0BDE"/>
    <w:rsid w:val="003D329B"/>
    <w:rsid w:val="003D3DD2"/>
    <w:rsid w:val="003E0849"/>
    <w:rsid w:val="003E6731"/>
    <w:rsid w:val="003E68E7"/>
    <w:rsid w:val="003F5D28"/>
    <w:rsid w:val="00402E15"/>
    <w:rsid w:val="00412E7C"/>
    <w:rsid w:val="0041449A"/>
    <w:rsid w:val="00415533"/>
    <w:rsid w:val="00420A13"/>
    <w:rsid w:val="00421304"/>
    <w:rsid w:val="00422E38"/>
    <w:rsid w:val="004276C9"/>
    <w:rsid w:val="00436A94"/>
    <w:rsid w:val="00442AE0"/>
    <w:rsid w:val="00443E0E"/>
    <w:rsid w:val="00444ACD"/>
    <w:rsid w:val="00445AFC"/>
    <w:rsid w:val="00450D7D"/>
    <w:rsid w:val="00451661"/>
    <w:rsid w:val="004613AF"/>
    <w:rsid w:val="00464D80"/>
    <w:rsid w:val="00483A4D"/>
    <w:rsid w:val="00484EF7"/>
    <w:rsid w:val="00492DCD"/>
    <w:rsid w:val="00494E9F"/>
    <w:rsid w:val="00497A57"/>
    <w:rsid w:val="004A1DBC"/>
    <w:rsid w:val="004A5C1C"/>
    <w:rsid w:val="004B170A"/>
    <w:rsid w:val="004B1CA3"/>
    <w:rsid w:val="004C45A4"/>
    <w:rsid w:val="004C565A"/>
    <w:rsid w:val="004C5B70"/>
    <w:rsid w:val="004D3AA4"/>
    <w:rsid w:val="004D5FD7"/>
    <w:rsid w:val="004F1AD5"/>
    <w:rsid w:val="004F1E85"/>
    <w:rsid w:val="004F2F14"/>
    <w:rsid w:val="005045BA"/>
    <w:rsid w:val="00515A76"/>
    <w:rsid w:val="00516A25"/>
    <w:rsid w:val="00521E8D"/>
    <w:rsid w:val="00526E32"/>
    <w:rsid w:val="00526FB6"/>
    <w:rsid w:val="00541851"/>
    <w:rsid w:val="00544E88"/>
    <w:rsid w:val="00546E3D"/>
    <w:rsid w:val="00547F9D"/>
    <w:rsid w:val="0055424D"/>
    <w:rsid w:val="0058201A"/>
    <w:rsid w:val="00595C1B"/>
    <w:rsid w:val="005A0EB8"/>
    <w:rsid w:val="005A6AF8"/>
    <w:rsid w:val="005B5B3A"/>
    <w:rsid w:val="005C61FE"/>
    <w:rsid w:val="005D43F3"/>
    <w:rsid w:val="005D5B81"/>
    <w:rsid w:val="005E0943"/>
    <w:rsid w:val="005E0CC1"/>
    <w:rsid w:val="005E3874"/>
    <w:rsid w:val="005E6F3B"/>
    <w:rsid w:val="005F28BA"/>
    <w:rsid w:val="00600907"/>
    <w:rsid w:val="006039AA"/>
    <w:rsid w:val="00605D93"/>
    <w:rsid w:val="006168B2"/>
    <w:rsid w:val="00620FEF"/>
    <w:rsid w:val="006256F4"/>
    <w:rsid w:val="0062714B"/>
    <w:rsid w:val="00627832"/>
    <w:rsid w:val="00633897"/>
    <w:rsid w:val="00636BBC"/>
    <w:rsid w:val="0063794A"/>
    <w:rsid w:val="0064647D"/>
    <w:rsid w:val="00646924"/>
    <w:rsid w:val="00647CC0"/>
    <w:rsid w:val="00650D48"/>
    <w:rsid w:val="006626B6"/>
    <w:rsid w:val="00671EA5"/>
    <w:rsid w:val="00681013"/>
    <w:rsid w:val="00683121"/>
    <w:rsid w:val="00684901"/>
    <w:rsid w:val="00691B91"/>
    <w:rsid w:val="00692544"/>
    <w:rsid w:val="00696105"/>
    <w:rsid w:val="006B19C9"/>
    <w:rsid w:val="006B7254"/>
    <w:rsid w:val="006C1ABF"/>
    <w:rsid w:val="006C2C21"/>
    <w:rsid w:val="006C37F5"/>
    <w:rsid w:val="006D7024"/>
    <w:rsid w:val="006E4468"/>
    <w:rsid w:val="006E59A6"/>
    <w:rsid w:val="006F674F"/>
    <w:rsid w:val="00703833"/>
    <w:rsid w:val="007042A1"/>
    <w:rsid w:val="007053BB"/>
    <w:rsid w:val="00710E18"/>
    <w:rsid w:val="007125D7"/>
    <w:rsid w:val="0071508E"/>
    <w:rsid w:val="007172DE"/>
    <w:rsid w:val="00734D86"/>
    <w:rsid w:val="00745F2C"/>
    <w:rsid w:val="00747C65"/>
    <w:rsid w:val="0075062B"/>
    <w:rsid w:val="00750FEA"/>
    <w:rsid w:val="0075284C"/>
    <w:rsid w:val="0075311E"/>
    <w:rsid w:val="00757B87"/>
    <w:rsid w:val="007627E3"/>
    <w:rsid w:val="00773FD9"/>
    <w:rsid w:val="00775248"/>
    <w:rsid w:val="00777ACF"/>
    <w:rsid w:val="007949FB"/>
    <w:rsid w:val="00795897"/>
    <w:rsid w:val="007979E0"/>
    <w:rsid w:val="007A7435"/>
    <w:rsid w:val="007B569C"/>
    <w:rsid w:val="007B7464"/>
    <w:rsid w:val="007C28D8"/>
    <w:rsid w:val="007C2ECA"/>
    <w:rsid w:val="007D453B"/>
    <w:rsid w:val="007D5186"/>
    <w:rsid w:val="007D6E9E"/>
    <w:rsid w:val="007E1F99"/>
    <w:rsid w:val="007E5326"/>
    <w:rsid w:val="007E6039"/>
    <w:rsid w:val="007F01A5"/>
    <w:rsid w:val="00805EF5"/>
    <w:rsid w:val="00806D16"/>
    <w:rsid w:val="008120B4"/>
    <w:rsid w:val="00814806"/>
    <w:rsid w:val="008152AD"/>
    <w:rsid w:val="00834F2B"/>
    <w:rsid w:val="00837714"/>
    <w:rsid w:val="00844764"/>
    <w:rsid w:val="008450AC"/>
    <w:rsid w:val="00872C12"/>
    <w:rsid w:val="008831C3"/>
    <w:rsid w:val="008833EF"/>
    <w:rsid w:val="00884663"/>
    <w:rsid w:val="008923E9"/>
    <w:rsid w:val="008B488E"/>
    <w:rsid w:val="008B60B9"/>
    <w:rsid w:val="008C03B4"/>
    <w:rsid w:val="008C1C27"/>
    <w:rsid w:val="008C24D7"/>
    <w:rsid w:val="008C51BE"/>
    <w:rsid w:val="008D0A49"/>
    <w:rsid w:val="008E1538"/>
    <w:rsid w:val="008E739D"/>
    <w:rsid w:val="008F2427"/>
    <w:rsid w:val="00900276"/>
    <w:rsid w:val="0090054E"/>
    <w:rsid w:val="00900653"/>
    <w:rsid w:val="009028B1"/>
    <w:rsid w:val="00903636"/>
    <w:rsid w:val="0091678F"/>
    <w:rsid w:val="009169C9"/>
    <w:rsid w:val="00935C32"/>
    <w:rsid w:val="009369FB"/>
    <w:rsid w:val="00940053"/>
    <w:rsid w:val="00943318"/>
    <w:rsid w:val="00946FC6"/>
    <w:rsid w:val="00967B88"/>
    <w:rsid w:val="00967C83"/>
    <w:rsid w:val="0097203E"/>
    <w:rsid w:val="00983F3B"/>
    <w:rsid w:val="0098472D"/>
    <w:rsid w:val="00986B38"/>
    <w:rsid w:val="00987679"/>
    <w:rsid w:val="009966F0"/>
    <w:rsid w:val="00996E6A"/>
    <w:rsid w:val="009971D8"/>
    <w:rsid w:val="009975F7"/>
    <w:rsid w:val="009977A8"/>
    <w:rsid w:val="009A128E"/>
    <w:rsid w:val="009B4CD0"/>
    <w:rsid w:val="009B5F4D"/>
    <w:rsid w:val="009C6C54"/>
    <w:rsid w:val="009D4D53"/>
    <w:rsid w:val="009D511B"/>
    <w:rsid w:val="009D550A"/>
    <w:rsid w:val="009D5A18"/>
    <w:rsid w:val="009E3EF9"/>
    <w:rsid w:val="009F0B51"/>
    <w:rsid w:val="00A172F8"/>
    <w:rsid w:val="00A2503E"/>
    <w:rsid w:val="00A26518"/>
    <w:rsid w:val="00A31F50"/>
    <w:rsid w:val="00A33C51"/>
    <w:rsid w:val="00A35149"/>
    <w:rsid w:val="00A63ED4"/>
    <w:rsid w:val="00A67E63"/>
    <w:rsid w:val="00A7176E"/>
    <w:rsid w:val="00A71D06"/>
    <w:rsid w:val="00A7458D"/>
    <w:rsid w:val="00AA0F4F"/>
    <w:rsid w:val="00AA13F0"/>
    <w:rsid w:val="00AA19F5"/>
    <w:rsid w:val="00AB498A"/>
    <w:rsid w:val="00AC01B0"/>
    <w:rsid w:val="00AC08AA"/>
    <w:rsid w:val="00AC53B3"/>
    <w:rsid w:val="00AC5AF1"/>
    <w:rsid w:val="00AC6896"/>
    <w:rsid w:val="00AD05AC"/>
    <w:rsid w:val="00AD36D4"/>
    <w:rsid w:val="00AD687D"/>
    <w:rsid w:val="00AD740D"/>
    <w:rsid w:val="00AF7006"/>
    <w:rsid w:val="00B03206"/>
    <w:rsid w:val="00B20A65"/>
    <w:rsid w:val="00B22C55"/>
    <w:rsid w:val="00B234C4"/>
    <w:rsid w:val="00B342E3"/>
    <w:rsid w:val="00B50ACD"/>
    <w:rsid w:val="00B51F8C"/>
    <w:rsid w:val="00B57982"/>
    <w:rsid w:val="00B60874"/>
    <w:rsid w:val="00B778AA"/>
    <w:rsid w:val="00B80406"/>
    <w:rsid w:val="00B81489"/>
    <w:rsid w:val="00B9121E"/>
    <w:rsid w:val="00B93ED4"/>
    <w:rsid w:val="00BA65D2"/>
    <w:rsid w:val="00BB05C4"/>
    <w:rsid w:val="00BB3B11"/>
    <w:rsid w:val="00BC2ABB"/>
    <w:rsid w:val="00BC387A"/>
    <w:rsid w:val="00BD4260"/>
    <w:rsid w:val="00BE358E"/>
    <w:rsid w:val="00BF55F6"/>
    <w:rsid w:val="00C0003E"/>
    <w:rsid w:val="00C02E72"/>
    <w:rsid w:val="00C121CA"/>
    <w:rsid w:val="00C24ABB"/>
    <w:rsid w:val="00C27647"/>
    <w:rsid w:val="00C34111"/>
    <w:rsid w:val="00C46C1C"/>
    <w:rsid w:val="00C551CD"/>
    <w:rsid w:val="00C552BE"/>
    <w:rsid w:val="00C61066"/>
    <w:rsid w:val="00C6291C"/>
    <w:rsid w:val="00C62A22"/>
    <w:rsid w:val="00C63602"/>
    <w:rsid w:val="00C64085"/>
    <w:rsid w:val="00C7153B"/>
    <w:rsid w:val="00C81E2E"/>
    <w:rsid w:val="00C83C7F"/>
    <w:rsid w:val="00C86B57"/>
    <w:rsid w:val="00CB1C28"/>
    <w:rsid w:val="00CB1C5D"/>
    <w:rsid w:val="00CB2D83"/>
    <w:rsid w:val="00CB369D"/>
    <w:rsid w:val="00CC1FE4"/>
    <w:rsid w:val="00CD061A"/>
    <w:rsid w:val="00CD5D6D"/>
    <w:rsid w:val="00CD62E6"/>
    <w:rsid w:val="00CE0C3C"/>
    <w:rsid w:val="00CE5172"/>
    <w:rsid w:val="00CF06DC"/>
    <w:rsid w:val="00CF7799"/>
    <w:rsid w:val="00D05705"/>
    <w:rsid w:val="00D111F9"/>
    <w:rsid w:val="00D137F2"/>
    <w:rsid w:val="00D27B3B"/>
    <w:rsid w:val="00D31E84"/>
    <w:rsid w:val="00D33D7D"/>
    <w:rsid w:val="00D344FF"/>
    <w:rsid w:val="00D348A1"/>
    <w:rsid w:val="00D37D32"/>
    <w:rsid w:val="00D4374D"/>
    <w:rsid w:val="00D471A2"/>
    <w:rsid w:val="00D53CF6"/>
    <w:rsid w:val="00D54C36"/>
    <w:rsid w:val="00D613BA"/>
    <w:rsid w:val="00D6318C"/>
    <w:rsid w:val="00D72476"/>
    <w:rsid w:val="00D822CC"/>
    <w:rsid w:val="00D85EA5"/>
    <w:rsid w:val="00D92B43"/>
    <w:rsid w:val="00DA1655"/>
    <w:rsid w:val="00DA4495"/>
    <w:rsid w:val="00DA485E"/>
    <w:rsid w:val="00DB2D3E"/>
    <w:rsid w:val="00DB65C8"/>
    <w:rsid w:val="00DC1A5B"/>
    <w:rsid w:val="00DD2CC9"/>
    <w:rsid w:val="00DD4EC2"/>
    <w:rsid w:val="00DD5BF1"/>
    <w:rsid w:val="00DE20C6"/>
    <w:rsid w:val="00DE5290"/>
    <w:rsid w:val="00DF4BF9"/>
    <w:rsid w:val="00DF576F"/>
    <w:rsid w:val="00DF598F"/>
    <w:rsid w:val="00DF69B3"/>
    <w:rsid w:val="00E176DF"/>
    <w:rsid w:val="00E1782C"/>
    <w:rsid w:val="00E20AD6"/>
    <w:rsid w:val="00E307C3"/>
    <w:rsid w:val="00E339BA"/>
    <w:rsid w:val="00E36A15"/>
    <w:rsid w:val="00E41567"/>
    <w:rsid w:val="00E60D7A"/>
    <w:rsid w:val="00E60FD0"/>
    <w:rsid w:val="00E654B2"/>
    <w:rsid w:val="00E65F4B"/>
    <w:rsid w:val="00E661C5"/>
    <w:rsid w:val="00E67342"/>
    <w:rsid w:val="00E67B0A"/>
    <w:rsid w:val="00E7515C"/>
    <w:rsid w:val="00E80D54"/>
    <w:rsid w:val="00E9216A"/>
    <w:rsid w:val="00E93726"/>
    <w:rsid w:val="00E94D4E"/>
    <w:rsid w:val="00E956F5"/>
    <w:rsid w:val="00EA0F15"/>
    <w:rsid w:val="00EA1DB6"/>
    <w:rsid w:val="00EA52DE"/>
    <w:rsid w:val="00EB2D50"/>
    <w:rsid w:val="00EB315E"/>
    <w:rsid w:val="00ED1E87"/>
    <w:rsid w:val="00ED612E"/>
    <w:rsid w:val="00EF4078"/>
    <w:rsid w:val="00EF6371"/>
    <w:rsid w:val="00EF6534"/>
    <w:rsid w:val="00F0113D"/>
    <w:rsid w:val="00F0163A"/>
    <w:rsid w:val="00F01C22"/>
    <w:rsid w:val="00F0630F"/>
    <w:rsid w:val="00F1177C"/>
    <w:rsid w:val="00F14F5D"/>
    <w:rsid w:val="00F163AB"/>
    <w:rsid w:val="00F165BC"/>
    <w:rsid w:val="00F20F0A"/>
    <w:rsid w:val="00F22283"/>
    <w:rsid w:val="00F27B5E"/>
    <w:rsid w:val="00F34BF6"/>
    <w:rsid w:val="00F4065A"/>
    <w:rsid w:val="00F43DDE"/>
    <w:rsid w:val="00F53BEF"/>
    <w:rsid w:val="00F61E5C"/>
    <w:rsid w:val="00F66788"/>
    <w:rsid w:val="00F71C32"/>
    <w:rsid w:val="00F73368"/>
    <w:rsid w:val="00F752F1"/>
    <w:rsid w:val="00F82AEB"/>
    <w:rsid w:val="00F84CCD"/>
    <w:rsid w:val="00F8645F"/>
    <w:rsid w:val="00F86A33"/>
    <w:rsid w:val="00F94A2F"/>
    <w:rsid w:val="00FA1F72"/>
    <w:rsid w:val="00FC3987"/>
    <w:rsid w:val="00FC6AF1"/>
    <w:rsid w:val="00FD38DB"/>
    <w:rsid w:val="00FE49C5"/>
    <w:rsid w:val="00FF614D"/>
    <w:rsid w:val="00FF7C9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F2B"/>
    <w:rPr>
      <w:rFonts w:ascii="Arial" w:eastAsia="Times New Roman" w:hAnsi="Arial" w:cs="Times New Roman"/>
      <w:sz w:val="24"/>
      <w:szCs w:val="20"/>
      <w:lang w:eastAsia="pt-BR"/>
    </w:rPr>
  </w:style>
  <w:style w:type="paragraph" w:styleId="Heading1">
    <w:name w:val="heading 1"/>
    <w:basedOn w:val="Normal"/>
    <w:link w:val="Ttulo1Char"/>
    <w:uiPriority w:val="9"/>
    <w:qFormat/>
    <w:rsid w:val="00010331"/>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Ttulo2Char"/>
    <w:uiPriority w:val="9"/>
    <w:semiHidden/>
    <w:unhideWhenUsed/>
    <w:qFormat/>
    <w:rsid w:val="00FD38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4F2B"/>
    <w:pPr>
      <w:spacing w:before="100" w:beforeAutospacing="1" w:after="100" w:afterAutospacing="1" w:line="240" w:lineRule="auto"/>
    </w:pPr>
    <w:rPr>
      <w:rFonts w:ascii="Times New Roman" w:hAnsi="Times New Roman"/>
      <w:szCs w:val="24"/>
    </w:rPr>
  </w:style>
  <w:style w:type="paragraph" w:styleId="BodyText">
    <w:name w:val="Body Text"/>
    <w:basedOn w:val="Normal"/>
    <w:link w:val="CorpodetextoChar"/>
    <w:uiPriority w:val="99"/>
    <w:unhideWhenUsed/>
    <w:rsid w:val="00834F2B"/>
    <w:pPr>
      <w:spacing w:after="120"/>
    </w:pPr>
  </w:style>
  <w:style w:type="character" w:customStyle="1" w:styleId="CorpodetextoChar">
    <w:name w:val="Corpo de texto Char"/>
    <w:basedOn w:val="DefaultParagraphFont"/>
    <w:link w:val="BodyText"/>
    <w:uiPriority w:val="99"/>
    <w:rsid w:val="00834F2B"/>
    <w:rPr>
      <w:rFonts w:ascii="Arial" w:eastAsia="Times New Roman" w:hAnsi="Arial" w:cs="Times New Roman"/>
      <w:sz w:val="24"/>
      <w:szCs w:val="20"/>
      <w:lang w:eastAsia="pt-BR"/>
    </w:rPr>
  </w:style>
  <w:style w:type="paragraph" w:styleId="BodyTextIndent">
    <w:name w:val="Body Text Indent"/>
    <w:basedOn w:val="Normal"/>
    <w:link w:val="RecuodecorpodetextoChar"/>
    <w:uiPriority w:val="99"/>
    <w:unhideWhenUsed/>
    <w:rsid w:val="00834F2B"/>
    <w:pPr>
      <w:spacing w:after="120"/>
      <w:ind w:left="283"/>
    </w:pPr>
  </w:style>
  <w:style w:type="character" w:customStyle="1" w:styleId="RecuodecorpodetextoChar">
    <w:name w:val="Recuo de corpo de texto Char"/>
    <w:basedOn w:val="DefaultParagraphFont"/>
    <w:link w:val="BodyTextIndent"/>
    <w:uiPriority w:val="99"/>
    <w:rsid w:val="00834F2B"/>
    <w:rPr>
      <w:rFonts w:ascii="Arial" w:eastAsia="Times New Roman" w:hAnsi="Arial" w:cs="Times New Roman"/>
      <w:sz w:val="24"/>
      <w:szCs w:val="20"/>
      <w:lang w:eastAsia="pt-BR"/>
    </w:rPr>
  </w:style>
  <w:style w:type="paragraph" w:styleId="BodyText2">
    <w:name w:val="Body Text 2"/>
    <w:basedOn w:val="Normal"/>
    <w:link w:val="Corpodetexto2Char"/>
    <w:uiPriority w:val="99"/>
    <w:unhideWhenUsed/>
    <w:rsid w:val="00834F2B"/>
    <w:pPr>
      <w:spacing w:after="120" w:line="480" w:lineRule="auto"/>
    </w:pPr>
  </w:style>
  <w:style w:type="character" w:customStyle="1" w:styleId="Corpodetexto2Char">
    <w:name w:val="Corpo de texto 2 Char"/>
    <w:basedOn w:val="DefaultParagraphFont"/>
    <w:link w:val="BodyText2"/>
    <w:uiPriority w:val="99"/>
    <w:rsid w:val="00834F2B"/>
    <w:rPr>
      <w:rFonts w:ascii="Arial" w:eastAsia="Times New Roman" w:hAnsi="Arial" w:cs="Times New Roman"/>
      <w:sz w:val="24"/>
      <w:szCs w:val="20"/>
      <w:lang w:eastAsia="pt-BR"/>
    </w:rPr>
  </w:style>
  <w:style w:type="paragraph" w:customStyle="1" w:styleId="Default">
    <w:name w:val="Default"/>
    <w:rsid w:val="00834F2B"/>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corpodapea">
    <w:name w:val="corpodapea"/>
    <w:basedOn w:val="Normal"/>
    <w:uiPriority w:val="99"/>
    <w:semiHidden/>
    <w:rsid w:val="00834F2B"/>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834F2B"/>
  </w:style>
  <w:style w:type="paragraph" w:styleId="BalloonText">
    <w:name w:val="Balloon Text"/>
    <w:basedOn w:val="Normal"/>
    <w:link w:val="TextodebaloChar"/>
    <w:uiPriority w:val="99"/>
    <w:semiHidden/>
    <w:unhideWhenUsed/>
    <w:rsid w:val="008831C3"/>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8831C3"/>
    <w:rPr>
      <w:rFonts w:ascii="Tahoma" w:eastAsia="Times New Roman" w:hAnsi="Tahoma" w:cs="Tahoma"/>
      <w:sz w:val="16"/>
      <w:szCs w:val="16"/>
      <w:lang w:eastAsia="pt-BR"/>
    </w:rPr>
  </w:style>
  <w:style w:type="character" w:styleId="Hyperlink">
    <w:name w:val="Hyperlink"/>
    <w:basedOn w:val="DefaultParagraphFont"/>
    <w:uiPriority w:val="99"/>
    <w:unhideWhenUsed/>
    <w:rsid w:val="00324DAA"/>
    <w:rPr>
      <w:color w:val="0000FF"/>
      <w:u w:val="single"/>
    </w:rPr>
  </w:style>
  <w:style w:type="paragraph" w:styleId="Header">
    <w:name w:val="header"/>
    <w:basedOn w:val="Normal"/>
    <w:link w:val="CabealhoChar"/>
    <w:rsid w:val="00AC08AA"/>
    <w:pPr>
      <w:tabs>
        <w:tab w:val="center" w:pos="4419"/>
        <w:tab w:val="right" w:pos="8838"/>
      </w:tabs>
      <w:spacing w:after="0" w:line="240" w:lineRule="auto"/>
    </w:pPr>
  </w:style>
  <w:style w:type="character" w:customStyle="1" w:styleId="CabealhoChar">
    <w:name w:val="Cabeçalho Char"/>
    <w:basedOn w:val="DefaultParagraphFont"/>
    <w:link w:val="Header"/>
    <w:rsid w:val="00AC08AA"/>
    <w:rPr>
      <w:rFonts w:ascii="Arial" w:eastAsia="Times New Roman" w:hAnsi="Arial" w:cs="Times New Roman"/>
      <w:sz w:val="24"/>
      <w:szCs w:val="20"/>
      <w:lang w:eastAsia="pt-BR"/>
    </w:rPr>
  </w:style>
  <w:style w:type="paragraph" w:styleId="Footer">
    <w:name w:val="footer"/>
    <w:basedOn w:val="Normal"/>
    <w:link w:val="RodapChar"/>
    <w:rsid w:val="00AC08AA"/>
    <w:pPr>
      <w:tabs>
        <w:tab w:val="center" w:pos="4419"/>
        <w:tab w:val="right" w:pos="8838"/>
      </w:tabs>
      <w:spacing w:after="0" w:line="240" w:lineRule="auto"/>
    </w:pPr>
  </w:style>
  <w:style w:type="character" w:customStyle="1" w:styleId="RodapChar">
    <w:name w:val="Rodapé Char"/>
    <w:basedOn w:val="DefaultParagraphFont"/>
    <w:link w:val="Footer"/>
    <w:rsid w:val="00AC08AA"/>
    <w:rPr>
      <w:rFonts w:ascii="Arial" w:eastAsia="Times New Roman" w:hAnsi="Arial" w:cs="Times New Roman"/>
      <w:sz w:val="24"/>
      <w:szCs w:val="20"/>
      <w:lang w:eastAsia="pt-BR"/>
    </w:rPr>
  </w:style>
  <w:style w:type="character" w:customStyle="1" w:styleId="Ttulo1Char">
    <w:name w:val="Título 1 Char"/>
    <w:basedOn w:val="DefaultParagraphFont"/>
    <w:link w:val="Heading1"/>
    <w:uiPriority w:val="9"/>
    <w:rsid w:val="00010331"/>
    <w:rPr>
      <w:rFonts w:ascii="Times New Roman" w:eastAsia="Times New Roman" w:hAnsi="Times New Roman" w:cs="Times New Roman"/>
      <w:b/>
      <w:bCs/>
      <w:kern w:val="36"/>
      <w:sz w:val="48"/>
      <w:szCs w:val="48"/>
      <w:lang w:eastAsia="pt-BR"/>
    </w:rPr>
  </w:style>
  <w:style w:type="character" w:customStyle="1" w:styleId="Ttulo2Char">
    <w:name w:val="Título 2 Char"/>
    <w:basedOn w:val="DefaultParagraphFont"/>
    <w:link w:val="Heading2"/>
    <w:uiPriority w:val="9"/>
    <w:semiHidden/>
    <w:rsid w:val="00FD38DB"/>
    <w:rPr>
      <w:rFonts w:asciiTheme="majorHAnsi" w:eastAsiaTheme="majorEastAsia" w:hAnsiTheme="majorHAnsi" w:cstheme="majorBidi"/>
      <w:b/>
      <w:bCs/>
      <w:color w:val="4F81BD" w:themeColor="accent1"/>
      <w:sz w:val="26"/>
      <w:szCs w:val="26"/>
      <w:lang w:eastAsia="pt-BR"/>
    </w:rPr>
  </w:style>
  <w:style w:type="paragraph" w:customStyle="1" w:styleId="text-center">
    <w:name w:val="text-center"/>
    <w:basedOn w:val="Normal"/>
    <w:rsid w:val="00FD38DB"/>
    <w:pPr>
      <w:spacing w:before="100" w:beforeAutospacing="1" w:after="100" w:afterAutospacing="1" w:line="240" w:lineRule="auto"/>
    </w:pPr>
    <w:rPr>
      <w:rFonts w:ascii="Times New Roman" w:hAnsi="Times New Roman"/>
      <w:szCs w:val="24"/>
    </w:rPr>
  </w:style>
  <w:style w:type="character" w:customStyle="1" w:styleId="publicado-dou">
    <w:name w:val="publicado-dou"/>
    <w:basedOn w:val="DefaultParagraphFont"/>
    <w:rsid w:val="00FD38DB"/>
  </w:style>
  <w:style w:type="character" w:customStyle="1" w:styleId="publicado-dou-data">
    <w:name w:val="publicado-dou-data"/>
    <w:basedOn w:val="DefaultParagraphFont"/>
    <w:rsid w:val="00FD38DB"/>
  </w:style>
  <w:style w:type="character" w:customStyle="1" w:styleId="pipe">
    <w:name w:val="pipe"/>
    <w:basedOn w:val="DefaultParagraphFont"/>
    <w:rsid w:val="00FD38DB"/>
  </w:style>
  <w:style w:type="character" w:customStyle="1" w:styleId="edicao-dou">
    <w:name w:val="edicao-dou"/>
    <w:basedOn w:val="DefaultParagraphFont"/>
    <w:rsid w:val="00FD38DB"/>
  </w:style>
  <w:style w:type="character" w:customStyle="1" w:styleId="edicao-dou-data">
    <w:name w:val="edicao-dou-data"/>
    <w:basedOn w:val="DefaultParagraphFont"/>
    <w:rsid w:val="00FD38DB"/>
  </w:style>
  <w:style w:type="character" w:customStyle="1" w:styleId="secao-dou">
    <w:name w:val="secao-dou"/>
    <w:basedOn w:val="DefaultParagraphFont"/>
    <w:rsid w:val="00FD38DB"/>
  </w:style>
  <w:style w:type="character" w:customStyle="1" w:styleId="secao-dou-data">
    <w:name w:val="secao-dou-data"/>
    <w:basedOn w:val="DefaultParagraphFont"/>
    <w:rsid w:val="00FD38DB"/>
  </w:style>
  <w:style w:type="character" w:customStyle="1" w:styleId="orgao-dou">
    <w:name w:val="orgao-dou"/>
    <w:basedOn w:val="DefaultParagraphFont"/>
    <w:rsid w:val="00FD38DB"/>
  </w:style>
  <w:style w:type="character" w:customStyle="1" w:styleId="orgao-dou-data">
    <w:name w:val="orgao-dou-data"/>
    <w:basedOn w:val="DefaultParagraphFont"/>
    <w:rsid w:val="00FD38DB"/>
  </w:style>
  <w:style w:type="paragraph" w:customStyle="1" w:styleId="titulo">
    <w:name w:val="titulo"/>
    <w:basedOn w:val="Normal"/>
    <w:rsid w:val="00FD38DB"/>
    <w:pPr>
      <w:spacing w:before="100" w:beforeAutospacing="1" w:after="100" w:afterAutospacing="1" w:line="240" w:lineRule="auto"/>
    </w:pPr>
    <w:rPr>
      <w:rFonts w:ascii="Times New Roman" w:hAnsi="Times New Roman"/>
      <w:szCs w:val="24"/>
    </w:rPr>
  </w:style>
  <w:style w:type="paragraph" w:customStyle="1" w:styleId="identifica">
    <w:name w:val="identifica"/>
    <w:basedOn w:val="Normal"/>
    <w:rsid w:val="00FD38DB"/>
    <w:pPr>
      <w:spacing w:before="100" w:beforeAutospacing="1" w:after="100" w:afterAutospacing="1" w:line="240" w:lineRule="auto"/>
    </w:pPr>
    <w:rPr>
      <w:rFonts w:ascii="Times New Roman" w:hAnsi="Times New Roman"/>
      <w:szCs w:val="24"/>
    </w:rPr>
  </w:style>
  <w:style w:type="paragraph" w:customStyle="1" w:styleId="ementa">
    <w:name w:val="ementa"/>
    <w:basedOn w:val="Normal"/>
    <w:rsid w:val="00FD38DB"/>
    <w:pPr>
      <w:spacing w:before="100" w:beforeAutospacing="1" w:after="100" w:afterAutospacing="1" w:line="240" w:lineRule="auto"/>
    </w:pPr>
    <w:rPr>
      <w:rFonts w:ascii="Times New Roman" w:hAnsi="Times New Roman"/>
      <w:szCs w:val="24"/>
    </w:rPr>
  </w:style>
  <w:style w:type="paragraph" w:customStyle="1" w:styleId="dou-paragraph">
    <w:name w:val="dou-paragraph"/>
    <w:basedOn w:val="Normal"/>
    <w:rsid w:val="00FD38DB"/>
    <w:pPr>
      <w:spacing w:before="100" w:beforeAutospacing="1" w:after="100" w:afterAutospacing="1" w:line="240" w:lineRule="auto"/>
    </w:pPr>
    <w:rPr>
      <w:rFonts w:ascii="Times New Roman" w:hAnsi="Times New Roman"/>
      <w:szCs w:val="24"/>
    </w:rPr>
  </w:style>
  <w:style w:type="paragraph" w:customStyle="1" w:styleId="assina">
    <w:name w:val="assina"/>
    <w:basedOn w:val="Normal"/>
    <w:rsid w:val="00FD38DB"/>
    <w:pPr>
      <w:spacing w:before="100" w:beforeAutospacing="1" w:after="100" w:afterAutospacing="1" w:line="240" w:lineRule="auto"/>
    </w:pPr>
    <w:rPr>
      <w:rFonts w:ascii="Times New Roman" w:hAnsi="Times New Roman"/>
      <w:szCs w:val="24"/>
    </w:rPr>
  </w:style>
  <w:style w:type="table" w:styleId="TableGrid">
    <w:name w:val="Table Grid"/>
    <w:basedOn w:val="TableNormal"/>
    <w:uiPriority w:val="59"/>
    <w:rsid w:val="00D111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Corpodetexto3Char"/>
    <w:uiPriority w:val="99"/>
    <w:semiHidden/>
    <w:unhideWhenUsed/>
    <w:rsid w:val="00F0163A"/>
    <w:pPr>
      <w:spacing w:after="120"/>
    </w:pPr>
    <w:rPr>
      <w:sz w:val="16"/>
      <w:szCs w:val="16"/>
    </w:rPr>
  </w:style>
  <w:style w:type="character" w:customStyle="1" w:styleId="Corpodetexto3Char">
    <w:name w:val="Corpo de texto 3 Char"/>
    <w:basedOn w:val="DefaultParagraphFont"/>
    <w:link w:val="BodyText3"/>
    <w:uiPriority w:val="99"/>
    <w:semiHidden/>
    <w:rsid w:val="00F0163A"/>
    <w:rPr>
      <w:rFonts w:ascii="Arial" w:eastAsia="Times New Roman" w:hAnsi="Arial" w:cs="Times New Roman"/>
      <w:sz w:val="16"/>
      <w:szCs w:val="16"/>
      <w:lang w:eastAsia="pt-BR"/>
    </w:rPr>
  </w:style>
  <w:style w:type="paragraph" w:styleId="FootnoteText">
    <w:name w:val="footnote text"/>
    <w:basedOn w:val="Normal"/>
    <w:link w:val="TextodenotaderodapChar"/>
    <w:uiPriority w:val="99"/>
    <w:semiHidden/>
    <w:unhideWhenUsed/>
    <w:rsid w:val="00BC2ABB"/>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BC2ABB"/>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BC2ABB"/>
    <w:rPr>
      <w:vertAlign w:val="superscript"/>
    </w:rPr>
  </w:style>
  <w:style w:type="paragraph" w:customStyle="1" w:styleId="tj">
    <w:name w:val="tj"/>
    <w:basedOn w:val="Normal"/>
    <w:uiPriority w:val="99"/>
    <w:rsid w:val="00703833"/>
    <w:pPr>
      <w:spacing w:before="100" w:beforeAutospacing="1" w:after="100" w:afterAutospacing="1" w:line="240" w:lineRule="auto"/>
    </w:pPr>
    <w:rPr>
      <w:rFonts w:ascii="Times New Roman" w:hAnsi="Times New Roman"/>
      <w:szCs w:val="24"/>
    </w:rPr>
  </w:style>
  <w:style w:type="paragraph" w:styleId="ListParagraph">
    <w:name w:val="List Paragraph"/>
    <w:basedOn w:val="Normal"/>
    <w:uiPriority w:val="34"/>
    <w:qFormat/>
    <w:rsid w:val="00EB2D50"/>
    <w:pPr>
      <w:ind w:left="720"/>
      <w:contextualSpacing/>
    </w:pPr>
  </w:style>
  <w:style w:type="paragraph" w:customStyle="1" w:styleId="paragrafo">
    <w:name w:val="paragrafo"/>
    <w:basedOn w:val="Normal"/>
    <w:rsid w:val="00987679"/>
    <w:pPr>
      <w:spacing w:before="100" w:beforeAutospacing="1" w:after="100" w:afterAutospacing="1" w:line="240" w:lineRule="auto"/>
    </w:pPr>
    <w:rPr>
      <w:rFonts w:ascii="Times New Roman" w:hAnsi="Times New Roman"/>
      <w:szCs w:val="24"/>
    </w:rPr>
  </w:style>
  <w:style w:type="paragraph" w:customStyle="1" w:styleId="item">
    <w:name w:val="item"/>
    <w:basedOn w:val="Normal"/>
    <w:rsid w:val="00987679"/>
    <w:pPr>
      <w:spacing w:before="100" w:beforeAutospacing="1" w:after="100" w:afterAutospacing="1" w:line="240" w:lineRule="auto"/>
    </w:pPr>
    <w:rPr>
      <w:rFonts w:ascii="Times New Roman" w:hAnsi="Times New Roman"/>
      <w:szCs w:val="24"/>
    </w:rPr>
  </w:style>
  <w:style w:type="character" w:styleId="Strong">
    <w:name w:val="Strong"/>
    <w:basedOn w:val="DefaultParagraphFont"/>
    <w:uiPriority w:val="22"/>
    <w:qFormat/>
    <w:rsid w:val="00420A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29FB7-78CD-4BA1-A3F3-804BA1CA8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4520</Words>
  <Characters>24409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Sibely Virgilio Bleck</dc:creator>
  <cp:lastModifiedBy>Tiago Fadel Malghosian</cp:lastModifiedBy>
  <cp:revision>8</cp:revision>
  <cp:lastPrinted>2021-12-03T16:31:00Z</cp:lastPrinted>
  <dcterms:created xsi:type="dcterms:W3CDTF">2024-04-26T17:20:00Z</dcterms:created>
  <dcterms:modified xsi:type="dcterms:W3CDTF">2024-05-02T13:07:00Z</dcterms:modified>
</cp:coreProperties>
</file>