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7B23" w:rsidRPr="00D4175E" w:rsidP="00BC7B2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D4175E">
        <w:rPr>
          <w:rFonts w:asciiTheme="minorHAnsi" w:hAnsiTheme="minorHAnsi" w:cstheme="minorHAnsi"/>
          <w:b/>
          <w:color w:val="auto"/>
        </w:rPr>
        <w:t>Parecer Jurídico</w:t>
      </w:r>
      <w:r w:rsidRPr="00D4175E" w:rsidR="006D1008">
        <w:rPr>
          <w:rFonts w:asciiTheme="minorHAnsi" w:hAnsiTheme="minorHAnsi" w:cstheme="minorHAnsi"/>
          <w:b/>
          <w:color w:val="auto"/>
        </w:rPr>
        <w:t xml:space="preserve"> nº </w:t>
      </w:r>
      <w:r w:rsidR="00054784">
        <w:rPr>
          <w:rFonts w:asciiTheme="minorHAnsi" w:hAnsiTheme="minorHAnsi" w:cstheme="minorHAnsi"/>
          <w:b/>
          <w:color w:val="auto"/>
        </w:rPr>
        <w:t>107</w:t>
      </w:r>
      <w:r w:rsidR="00DE5DF2">
        <w:rPr>
          <w:rFonts w:asciiTheme="minorHAnsi" w:hAnsiTheme="minorHAnsi" w:cstheme="minorHAnsi"/>
          <w:b/>
          <w:color w:val="auto"/>
        </w:rPr>
        <w:t>/</w:t>
      </w:r>
      <w:r w:rsidRPr="00D4175E">
        <w:rPr>
          <w:rFonts w:asciiTheme="minorHAnsi" w:hAnsiTheme="minorHAnsi" w:cstheme="minorHAnsi"/>
          <w:b/>
          <w:color w:val="auto"/>
        </w:rPr>
        <w:t>202</w:t>
      </w:r>
      <w:r w:rsidR="0016354A">
        <w:rPr>
          <w:rFonts w:asciiTheme="minorHAnsi" w:hAnsiTheme="minorHAnsi" w:cstheme="minorHAnsi"/>
          <w:b/>
          <w:color w:val="auto"/>
        </w:rPr>
        <w:t>4</w:t>
      </w:r>
      <w:r w:rsidRPr="00D4175E" w:rsidR="0035614F">
        <w:rPr>
          <w:rFonts w:asciiTheme="minorHAnsi" w:hAnsiTheme="minorHAnsi" w:cstheme="minorHAnsi"/>
          <w:b/>
          <w:color w:val="auto"/>
        </w:rPr>
        <w:t>.</w:t>
      </w:r>
    </w:p>
    <w:p w:rsidR="00054784" w:rsidP="0016354A">
      <w:pPr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b/>
          <w:bCs/>
          <w:sz w:val="24"/>
          <w:szCs w:val="24"/>
        </w:rPr>
        <w:t xml:space="preserve">Assunto: </w:t>
      </w:r>
      <w:r w:rsidRPr="00A6273C" w:rsidR="00770EEB">
        <w:rPr>
          <w:rFonts w:asciiTheme="minorHAnsi" w:hAnsiTheme="minorHAnsi" w:cstheme="minorHAnsi"/>
          <w:b/>
          <w:sz w:val="24"/>
          <w:szCs w:val="24"/>
        </w:rPr>
        <w:t xml:space="preserve">Projeto de Lei nº </w:t>
      </w:r>
      <w:r>
        <w:rPr>
          <w:rFonts w:asciiTheme="minorHAnsi" w:hAnsiTheme="minorHAnsi" w:cstheme="minorHAnsi"/>
          <w:b/>
          <w:sz w:val="24"/>
          <w:szCs w:val="24"/>
        </w:rPr>
        <w:t>032</w:t>
      </w:r>
      <w:r w:rsidRPr="00A6273C" w:rsidR="00AC37A5">
        <w:rPr>
          <w:rFonts w:asciiTheme="minorHAnsi" w:hAnsiTheme="minorHAnsi" w:cstheme="minorHAnsi"/>
          <w:b/>
          <w:sz w:val="24"/>
          <w:szCs w:val="24"/>
        </w:rPr>
        <w:t>/</w:t>
      </w:r>
      <w:r w:rsidRPr="00A6273C">
        <w:rPr>
          <w:rFonts w:asciiTheme="minorHAnsi" w:hAnsiTheme="minorHAnsi" w:cstheme="minorHAnsi"/>
          <w:b/>
          <w:sz w:val="24"/>
          <w:szCs w:val="24"/>
        </w:rPr>
        <w:t>202</w:t>
      </w:r>
      <w:r w:rsidR="005A083C">
        <w:rPr>
          <w:rFonts w:asciiTheme="minorHAnsi" w:hAnsiTheme="minorHAnsi" w:cstheme="minorHAnsi"/>
          <w:b/>
          <w:sz w:val="24"/>
          <w:szCs w:val="24"/>
        </w:rPr>
        <w:t>4</w:t>
      </w:r>
      <w:r w:rsidRPr="00DE5DF2" w:rsidR="00B8195A">
        <w:rPr>
          <w:rFonts w:asciiTheme="minorHAnsi" w:hAnsiTheme="minorHAnsi" w:cstheme="minorHAnsi"/>
          <w:sz w:val="24"/>
          <w:szCs w:val="24"/>
        </w:rPr>
        <w:t xml:space="preserve"> </w:t>
      </w:r>
      <w:r w:rsidRPr="00DE5DF2" w:rsidR="007163D7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54784">
        <w:rPr>
          <w:rFonts w:asciiTheme="minorHAnsi" w:hAnsiTheme="minorHAnsi" w:cstheme="minorHAnsi"/>
          <w:sz w:val="24"/>
          <w:szCs w:val="24"/>
        </w:rPr>
        <w:t>Denomina a Pista de Corrida e Caminhada do Centro de Lazer do Trabalhador (CLT) do Município de Valinhos.</w:t>
      </w:r>
    </w:p>
    <w:p w:rsidR="0016354A" w:rsidRPr="00054784" w:rsidP="0016354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B67E2">
        <w:rPr>
          <w:rFonts w:asciiTheme="minorHAnsi" w:hAnsiTheme="minorHAnsi" w:cstheme="minorHAnsi"/>
          <w:b/>
          <w:bCs/>
          <w:sz w:val="24"/>
          <w:szCs w:val="24"/>
        </w:rPr>
        <w:t xml:space="preserve">Autoria </w:t>
      </w:r>
      <w:r w:rsidR="00A6273C">
        <w:rPr>
          <w:rFonts w:asciiTheme="minorHAnsi" w:hAnsiTheme="minorHAnsi" w:cstheme="minorHAnsi"/>
          <w:b/>
          <w:bCs/>
          <w:sz w:val="24"/>
          <w:szCs w:val="24"/>
        </w:rPr>
        <w:t xml:space="preserve">do Vereador </w:t>
      </w:r>
      <w:r w:rsidRPr="00054784" w:rsidR="00054784">
        <w:rPr>
          <w:rFonts w:asciiTheme="minorHAnsi" w:hAnsiTheme="minorHAnsi" w:cstheme="minorHAnsi"/>
          <w:b/>
          <w:bCs/>
          <w:sz w:val="24"/>
          <w:szCs w:val="24"/>
        </w:rPr>
        <w:t>Alécio Cau.</w:t>
      </w:r>
    </w:p>
    <w:p w:rsidR="0016354A" w:rsidP="0016354A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16354A" w:rsidP="0016354A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16354A" w:rsidRPr="008B67E2" w:rsidP="0016354A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16354A" w:rsidRPr="008B67E2" w:rsidP="0016354A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8B67E2">
        <w:rPr>
          <w:rFonts w:asciiTheme="minorHAnsi" w:hAnsiTheme="minorHAnsi" w:cstheme="minorHAnsi"/>
          <w:b/>
          <w:i/>
          <w:color w:val="auto"/>
        </w:rPr>
        <w:t>À Comissão de Justiça e Redação</w:t>
      </w:r>
      <w:r>
        <w:rPr>
          <w:rFonts w:asciiTheme="minorHAnsi" w:hAnsiTheme="minorHAnsi" w:cstheme="minorHAnsi"/>
          <w:b/>
          <w:i/>
          <w:color w:val="auto"/>
        </w:rPr>
        <w:t>,</w:t>
      </w:r>
    </w:p>
    <w:p w:rsidR="0016354A" w:rsidP="0016354A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8B67E2">
        <w:rPr>
          <w:rFonts w:asciiTheme="minorHAnsi" w:hAnsiTheme="minorHAnsi" w:cstheme="minorHAnsi"/>
          <w:b/>
          <w:i/>
          <w:color w:val="auto"/>
        </w:rPr>
        <w:t>Exmo.</w:t>
      </w:r>
      <w:r>
        <w:rPr>
          <w:rFonts w:asciiTheme="minorHAnsi" w:hAnsiTheme="minorHAnsi" w:cstheme="minorHAnsi"/>
          <w:b/>
          <w:i/>
          <w:color w:val="auto"/>
        </w:rPr>
        <w:t xml:space="preserve"> </w:t>
      </w:r>
      <w:r>
        <w:rPr>
          <w:rFonts w:asciiTheme="minorHAnsi" w:hAnsiTheme="minorHAnsi" w:cstheme="minorHAnsi"/>
          <w:b/>
          <w:i/>
          <w:color w:val="auto"/>
        </w:rPr>
        <w:t>Sr.</w:t>
      </w:r>
      <w:r w:rsidRPr="008B67E2">
        <w:rPr>
          <w:rFonts w:asciiTheme="minorHAnsi" w:hAnsiTheme="minorHAnsi" w:cstheme="minorHAnsi"/>
          <w:b/>
          <w:i/>
          <w:color w:val="auto"/>
        </w:rPr>
        <w:t xml:space="preserve"> Presidente Vereador </w:t>
      </w:r>
      <w:r>
        <w:rPr>
          <w:rFonts w:asciiTheme="minorHAnsi" w:hAnsiTheme="minorHAnsi" w:cstheme="minorHAnsi"/>
          <w:b/>
          <w:i/>
          <w:color w:val="auto"/>
        </w:rPr>
        <w:t>Gabriel Bueno.</w:t>
      </w:r>
    </w:p>
    <w:p w:rsidR="0016354A" w:rsidRPr="008B67E2" w:rsidP="0016354A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16354A" w:rsidP="0016354A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16354A" w:rsidRPr="008B67E2" w:rsidP="0016354A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054784" w:rsidRPr="00054784" w:rsidP="00054784">
      <w:pPr>
        <w:spacing w:after="240" w:line="360" w:lineRule="auto"/>
        <w:ind w:firstLine="170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Trata-se de parecer jurídico relativo ao </w:t>
      </w:r>
      <w:r w:rsidRPr="00287D10">
        <w:rPr>
          <w:rFonts w:asciiTheme="minorHAnsi" w:hAnsiTheme="minorHAnsi" w:cstheme="minorHAnsi"/>
          <w:sz w:val="24"/>
          <w:szCs w:val="24"/>
        </w:rPr>
        <w:t>projeto</w:t>
      </w:r>
      <w:r w:rsidR="00F95980">
        <w:rPr>
          <w:rFonts w:asciiTheme="minorHAnsi" w:hAnsiTheme="minorHAnsi" w:cstheme="minorHAnsi"/>
          <w:sz w:val="24"/>
          <w:szCs w:val="24"/>
        </w:rPr>
        <w:t xml:space="preserve"> em epígrafe que </w:t>
      </w:r>
      <w:r w:rsidRPr="00054784">
        <w:rPr>
          <w:rFonts w:asciiTheme="minorHAnsi" w:hAnsiTheme="minorHAnsi" w:cstheme="minorHAnsi"/>
          <w:i/>
          <w:sz w:val="24"/>
          <w:szCs w:val="24"/>
        </w:rPr>
        <w:t>“Denomina a Pista de Corrida e Caminhada do Centro de Lazer do Trabalhador (CLT) do Município de Valinhos”.</w:t>
      </w:r>
    </w:p>
    <w:p w:rsidR="0016354A" w:rsidRPr="008B67E2" w:rsidP="00054784">
      <w:pPr>
        <w:spacing w:after="24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i/>
          <w:sz w:val="24"/>
          <w:szCs w:val="24"/>
        </w:rPr>
        <w:t>Ab initio</w:t>
      </w:r>
      <w:r w:rsidRPr="008B67E2">
        <w:rPr>
          <w:rFonts w:asciiTheme="minorHAnsi" w:hAnsiTheme="minorHAnsi" w:cstheme="minorHAnsi"/>
          <w:sz w:val="24"/>
          <w:szCs w:val="24"/>
        </w:rPr>
        <w:t>, cumpre destacar a competência regimental da</w:t>
      </w:r>
      <w:r>
        <w:rPr>
          <w:rFonts w:asciiTheme="minorHAnsi" w:hAnsiTheme="minorHAnsi" w:cstheme="minorHAnsi"/>
          <w:sz w:val="24"/>
          <w:szCs w:val="24"/>
        </w:rPr>
        <w:t xml:space="preserve"> Comissão de Justiça e Redação </w:t>
      </w:r>
      <w:r w:rsidRPr="008B67E2">
        <w:rPr>
          <w:rFonts w:asciiTheme="minorHAnsi" w:hAnsiTheme="minorHAnsi" w:cstheme="minorHAnsi"/>
          <w:sz w:val="24"/>
          <w:szCs w:val="24"/>
        </w:rPr>
        <w:t>estabelecida no artigo 38.</w:t>
      </w:r>
    </w:p>
    <w:p w:rsidR="0016354A" w:rsidRPr="008B67E2" w:rsidP="00054784">
      <w:pPr>
        <w:tabs>
          <w:tab w:val="left" w:pos="1701"/>
        </w:tabs>
        <w:spacing w:after="24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>Outrossim</w:t>
      </w:r>
      <w:r w:rsidRPr="008B67E2">
        <w:rPr>
          <w:rFonts w:asciiTheme="minorHAnsi" w:hAnsiTheme="minorHAnsi" w:cstheme="minorHAnsi"/>
          <w:sz w:val="24"/>
          <w:szCs w:val="24"/>
        </w:rPr>
        <w:t xml:space="preserve">, ressalta-se que a opinião jurídica exarada neste parecer </w:t>
      </w:r>
      <w:r w:rsidRPr="008B67E2">
        <w:rPr>
          <w:rFonts w:asciiTheme="minorHAnsi" w:hAnsiTheme="minorHAnsi" w:cstheme="minorHAnsi"/>
          <w:sz w:val="24"/>
          <w:szCs w:val="24"/>
        </w:rPr>
        <w:t>não</w:t>
      </w:r>
      <w:r w:rsidRPr="008B67E2">
        <w:rPr>
          <w:rFonts w:asciiTheme="minorHAnsi" w:hAnsiTheme="minorHAnsi" w:cstheme="minorHAnsi"/>
          <w:sz w:val="24"/>
          <w:szCs w:val="24"/>
        </w:rPr>
        <w:t xml:space="preserve"> tem força vinculante, sendo meramente opinativo</w:t>
      </w:r>
      <w:r>
        <w:rPr>
          <w:rStyle w:val="FootnoteReference"/>
          <w:rFonts w:asciiTheme="minorHAnsi" w:hAnsiTheme="minorHAnsi" w:cstheme="minorHAnsi"/>
          <w:sz w:val="24"/>
          <w:szCs w:val="24"/>
        </w:rPr>
        <w:footnoteReference w:id="2"/>
      </w:r>
      <w:r w:rsidRPr="008B67E2">
        <w:rPr>
          <w:rFonts w:asciiTheme="minorHAnsi" w:hAnsiTheme="minorHAnsi" w:cstheme="minorHAnsi"/>
          <w:sz w:val="24"/>
          <w:szCs w:val="24"/>
        </w:rPr>
        <w:t xml:space="preserve"> não fundamentando decisão proferida pelas Comissões e/ou nobres vereadores. </w:t>
      </w:r>
    </w:p>
    <w:p w:rsidR="0016354A" w:rsidRPr="008B67E2" w:rsidP="00054784">
      <w:pPr>
        <w:tabs>
          <w:tab w:val="left" w:pos="1701"/>
          <w:tab w:val="left" w:pos="2268"/>
        </w:tabs>
        <w:spacing w:after="1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Desse modo,</w:t>
      </w:r>
      <w:r w:rsidRPr="008B67E2">
        <w:rPr>
          <w:rFonts w:asciiTheme="minorHAnsi" w:hAnsiTheme="minorHAnsi" w:cstheme="minorHAnsi"/>
          <w:sz w:val="24"/>
          <w:szCs w:val="24"/>
        </w:rPr>
        <w:t xml:space="preserve"> considerando </w:t>
      </w:r>
      <w:r>
        <w:rPr>
          <w:rFonts w:asciiTheme="minorHAnsi" w:hAnsiTheme="minorHAnsi" w:cstheme="minorHAnsi"/>
          <w:sz w:val="24"/>
          <w:szCs w:val="24"/>
        </w:rPr>
        <w:t>o aspecto jurídico passamos à</w:t>
      </w:r>
      <w:r w:rsidRPr="008B67E2">
        <w:rPr>
          <w:rFonts w:asciiTheme="minorHAnsi" w:hAnsiTheme="minorHAnsi" w:cstheme="minorHAnsi"/>
          <w:sz w:val="24"/>
          <w:szCs w:val="24"/>
        </w:rPr>
        <w:t xml:space="preserve"> </w:t>
      </w:r>
      <w:r w:rsidRPr="008B67E2">
        <w:rPr>
          <w:rFonts w:asciiTheme="minorHAnsi" w:hAnsiTheme="minorHAnsi" w:cstheme="minorHAnsi"/>
          <w:b/>
          <w:sz w:val="24"/>
          <w:szCs w:val="24"/>
        </w:rPr>
        <w:t>análise técnica</w:t>
      </w:r>
      <w:r w:rsidRPr="008B67E2">
        <w:rPr>
          <w:rFonts w:asciiTheme="minorHAnsi" w:hAnsiTheme="minorHAnsi" w:cstheme="minorHAnsi"/>
          <w:sz w:val="24"/>
          <w:szCs w:val="24"/>
        </w:rPr>
        <w:t xml:space="preserve"> do projeto em epígrafe solicitado.</w:t>
      </w:r>
    </w:p>
    <w:p w:rsidR="0016354A" w:rsidRPr="008B67E2" w:rsidP="00054784">
      <w:pPr>
        <w:spacing w:after="24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No tocante à </w:t>
      </w:r>
      <w:r w:rsidR="00EE38D1">
        <w:rPr>
          <w:rFonts w:asciiTheme="minorHAnsi" w:hAnsiTheme="minorHAnsi" w:cstheme="minorHAnsi"/>
          <w:sz w:val="24"/>
          <w:szCs w:val="24"/>
        </w:rPr>
        <w:t>competência legislativa</w:t>
      </w:r>
      <w:r w:rsidRPr="008B67E2">
        <w:rPr>
          <w:rFonts w:asciiTheme="minorHAnsi" w:hAnsiTheme="minorHAnsi" w:cstheme="minorHAnsi"/>
          <w:sz w:val="24"/>
          <w:szCs w:val="24"/>
        </w:rPr>
        <w:t xml:space="preserve"> os Municípios foram dotados de autonomia legislativa, que vem consubstanciada na capacidade de legislar sobre assuntos de interesse local (art. 30, inciso I da CRFB/88), como no caso em questão. </w:t>
      </w:r>
    </w:p>
    <w:p w:rsidR="0016354A" w:rsidRPr="008F0BD6" w:rsidP="00054784">
      <w:pPr>
        <w:spacing w:after="240" w:line="360" w:lineRule="auto"/>
        <w:ind w:firstLine="170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>Dispõe o art. 8º, XVI, da Lei Orgânica do Município, bem como o art. 26, do Regimento Interno desta Casa de Leis que o Legislativo Municipal pode denominar vias e logradouros públicos obedecidos às normas urbanísticas aplicáveis, sendo referida competência concorrente</w:t>
      </w:r>
      <w:r>
        <w:rPr>
          <w:rFonts w:asciiTheme="minorHAnsi" w:hAnsiTheme="minorHAnsi" w:cstheme="minorHAnsi"/>
          <w:sz w:val="24"/>
          <w:szCs w:val="24"/>
        </w:rPr>
        <w:t xml:space="preserve"> com o Prefeito, </w:t>
      </w:r>
      <w:r>
        <w:rPr>
          <w:rFonts w:asciiTheme="minorHAnsi" w:hAnsiTheme="minorHAnsi" w:cstheme="minorHAnsi"/>
          <w:i/>
          <w:sz w:val="24"/>
          <w:szCs w:val="24"/>
        </w:rPr>
        <w:t>in verbis:</w:t>
      </w:r>
    </w:p>
    <w:p w:rsidR="0016354A" w:rsidRPr="008B67E2" w:rsidP="0005478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>Artigo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 xml:space="preserve"> 8º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16354A" w:rsidRPr="008B67E2" w:rsidP="00054784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16354A" w:rsidRPr="008F0BD6" w:rsidP="00054784">
      <w:pPr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F0BD6">
        <w:rPr>
          <w:rFonts w:asciiTheme="minorHAnsi" w:hAnsiTheme="minorHAnsi" w:cstheme="minorHAnsi"/>
          <w:b/>
          <w:i/>
          <w:sz w:val="22"/>
          <w:szCs w:val="22"/>
        </w:rPr>
        <w:t>XVI - legislar sobre a denominação de próprios, bairros, vias e logradouros públicos;</w:t>
      </w:r>
      <w:r>
        <w:rPr>
          <w:rFonts w:asciiTheme="minorHAnsi" w:hAnsiTheme="minorHAnsi" w:cstheme="minorHAnsi"/>
          <w:b/>
          <w:i/>
          <w:sz w:val="22"/>
          <w:szCs w:val="22"/>
        </w:rPr>
        <w:t>”</w:t>
      </w:r>
    </w:p>
    <w:p w:rsidR="0016354A" w:rsidRPr="008B67E2" w:rsidP="00054784">
      <w:pPr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16354A" w:rsidRPr="008B67E2" w:rsidP="0005478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>Artigo 26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- À Câmara cabe legislar, com a sanção do Prefeito, sobre as matérias de competência do Município, especialmente: </w:t>
      </w:r>
    </w:p>
    <w:p w:rsidR="0016354A" w:rsidRPr="008B67E2" w:rsidP="0005478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16354A" w:rsidRPr="008B67E2" w:rsidP="00054784">
      <w:pPr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XIV - 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 xml:space="preserve">autorizar a alteração da denominação de próprios, vias e logradouros públicos. </w:t>
      </w:r>
      <w:r>
        <w:rPr>
          <w:rFonts w:asciiTheme="minorHAnsi" w:hAnsiTheme="minorHAnsi" w:cstheme="minorHAnsi"/>
          <w:b/>
          <w:i/>
          <w:sz w:val="22"/>
          <w:szCs w:val="22"/>
        </w:rPr>
        <w:t>“</w:t>
      </w:r>
    </w:p>
    <w:p w:rsidR="0016354A" w:rsidRPr="008B67E2" w:rsidP="0016354A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320"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:rsidR="0016354A" w:rsidRPr="008B67E2" w:rsidP="00054784">
      <w:pPr>
        <w:spacing w:after="3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A Lei Municipal nº 2.376, de 22 de maio de 1991 fixa </w:t>
      </w:r>
      <w:r>
        <w:rPr>
          <w:rFonts w:asciiTheme="minorHAnsi" w:hAnsiTheme="minorHAnsi" w:cstheme="minorHAnsi"/>
          <w:sz w:val="24"/>
          <w:szCs w:val="24"/>
        </w:rPr>
        <w:t>requisitos</w:t>
      </w:r>
      <w:r w:rsidRPr="008B67E2">
        <w:rPr>
          <w:rFonts w:asciiTheme="minorHAnsi" w:hAnsiTheme="minorHAnsi" w:cstheme="minorHAnsi"/>
          <w:sz w:val="24"/>
          <w:szCs w:val="24"/>
        </w:rPr>
        <w:t xml:space="preserve"> para apresentação de projetos de lei relativos à denominação de logradouros públicos:</w:t>
      </w:r>
    </w:p>
    <w:p w:rsidR="0016354A" w:rsidRPr="0021604C" w:rsidP="0005478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1604C">
        <w:rPr>
          <w:rFonts w:asciiTheme="minorHAnsi" w:hAnsiTheme="minorHAnsi" w:cstheme="minorHAnsi"/>
          <w:i/>
          <w:sz w:val="22"/>
          <w:szCs w:val="22"/>
        </w:rPr>
        <w:t>Art. 1º Os projetos de denominação de logradouros públicos deverão atender as seguintes exigências:</w:t>
      </w:r>
    </w:p>
    <w:p w:rsidR="0016354A" w:rsidRPr="0021604C" w:rsidP="0005478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1604C">
        <w:rPr>
          <w:rFonts w:asciiTheme="minorHAnsi" w:hAnsiTheme="minorHAnsi" w:cstheme="minorHAnsi"/>
          <w:i/>
          <w:sz w:val="22"/>
          <w:szCs w:val="22"/>
        </w:rPr>
        <w:t xml:space="preserve">I – vir </w:t>
      </w:r>
      <w:r w:rsidRPr="009B5FA6">
        <w:rPr>
          <w:rFonts w:asciiTheme="minorHAnsi" w:hAnsiTheme="minorHAnsi" w:cstheme="minorHAnsi"/>
          <w:i/>
          <w:sz w:val="22"/>
          <w:szCs w:val="22"/>
          <w:u w:val="single"/>
        </w:rPr>
        <w:t>acompanhado de biografia</w:t>
      </w:r>
      <w:r w:rsidRPr="0021604C">
        <w:rPr>
          <w:rFonts w:asciiTheme="minorHAnsi" w:hAnsiTheme="minorHAnsi" w:cstheme="minorHAnsi"/>
          <w:i/>
          <w:sz w:val="22"/>
          <w:szCs w:val="22"/>
        </w:rPr>
        <w:t xml:space="preserve"> do cidadão ou instituição a que se pretende homenagear, com relação dos serviços prestados à comunidade, cargos ocupados, dedicação à causa pública, exemplo de cidadania e outras qualidades que devem ser destacados;</w:t>
      </w:r>
    </w:p>
    <w:p w:rsidR="0016354A" w:rsidRPr="0021604C" w:rsidP="0005478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1604C">
        <w:rPr>
          <w:rFonts w:asciiTheme="minorHAnsi" w:hAnsiTheme="minorHAnsi" w:cstheme="minorHAnsi"/>
          <w:i/>
          <w:sz w:val="22"/>
          <w:szCs w:val="22"/>
        </w:rPr>
        <w:t xml:space="preserve">II – conter </w:t>
      </w:r>
      <w:r w:rsidRPr="009B5FA6">
        <w:rPr>
          <w:rFonts w:asciiTheme="minorHAnsi" w:hAnsiTheme="minorHAnsi" w:cstheme="minorHAnsi"/>
          <w:i/>
          <w:sz w:val="22"/>
          <w:szCs w:val="22"/>
          <w:u w:val="single"/>
        </w:rPr>
        <w:t>apenas uma denominação</w:t>
      </w:r>
      <w:r w:rsidRPr="0021604C">
        <w:rPr>
          <w:rFonts w:asciiTheme="minorHAnsi" w:hAnsiTheme="minorHAnsi" w:cstheme="minorHAnsi"/>
          <w:i/>
          <w:sz w:val="22"/>
          <w:szCs w:val="22"/>
        </w:rPr>
        <w:t xml:space="preserve"> de logradouro em cada projeto;</w:t>
      </w:r>
    </w:p>
    <w:p w:rsidR="0016354A" w:rsidRPr="0021604C" w:rsidP="0005478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1604C">
        <w:rPr>
          <w:rFonts w:asciiTheme="minorHAnsi" w:hAnsiTheme="minorHAnsi" w:cstheme="minorHAnsi"/>
          <w:i/>
          <w:sz w:val="22"/>
          <w:szCs w:val="22"/>
        </w:rPr>
        <w:t xml:space="preserve">III – ser o cidadão </w:t>
      </w:r>
      <w:r w:rsidRPr="009B5FA6">
        <w:rPr>
          <w:rFonts w:asciiTheme="minorHAnsi" w:hAnsiTheme="minorHAnsi" w:cstheme="minorHAnsi"/>
          <w:i/>
          <w:sz w:val="22"/>
          <w:szCs w:val="22"/>
          <w:u w:val="single"/>
        </w:rPr>
        <w:t>homenageado pessoa já falecida há pelo menos noventa dias</w:t>
      </w:r>
      <w:r w:rsidRPr="0021604C">
        <w:rPr>
          <w:rFonts w:asciiTheme="minorHAnsi" w:hAnsiTheme="minorHAnsi" w:cstheme="minorHAnsi"/>
          <w:i/>
          <w:sz w:val="22"/>
          <w:szCs w:val="22"/>
        </w:rPr>
        <w:t>;</w:t>
      </w:r>
    </w:p>
    <w:p w:rsidR="0016354A" w:rsidP="00054784">
      <w:pPr>
        <w:ind w:left="22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1604C">
        <w:rPr>
          <w:rFonts w:asciiTheme="minorHAnsi" w:hAnsiTheme="minorHAnsi" w:cstheme="minorHAnsi"/>
          <w:i/>
          <w:sz w:val="22"/>
          <w:szCs w:val="22"/>
        </w:rPr>
        <w:t xml:space="preserve">IV – que </w:t>
      </w:r>
      <w:r w:rsidRPr="009B5FA6">
        <w:rPr>
          <w:rFonts w:asciiTheme="minorHAnsi" w:hAnsiTheme="minorHAnsi" w:cstheme="minorHAnsi"/>
          <w:i/>
          <w:sz w:val="22"/>
          <w:szCs w:val="22"/>
          <w:u w:val="single"/>
        </w:rPr>
        <w:t xml:space="preserve">não </w:t>
      </w:r>
      <w:r w:rsidRPr="009B5FA6">
        <w:rPr>
          <w:rFonts w:asciiTheme="minorHAnsi" w:hAnsiTheme="minorHAnsi" w:cstheme="minorHAnsi"/>
          <w:i/>
          <w:sz w:val="22"/>
          <w:szCs w:val="22"/>
          <w:u w:val="single"/>
        </w:rPr>
        <w:t>exista</w:t>
      </w:r>
      <w:r w:rsidRPr="009B5FA6">
        <w:rPr>
          <w:rFonts w:asciiTheme="minorHAnsi" w:hAnsiTheme="minorHAnsi" w:cstheme="minorHAnsi"/>
          <w:i/>
          <w:sz w:val="22"/>
          <w:szCs w:val="22"/>
          <w:u w:val="single"/>
        </w:rPr>
        <w:t xml:space="preserve"> outros logradouros públicos com o nome da pessoa ou instituição proposta</w:t>
      </w:r>
      <w:r w:rsidRPr="008B67E2">
        <w:rPr>
          <w:rFonts w:asciiTheme="minorHAnsi" w:hAnsiTheme="minorHAnsi" w:cstheme="minorHAnsi"/>
          <w:i/>
          <w:sz w:val="24"/>
          <w:szCs w:val="24"/>
        </w:rPr>
        <w:t>.</w:t>
      </w:r>
    </w:p>
    <w:p w:rsidR="0016354A" w:rsidRPr="0021604C" w:rsidP="0016354A">
      <w:pPr>
        <w:spacing w:after="120" w:line="360" w:lineRule="auto"/>
        <w:ind w:firstLine="2268"/>
        <w:jc w:val="both"/>
        <w:rPr>
          <w:rFonts w:asciiTheme="minorHAnsi" w:hAnsiTheme="minorHAnsi" w:cstheme="minorHAnsi"/>
          <w:sz w:val="12"/>
          <w:szCs w:val="12"/>
        </w:rPr>
      </w:pPr>
    </w:p>
    <w:p w:rsidR="0016354A" w:rsidRPr="008B67E2" w:rsidP="0016354A">
      <w:pPr>
        <w:spacing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>No mesmo sentido temos as previsões constantes do Regimento Interno</w:t>
      </w:r>
      <w:r>
        <w:rPr>
          <w:rFonts w:asciiTheme="minorHAnsi" w:hAnsiTheme="minorHAnsi" w:cstheme="minorHAnsi"/>
          <w:sz w:val="24"/>
          <w:szCs w:val="24"/>
        </w:rPr>
        <w:t xml:space="preserve"> da CMV</w:t>
      </w:r>
      <w:r w:rsidRPr="008B67E2">
        <w:rPr>
          <w:rFonts w:asciiTheme="minorHAnsi" w:hAnsiTheme="minorHAnsi" w:cstheme="minorHAnsi"/>
          <w:sz w:val="24"/>
          <w:szCs w:val="24"/>
        </w:rPr>
        <w:t>:</w:t>
      </w:r>
    </w:p>
    <w:p w:rsidR="0016354A" w:rsidRPr="008B67E2" w:rsidP="00054784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b/>
          <w:i/>
          <w:sz w:val="22"/>
          <w:szCs w:val="22"/>
        </w:rPr>
        <w:t>Art. 41.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Compete à Comissão de Cultura, Denominação de Logradouros Públicos e Assistência Social:</w:t>
      </w:r>
    </w:p>
    <w:p w:rsidR="0016354A" w:rsidRPr="008B67E2" w:rsidP="0005478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16354A" w:rsidRPr="00CD71B2" w:rsidP="0005478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D71B2">
        <w:rPr>
          <w:rFonts w:asciiTheme="minorHAnsi" w:hAnsiTheme="minorHAnsi" w:cstheme="minorHAnsi"/>
          <w:i/>
          <w:sz w:val="22"/>
          <w:szCs w:val="22"/>
        </w:rPr>
        <w:t xml:space="preserve">§ 1º. Para que o projeto de denominação de logradouro público possa receber parecer da Comissão, deverá atender, obrigatoriamente, às seguintes exigências: </w:t>
      </w:r>
    </w:p>
    <w:p w:rsidR="0016354A" w:rsidRPr="008B67E2" w:rsidP="0005478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 - vir </w:t>
      </w:r>
      <w:r w:rsidRPr="009B5FA6">
        <w:rPr>
          <w:rFonts w:asciiTheme="minorHAnsi" w:hAnsiTheme="minorHAnsi" w:cstheme="minorHAnsi"/>
          <w:i/>
          <w:sz w:val="22"/>
          <w:szCs w:val="22"/>
          <w:u w:val="single"/>
        </w:rPr>
        <w:t>acompanhado de biografia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completa do cidadão ou instituição a que se pretende homenagear, com relação dos serviços prestados à comunidade, cargos ocupados, dedicação à causa pública, exemplo de cidadania e outras qualidades que devam ser destacadas; </w:t>
      </w:r>
    </w:p>
    <w:p w:rsidR="0016354A" w:rsidRPr="008B67E2" w:rsidP="0005478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II - conter </w:t>
      </w:r>
      <w:r w:rsidRPr="009B5FA6">
        <w:rPr>
          <w:rFonts w:asciiTheme="minorHAnsi" w:hAnsiTheme="minorHAnsi" w:cstheme="minorHAnsi"/>
          <w:i/>
          <w:sz w:val="22"/>
          <w:szCs w:val="22"/>
          <w:u w:val="single"/>
        </w:rPr>
        <w:t>apenas uma denominação de logradouro em cada projeto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; </w:t>
      </w:r>
    </w:p>
    <w:p w:rsidR="0016354A" w:rsidRPr="008B67E2" w:rsidP="0005478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III - ser a </w:t>
      </w:r>
      <w:r w:rsidRPr="009B5FA6">
        <w:rPr>
          <w:rFonts w:asciiTheme="minorHAnsi" w:hAnsiTheme="minorHAnsi" w:cstheme="minorHAnsi"/>
          <w:i/>
          <w:sz w:val="22"/>
          <w:szCs w:val="22"/>
          <w:u w:val="single"/>
        </w:rPr>
        <w:t>homenageada pessoa já falecida há pelo menos noventa dias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; </w:t>
      </w:r>
      <w:r w:rsidRPr="008B67E2">
        <w:rPr>
          <w:rFonts w:asciiTheme="minorHAnsi" w:hAnsiTheme="minorHAnsi" w:cstheme="minorHAnsi"/>
          <w:i/>
          <w:sz w:val="22"/>
          <w:szCs w:val="22"/>
        </w:rPr>
        <w:t>e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16354A" w:rsidRPr="008B67E2" w:rsidP="0005478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IV - que </w:t>
      </w:r>
      <w:r w:rsidRPr="009B5FA6">
        <w:rPr>
          <w:rFonts w:asciiTheme="minorHAnsi" w:hAnsiTheme="minorHAnsi" w:cstheme="minorHAnsi"/>
          <w:i/>
          <w:sz w:val="22"/>
          <w:szCs w:val="22"/>
          <w:u w:val="single"/>
        </w:rPr>
        <w:t>não exista outro logradouro público com o nome da pessoa ou instituição proposta</w:t>
      </w:r>
      <w:r w:rsidRPr="008B67E2">
        <w:rPr>
          <w:rFonts w:asciiTheme="minorHAnsi" w:hAnsiTheme="minorHAnsi" w:cstheme="minorHAnsi"/>
          <w:i/>
          <w:sz w:val="22"/>
          <w:szCs w:val="22"/>
        </w:rPr>
        <w:t>.</w:t>
      </w:r>
    </w:p>
    <w:p w:rsidR="0016354A" w:rsidRPr="008B67E2" w:rsidP="0005478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§ 2º. O autor do projeto de denominação de logradouro público terá que obedecer ao prazo de trinta dias entre uma e outra proposição, a contar da data firmada no protocolo da Secretaria Administrativa da Câmara.</w:t>
      </w:r>
    </w:p>
    <w:p w:rsidR="0016354A" w:rsidRPr="008B67E2" w:rsidP="0005478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16354A" w:rsidRPr="00CD71B2" w:rsidP="0005478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D71B2">
        <w:rPr>
          <w:rFonts w:asciiTheme="minorHAnsi" w:hAnsiTheme="minorHAnsi" w:cstheme="minorHAnsi"/>
          <w:i/>
          <w:sz w:val="22"/>
          <w:szCs w:val="22"/>
        </w:rPr>
        <w:t xml:space="preserve">§ 5º </w:t>
      </w:r>
      <w:r w:rsidRPr="009B5FA6">
        <w:rPr>
          <w:rFonts w:asciiTheme="minorHAnsi" w:hAnsiTheme="minorHAnsi" w:cstheme="minorHAnsi"/>
          <w:i/>
          <w:sz w:val="22"/>
          <w:szCs w:val="22"/>
          <w:u w:val="single"/>
        </w:rPr>
        <w:t>Todo projeto que verse sobre denominação de logradouro público, via ou próprio municipal deverá ser instruído com pesquisa junto ao Executivo, atinentes às exigências do § 1º deste artigo, devendo o projeto ser protocolado em até 30 (trinta) dias da data da resposta do Poder Executivo</w:t>
      </w:r>
      <w:r w:rsidRPr="00CD71B2">
        <w:rPr>
          <w:rFonts w:asciiTheme="minorHAnsi" w:hAnsiTheme="minorHAnsi" w:cstheme="minorHAnsi"/>
          <w:i/>
          <w:sz w:val="22"/>
          <w:szCs w:val="22"/>
        </w:rPr>
        <w:t>.</w:t>
      </w:r>
    </w:p>
    <w:p w:rsidR="0016354A" w:rsidRPr="008F402A" w:rsidP="0016354A">
      <w:pPr>
        <w:spacing w:line="264" w:lineRule="auto"/>
        <w:ind w:left="2835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bookmarkStart w:id="0" w:name="_GoBack"/>
      <w:bookmarkEnd w:id="0"/>
    </w:p>
    <w:p w:rsidR="0016354A" w:rsidRPr="006C6250" w:rsidP="00054784">
      <w:pPr>
        <w:spacing w:after="3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6C6250">
        <w:rPr>
          <w:rFonts w:asciiTheme="minorHAnsi" w:hAnsiTheme="minorHAnsi" w:cstheme="minorHAnsi"/>
          <w:sz w:val="24"/>
          <w:szCs w:val="24"/>
        </w:rPr>
        <w:t>Consta do processo legislativo o parecer da Comissão de Cultura, Denominação de Logradouros Públicos e Assistência Social (</w:t>
      </w:r>
      <w:r w:rsidRPr="006C6250" w:rsidR="00A6273C">
        <w:rPr>
          <w:rFonts w:asciiTheme="minorHAnsi" w:hAnsiTheme="minorHAnsi" w:cstheme="minorHAnsi"/>
          <w:b/>
          <w:sz w:val="24"/>
          <w:szCs w:val="24"/>
        </w:rPr>
        <w:t>pág. 0</w:t>
      </w:r>
      <w:r w:rsidRPr="006C6250" w:rsidR="00054784">
        <w:rPr>
          <w:rFonts w:asciiTheme="minorHAnsi" w:hAnsiTheme="minorHAnsi" w:cstheme="minorHAnsi"/>
          <w:b/>
          <w:sz w:val="24"/>
          <w:szCs w:val="24"/>
        </w:rPr>
        <w:t>9</w:t>
      </w:r>
      <w:r w:rsidRPr="006C6250">
        <w:rPr>
          <w:rFonts w:asciiTheme="minorHAnsi" w:hAnsiTheme="minorHAnsi" w:cstheme="minorHAnsi"/>
          <w:sz w:val="24"/>
          <w:szCs w:val="24"/>
        </w:rPr>
        <w:t xml:space="preserve">), razão pela qual </w:t>
      </w:r>
      <w:r w:rsidRPr="006C6250">
        <w:rPr>
          <w:rFonts w:asciiTheme="minorHAnsi" w:hAnsiTheme="minorHAnsi" w:cstheme="minorHAnsi"/>
          <w:sz w:val="24"/>
          <w:szCs w:val="24"/>
        </w:rPr>
        <w:t>depreende-se</w:t>
      </w:r>
      <w:r w:rsidRPr="006C6250">
        <w:rPr>
          <w:rFonts w:asciiTheme="minorHAnsi" w:hAnsiTheme="minorHAnsi" w:cstheme="minorHAnsi"/>
          <w:sz w:val="24"/>
          <w:szCs w:val="24"/>
        </w:rPr>
        <w:t xml:space="preserve"> que já foi realizada a verificação dos requisitos legais.</w:t>
      </w:r>
    </w:p>
    <w:p w:rsidR="0016354A" w:rsidRPr="008B67E2" w:rsidP="00054784">
      <w:pPr>
        <w:spacing w:after="1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A matéria tratada na propositura em análise não está inserida no rol </w:t>
      </w:r>
      <w:r w:rsidRPr="008B67E2">
        <w:rPr>
          <w:rFonts w:asciiTheme="minorHAnsi" w:hAnsiTheme="minorHAnsi" w:cstheme="minorHAnsi"/>
          <w:i/>
          <w:sz w:val="24"/>
          <w:szCs w:val="24"/>
        </w:rPr>
        <w:t>numerus</w:t>
      </w:r>
      <w:r w:rsidRPr="008B67E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B67E2">
        <w:rPr>
          <w:rFonts w:asciiTheme="minorHAnsi" w:hAnsiTheme="minorHAnsi" w:cstheme="minorHAnsi"/>
          <w:i/>
          <w:sz w:val="24"/>
          <w:szCs w:val="24"/>
        </w:rPr>
        <w:t>clausus</w:t>
      </w:r>
      <w:r w:rsidRPr="008B67E2">
        <w:rPr>
          <w:rFonts w:asciiTheme="minorHAnsi" w:hAnsiTheme="minorHAnsi" w:cstheme="minorHAnsi"/>
          <w:sz w:val="24"/>
          <w:szCs w:val="24"/>
        </w:rPr>
        <w:t xml:space="preserve"> que confere iniciativa reservada ao Chefe do Poder Executivo nos processos legislativos (art. 61,</w:t>
      </w:r>
      <w:r w:rsidRPr="008B67E2">
        <w:rPr>
          <w:rFonts w:ascii="Calibri" w:hAnsi="Calibri" w:cs="Courier New"/>
          <w:sz w:val="24"/>
          <w:szCs w:val="24"/>
        </w:rPr>
        <w:t xml:space="preserve"> CF; art. 24, § 2º da Constituição Bandeirante; e art. 48, da LOM</w:t>
      </w:r>
      <w:r w:rsidRPr="008B67E2">
        <w:rPr>
          <w:rFonts w:asciiTheme="minorHAnsi" w:hAnsiTheme="minorHAnsi" w:cstheme="minorHAnsi"/>
          <w:sz w:val="24"/>
          <w:szCs w:val="24"/>
        </w:rPr>
        <w:t>).</w:t>
      </w:r>
    </w:p>
    <w:p w:rsidR="0016354A" w:rsidRPr="008B67E2" w:rsidP="00054784">
      <w:pPr>
        <w:spacing w:after="1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>O Suprem</w:t>
      </w:r>
      <w:r>
        <w:rPr>
          <w:rFonts w:asciiTheme="minorHAnsi" w:hAnsiTheme="minorHAnsi" w:cstheme="minorHAnsi"/>
          <w:sz w:val="24"/>
          <w:szCs w:val="24"/>
        </w:rPr>
        <w:t>o Tribunal Federal, em sede de recurso e</w:t>
      </w:r>
      <w:r w:rsidRPr="008B67E2">
        <w:rPr>
          <w:rFonts w:asciiTheme="minorHAnsi" w:hAnsiTheme="minorHAnsi" w:cstheme="minorHAnsi"/>
          <w:sz w:val="24"/>
          <w:szCs w:val="24"/>
        </w:rPr>
        <w:t xml:space="preserve">xtraordinário com repercussão geral reconhecida, assentou entendimento no sentido </w:t>
      </w:r>
      <w:r w:rsidRPr="008B67E2">
        <w:rPr>
          <w:rFonts w:asciiTheme="minorHAnsi" w:hAnsiTheme="minorHAnsi"/>
          <w:sz w:val="24"/>
          <w:szCs w:val="24"/>
        </w:rPr>
        <w:t xml:space="preserve">da </w:t>
      </w:r>
      <w:r w:rsidRPr="008B67E2">
        <w:rPr>
          <w:rFonts w:asciiTheme="minorHAnsi" w:hAnsiTheme="minorHAnsi"/>
          <w:b/>
          <w:sz w:val="24"/>
          <w:szCs w:val="24"/>
        </w:rPr>
        <w:t xml:space="preserve">existência de </w:t>
      </w:r>
      <w:r w:rsidRPr="008B67E2">
        <w:rPr>
          <w:rFonts w:asciiTheme="minorHAnsi" w:hAnsiTheme="minorHAnsi"/>
          <w:b/>
          <w:sz w:val="24"/>
          <w:szCs w:val="24"/>
        </w:rPr>
        <w:t xml:space="preserve">uma coabitação normativa entre os Poderes Executivo (decreto) e Legislativo (lei formal), para o exercício da competência destinada </w:t>
      </w:r>
      <w:r w:rsidRPr="008B67E2">
        <w:rPr>
          <w:rFonts w:asciiTheme="minorHAnsi" w:hAnsiTheme="minorHAnsi"/>
          <w:b/>
          <w:sz w:val="24"/>
          <w:szCs w:val="24"/>
        </w:rPr>
        <w:t>a</w:t>
      </w:r>
      <w:r w:rsidRPr="008B67E2">
        <w:rPr>
          <w:rFonts w:asciiTheme="minorHAnsi" w:hAnsiTheme="minorHAnsi"/>
          <w:b/>
          <w:sz w:val="24"/>
          <w:szCs w:val="24"/>
        </w:rPr>
        <w:t xml:space="preserve"> denominação de próprios, vias e logradouros públicos e suas alterações</w:t>
      </w:r>
      <w:r w:rsidRPr="008B67E2">
        <w:rPr>
          <w:rFonts w:asciiTheme="minorHAnsi" w:hAnsiTheme="minorHAnsi" w:cstheme="minorHAnsi"/>
          <w:sz w:val="24"/>
          <w:szCs w:val="24"/>
        </w:rPr>
        <w:t>:</w:t>
      </w:r>
    </w:p>
    <w:p w:rsidR="0016354A" w:rsidRPr="008B67E2" w:rsidP="00054784">
      <w:pPr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  </w:t>
      </w: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>SUPREMO TRIBUNAL FEDERAL</w:t>
      </w:r>
    </w:p>
    <w:p w:rsidR="0016354A" w:rsidRPr="00B351E2" w:rsidP="00054784">
      <w:pPr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351E2">
        <w:rPr>
          <w:rFonts w:asciiTheme="minorHAnsi" w:hAnsiTheme="minorHAnsi" w:cstheme="minorHAnsi"/>
          <w:b/>
          <w:i/>
          <w:sz w:val="22"/>
          <w:szCs w:val="22"/>
        </w:rPr>
        <w:t>03/10/2019</w:t>
      </w:r>
    </w:p>
    <w:p w:rsidR="0016354A" w:rsidRPr="00BD03A3" w:rsidP="00054784">
      <w:pPr>
        <w:ind w:left="2268"/>
        <w:jc w:val="both"/>
        <w:rPr>
          <w:rFonts w:asciiTheme="minorHAnsi" w:hAnsiTheme="minorHAnsi"/>
          <w:b/>
          <w:i/>
          <w:sz w:val="22"/>
          <w:szCs w:val="22"/>
        </w:rPr>
      </w:pPr>
      <w:r w:rsidRPr="00BD03A3">
        <w:rPr>
          <w:rFonts w:asciiTheme="minorHAnsi" w:hAnsiTheme="minorHAnsi"/>
          <w:b/>
          <w:i/>
          <w:sz w:val="22"/>
          <w:szCs w:val="22"/>
        </w:rPr>
        <w:t>RECURSO EXTRAORDINÁRIO 1.151.237 SÃO PAULO</w:t>
      </w:r>
    </w:p>
    <w:p w:rsidR="0016354A" w:rsidP="00054784">
      <w:pPr>
        <w:ind w:left="2268"/>
        <w:jc w:val="both"/>
        <w:rPr>
          <w:rFonts w:asciiTheme="minorHAnsi" w:hAnsiTheme="minorHAnsi"/>
          <w:i/>
          <w:sz w:val="22"/>
          <w:szCs w:val="22"/>
        </w:rPr>
      </w:pPr>
    </w:p>
    <w:p w:rsidR="0016354A" w:rsidRPr="008B67E2" w:rsidP="00054784">
      <w:pPr>
        <w:ind w:left="2268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Ementa: 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RECURSO EXTRAORDINÁRIO COM REPERCUSSÃO GERAL RECONHECIDA. COMPETÊNCIA PARA DENOMINAÇÃO DEPRÓPRIOS, VIAS E LOGRADOUROS PÚBLICOS E SUAS ALTERAÇÕES. </w:t>
      </w:r>
      <w:r w:rsidRPr="008B67E2">
        <w:rPr>
          <w:rFonts w:asciiTheme="minorHAnsi" w:hAnsiTheme="minorHAnsi"/>
          <w:b/>
          <w:i/>
          <w:sz w:val="22"/>
          <w:szCs w:val="22"/>
          <w:u w:val="single"/>
        </w:rPr>
        <w:t>COABITAÇÃO NORMATIVA ENTRE OS PODERES EXECUTIVO</w:t>
      </w:r>
      <w:r w:rsidRPr="008B67E2">
        <w:rPr>
          <w:rFonts w:asciiTheme="minorHAnsi" w:hAnsiTheme="minorHAnsi"/>
          <w:b/>
          <w:i/>
          <w:sz w:val="22"/>
          <w:szCs w:val="22"/>
          <w:u w:val="single"/>
        </w:rPr>
        <w:t xml:space="preserve">  </w:t>
      </w:r>
      <w:r w:rsidRPr="008B67E2">
        <w:rPr>
          <w:rFonts w:asciiTheme="minorHAnsi" w:hAnsiTheme="minorHAnsi"/>
          <w:b/>
          <w:i/>
          <w:sz w:val="22"/>
          <w:szCs w:val="22"/>
          <w:u w:val="single"/>
        </w:rPr>
        <w:t>(DECRETO) E O LEGISLATIVO (LEI FORMAL), CADA QUAL NO ÂMBITO DE SUAS ATRIBUIÇÕES</w:t>
      </w:r>
      <w:r w:rsidRPr="008B67E2">
        <w:rPr>
          <w:rFonts w:asciiTheme="minorHAnsi" w:hAnsiTheme="minorHAnsi"/>
          <w:i/>
          <w:sz w:val="22"/>
          <w:szCs w:val="22"/>
          <w:u w:val="single"/>
        </w:rPr>
        <w:t xml:space="preserve">. </w:t>
      </w:r>
    </w:p>
    <w:p w:rsidR="0016354A" w:rsidRPr="008B67E2" w:rsidP="00054784">
      <w:pPr>
        <w:ind w:left="2268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1. Tem-se, na origem, ação direta de inconstitucionalidade proposta perante o Tribunal de Justiça do Estado de São Paulo em face do art. 33, XII, da Lei Orgânica do Município de Sorocaba, que assim dispõe: “</w:t>
      </w:r>
      <w:r w:rsidRPr="008B67E2">
        <w:rPr>
          <w:rFonts w:asciiTheme="minorHAnsi" w:hAnsiTheme="minorHAnsi"/>
          <w:b/>
          <w:i/>
          <w:sz w:val="22"/>
          <w:szCs w:val="22"/>
        </w:rPr>
        <w:t>Art.33. Cabe à Câmara Municipal, com a sanção do Prefeito, legislar sobre as matérias de competência do Município, especialmente no que se refere ao seguinte: (...) XII – denominação de próprios, vias e logradouros públicos e suas alterações</w:t>
      </w:r>
      <w:r w:rsidRPr="008B67E2">
        <w:rPr>
          <w:rFonts w:asciiTheme="minorHAnsi" w:hAnsiTheme="minorHAnsi"/>
          <w:i/>
          <w:sz w:val="22"/>
          <w:szCs w:val="22"/>
        </w:rPr>
        <w:t xml:space="preserve">”. </w:t>
      </w:r>
    </w:p>
    <w:p w:rsidR="0016354A" w:rsidRPr="008B67E2" w:rsidP="00054784">
      <w:pPr>
        <w:ind w:left="2268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2. Na inicial da ação direta, a Procuradoria-Geral de Justiça do Estado de São Paulo sustenta que tal atribuição é privativa do Chefe do Poder Executivo. </w:t>
      </w:r>
    </w:p>
    <w:p w:rsidR="0016354A" w:rsidRPr="008B67E2" w:rsidP="00054784">
      <w:pPr>
        <w:ind w:left="2268"/>
        <w:jc w:val="both"/>
        <w:rPr>
          <w:rFonts w:asciiTheme="minorHAnsi" w:hAnsiTheme="minorHAnsi" w:cs="Arial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3. O Tribunal de Justiça do Estado de São Paulo julgou procedente a ação no ponto, por considerar que a denominação de vias públicas compete tanto ao Poder Legislativo, quanto ao Executivo. Assim, reputou inconstitucional a norma, porque concede tal prerrogativa unicamente à Câmara Municipal.</w:t>
      </w:r>
      <w:r w:rsidRPr="008B67E2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16354A" w:rsidRPr="008B67E2" w:rsidP="00054784">
      <w:pPr>
        <w:ind w:left="2268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4. A Constituição Federal consagrou o Município como entidade federativa indispensável ao nosso sistema federativo, integrando-o na organização político-administrativa e garantindo-lhe plena autonomia, como se nota na análise dos artigos 1º, 18, 29, 30 e 34, VII, c, todos da Constituição Federal.</w:t>
      </w:r>
    </w:p>
    <w:p w:rsidR="0016354A" w:rsidRPr="008B67E2" w:rsidP="00054784">
      <w:pPr>
        <w:ind w:left="2268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5. As competências legislativas do município caracterizam-se pelo princípio da predominância do interesse local, que, apesar de difícil conceituação, refere-se àqueles interesses que disserem respeito mais diretamente às suas necessidades imediatas. </w:t>
      </w:r>
    </w:p>
    <w:p w:rsidR="0016354A" w:rsidRPr="008B67E2" w:rsidP="00054784">
      <w:pPr>
        <w:ind w:left="2268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6. A atividade legislativa municipal submete-se à Lei Orgânica dos municípios, à qual cabe o importante papel de definir, mesmo que exemplificativamente, as matérias de competência legislativa da Câmara, uma vez que a Constituição Federal (artigos 30 e 31) não as exaure, pois usa a expressão interesse local como catalisador dos assuntos de competência municipal. Essa função legislativa é exercida </w:t>
      </w:r>
      <w:r w:rsidRPr="008B67E2">
        <w:rPr>
          <w:rFonts w:asciiTheme="minorHAnsi" w:hAnsiTheme="minorHAnsi"/>
          <w:i/>
          <w:sz w:val="22"/>
          <w:szCs w:val="22"/>
        </w:rPr>
        <w:t>pela Câmara dos Vereadores, que é o órgão legislativo do município, em colaboração com o prefeito, a quem cabe também o poder de iniciativa das leis, assim como o poder de sancioná-las e promulgá-las, nos termos propostos como modelo, pelo processo legislativo federal.</w:t>
      </w:r>
    </w:p>
    <w:p w:rsidR="0016354A" w:rsidRPr="008B67E2" w:rsidP="00054784">
      <w:pPr>
        <w:ind w:left="2268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7. </w:t>
      </w:r>
      <w:r w:rsidRPr="008B67E2">
        <w:rPr>
          <w:rFonts w:asciiTheme="minorHAnsi" w:hAnsiTheme="minorHAnsi"/>
          <w:b/>
          <w:i/>
          <w:sz w:val="22"/>
          <w:szCs w:val="22"/>
        </w:rPr>
        <w:t>A Lei Orgânica do Município de Sorocaba, ao estabelecer, em seu artigo 33, inciso XII, como matéria de interesse local, e, consequentemente, de competência legislativa municipal, a disciplina de denominação de próprios, vias e logradouros públicos e suas alterações, representa legítimo exercício da competência legislativa municipal. Não há dúvida de que se trata de assunto predominantemente de interesse local (CF, art. 30, I).</w:t>
      </w:r>
    </w:p>
    <w:p w:rsidR="0016354A" w:rsidRPr="008B67E2" w:rsidP="00054784">
      <w:pPr>
        <w:ind w:left="2268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8. Por outro lado, a norma em exame não incidiu em qualquer desrespeito à Separação de Poderes, </w:t>
      </w:r>
      <w:r w:rsidRPr="008B67E2">
        <w:rPr>
          <w:rFonts w:asciiTheme="minorHAnsi" w:hAnsiTheme="minorHAnsi"/>
          <w:b/>
          <w:i/>
          <w:sz w:val="22"/>
          <w:szCs w:val="22"/>
        </w:rPr>
        <w:t>pois a matéria referente à “denominação de próprios, vias e logradouros públicos e suas alterações” não pode ser limitada tão somente à questão de “atos de gestão do Executivo”, pois, no exercício dessa competência, o Poder Legislativo local poderá realizar homenagens cívicas, bem como colaborar na concretização da memorização da história e da proteção do patrimônio cultural imaterial do Município.</w:t>
      </w:r>
    </w:p>
    <w:p w:rsidR="0016354A" w:rsidRPr="008B67E2" w:rsidP="00054784">
      <w:pPr>
        <w:ind w:left="2268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9. Em nenhum momento, a Lei Orgânica Municipal afastou expressamente a iniciativa concorrente para propositura do projeto de lei sobre a matéria. Portanto, deve ser interpretada no sentido de não excluirá competência administrativa do Prefeito Municipal para a prática de atos de gestão referentes </w:t>
      </w:r>
      <w:r w:rsidRPr="008B67E2">
        <w:rPr>
          <w:rFonts w:asciiTheme="minorHAnsi" w:hAnsiTheme="minorHAnsi"/>
          <w:i/>
          <w:sz w:val="22"/>
          <w:szCs w:val="22"/>
        </w:rPr>
        <w:t>a</w:t>
      </w:r>
      <w:r w:rsidRPr="008B67E2">
        <w:rPr>
          <w:rFonts w:asciiTheme="minorHAnsi" w:hAnsiTheme="minorHAnsi"/>
          <w:i/>
          <w:sz w:val="22"/>
          <w:szCs w:val="22"/>
        </w:rPr>
        <w:t xml:space="preserve"> matéria; mas, também, por estabelecer ao Poder Legislativo, no exercício de competência legislativa, baseada no princípio da predominância do interesse, a possibilidade de edição de leis para definir denominação de próprios, vias e logradouros públicos e suas alterações . </w:t>
      </w:r>
    </w:p>
    <w:p w:rsidR="0016354A" w:rsidRPr="008B67E2" w:rsidP="00054784">
      <w:pPr>
        <w:ind w:left="2268"/>
        <w:jc w:val="both"/>
        <w:rPr>
          <w:rFonts w:asciiTheme="minorHAnsi" w:hAnsiTheme="minorHAnsi"/>
          <w:b/>
          <w:i/>
          <w:sz w:val="22"/>
          <w:szCs w:val="22"/>
        </w:rPr>
      </w:pPr>
      <w:r w:rsidRPr="008B67E2">
        <w:rPr>
          <w:rFonts w:asciiTheme="minorHAnsi" w:hAnsiTheme="minorHAnsi"/>
          <w:b/>
          <w:i/>
          <w:sz w:val="22"/>
          <w:szCs w:val="22"/>
        </w:rPr>
        <w:t xml:space="preserve">10. Recurso Extraordinário provido, para declarar a constitucionalidade do art. 33, XII, da Lei Orgânica do Município de Sorocaba, concedendo-lhe interpretação conforme </w:t>
      </w:r>
      <w:r w:rsidRPr="008B67E2">
        <w:rPr>
          <w:rFonts w:asciiTheme="minorHAnsi" w:hAnsiTheme="minorHAnsi"/>
          <w:b/>
          <w:i/>
          <w:sz w:val="22"/>
          <w:szCs w:val="22"/>
        </w:rPr>
        <w:t>à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 Constituição Federal, no sentido da existência de uma coabitação normativa entre os Poderes Executivo (decreto) e o Legislativo (lei formal), para o exercício da competência destinada a “denominação de próprios, vias e logradouros públicos e suas alterações”, cada qual no âmbito de suas atribuições.</w:t>
      </w:r>
    </w:p>
    <w:p w:rsidR="0016354A" w:rsidP="00054784">
      <w:pPr>
        <w:ind w:left="2268"/>
        <w:jc w:val="both"/>
        <w:rPr>
          <w:rFonts w:asciiTheme="minorHAnsi" w:hAnsiTheme="minorHAnsi"/>
          <w:b/>
          <w:i/>
          <w:sz w:val="22"/>
          <w:szCs w:val="22"/>
        </w:rPr>
      </w:pPr>
      <w:r w:rsidRPr="008B67E2">
        <w:rPr>
          <w:rFonts w:asciiTheme="minorHAnsi" w:hAnsiTheme="minorHAnsi"/>
          <w:b/>
          <w:i/>
          <w:sz w:val="22"/>
          <w:szCs w:val="22"/>
        </w:rPr>
        <w:t xml:space="preserve">11. Fixada a seguinte tese de Repercussão Geral: "É comum aos poderes Executivo (decreto) e Legislativo (lei formal) a competência destinada </w:t>
      </w:r>
      <w:r w:rsidRPr="008B67E2">
        <w:rPr>
          <w:rFonts w:asciiTheme="minorHAnsi" w:hAnsiTheme="minorHAnsi"/>
          <w:b/>
          <w:i/>
          <w:sz w:val="22"/>
          <w:szCs w:val="22"/>
        </w:rPr>
        <w:t>a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 denominação de próprios, vias e logradouros públicos e suas alterações, cada qual no âmbito de suas atribuições". </w:t>
      </w:r>
    </w:p>
    <w:p w:rsidR="0016354A" w:rsidRPr="008B67E2" w:rsidP="00054784">
      <w:pPr>
        <w:ind w:left="2268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16354A" w:rsidRPr="008B67E2" w:rsidP="00054784">
      <w:pPr>
        <w:ind w:left="2268"/>
        <w:jc w:val="both"/>
        <w:rPr>
          <w:rFonts w:asciiTheme="minorHAnsi" w:hAnsiTheme="minorHAnsi"/>
          <w:b/>
          <w:i/>
          <w:sz w:val="22"/>
          <w:szCs w:val="22"/>
        </w:rPr>
      </w:pPr>
      <w:r w:rsidRPr="008B67E2">
        <w:rPr>
          <w:rFonts w:asciiTheme="minorHAnsi" w:hAnsiTheme="minorHAnsi"/>
          <w:b/>
          <w:i/>
          <w:sz w:val="22"/>
          <w:szCs w:val="22"/>
        </w:rPr>
        <w:t>A C Ó R D ÃO</w:t>
      </w:r>
    </w:p>
    <w:p w:rsidR="0016354A" w:rsidRPr="008B67E2" w:rsidP="00054784">
      <w:pPr>
        <w:ind w:left="2268"/>
        <w:jc w:val="both"/>
        <w:rPr>
          <w:rFonts w:asciiTheme="minorHAnsi" w:hAnsiTheme="minorHAnsi"/>
          <w:i/>
          <w:sz w:val="4"/>
          <w:szCs w:val="4"/>
        </w:rPr>
      </w:pPr>
    </w:p>
    <w:p w:rsidR="00054784" w:rsidP="00054784">
      <w:pPr>
        <w:ind w:left="2268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Vistos, relatados e discutidos estes autos, os Ministros do Supremo Tribunal Federal, em Plenário, sob a Presidência do Senhor Ministro DIAS TOFFOLI, em conformidade com a ata de julgamento e as notas </w:t>
      </w:r>
      <w:r w:rsidRPr="008B67E2">
        <w:rPr>
          <w:rFonts w:asciiTheme="minorHAnsi" w:hAnsiTheme="minorHAnsi"/>
          <w:i/>
          <w:sz w:val="22"/>
          <w:szCs w:val="22"/>
        </w:rPr>
        <w:t xml:space="preserve">taquigráficas, preliminarmente, por unanimidade, reconheceu a existência de matéria constitucional e de repercussão geral. Por maioria, vencidos os Ministros ROBERTO BARROSO e MARCO AURÉLIO, deram provimento ao recurso extraordinário para declarar a constitucionalidade do art. 33, XII, da Lei Orgânica do Município de Sorocaba, concedendo-lhe interpretação conforme </w:t>
      </w:r>
      <w:r w:rsidRPr="008B67E2">
        <w:rPr>
          <w:rFonts w:asciiTheme="minorHAnsi" w:hAnsiTheme="minorHAnsi"/>
          <w:i/>
          <w:sz w:val="22"/>
          <w:szCs w:val="22"/>
        </w:rPr>
        <w:t>à</w:t>
      </w:r>
      <w:r w:rsidRPr="008B67E2">
        <w:rPr>
          <w:rFonts w:asciiTheme="minorHAnsi" w:hAnsiTheme="minorHAnsi"/>
          <w:i/>
          <w:sz w:val="22"/>
          <w:szCs w:val="22"/>
        </w:rPr>
        <w:t xml:space="preserve"> Constituição Federal, no sentido da existência de uma coabitação normativa entre os Poderes do Executivo (decreto) e o Legislativo (lei formal), para o exercício da competência destinada a denominação de próprios, vias e logradouros públicos e suas alterações, cada qual no âmbito de suas atribuições, nos termos do voto do Relator, em que foi fixada a seguinte tese: "É comum aos poderes Executivo (decreto) e Legislativo (lei formal) a competência destinada a denominação de próprios, vias e logradouros públicos e suas alterações, cada qual no âmbito de suas atribuições". Não participou, justificadamente, deste julgamento, a Ministra CÁRMEN LÚCIA. Ausentes, justificadamente, os Ministros CELSO DE MELLO e RICARDOLEWANDOWSKI. </w:t>
      </w:r>
    </w:p>
    <w:p w:rsidR="00054784" w:rsidP="00054784">
      <w:pPr>
        <w:ind w:left="2268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Brasília, </w:t>
      </w:r>
      <w:r w:rsidRPr="008B67E2">
        <w:rPr>
          <w:rFonts w:asciiTheme="minorHAnsi" w:hAnsiTheme="minorHAnsi"/>
          <w:i/>
          <w:sz w:val="22"/>
          <w:szCs w:val="22"/>
        </w:rPr>
        <w:t>3</w:t>
      </w:r>
      <w:r w:rsidRPr="008B67E2">
        <w:rPr>
          <w:rFonts w:asciiTheme="minorHAnsi" w:hAnsiTheme="minorHAnsi"/>
          <w:i/>
          <w:sz w:val="22"/>
          <w:szCs w:val="22"/>
        </w:rPr>
        <w:t xml:space="preserve"> de outubro de 2019.</w:t>
      </w:r>
    </w:p>
    <w:p w:rsidR="0016354A" w:rsidRPr="008B67E2" w:rsidP="00054784">
      <w:pPr>
        <w:ind w:left="2268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Ministro ALEXANDREDE MORAES –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8B67E2">
        <w:rPr>
          <w:rFonts w:asciiTheme="minorHAnsi" w:hAnsiTheme="minorHAnsi"/>
          <w:i/>
          <w:sz w:val="22"/>
          <w:szCs w:val="22"/>
        </w:rPr>
        <w:t>Relator</w:t>
      </w:r>
    </w:p>
    <w:p w:rsidR="0016354A" w:rsidRPr="00054784" w:rsidP="00054784">
      <w:pPr>
        <w:ind w:left="2835"/>
        <w:jc w:val="both"/>
        <w:rPr>
          <w:rFonts w:asciiTheme="minorHAnsi" w:hAnsiTheme="minorHAnsi"/>
          <w:i/>
          <w:sz w:val="12"/>
          <w:szCs w:val="12"/>
        </w:rPr>
      </w:pPr>
    </w:p>
    <w:p w:rsidR="0016354A" w:rsidRPr="008B67E2" w:rsidP="00054784">
      <w:pPr>
        <w:pStyle w:val="NormalWeb"/>
        <w:spacing w:line="360" w:lineRule="auto"/>
        <w:ind w:firstLine="1701"/>
        <w:jc w:val="both"/>
        <w:rPr>
          <w:rFonts w:asciiTheme="minorHAnsi" w:hAnsiTheme="minorHAnsi" w:cstheme="minorHAnsi"/>
        </w:rPr>
      </w:pPr>
      <w:r w:rsidRPr="008B67E2">
        <w:rPr>
          <w:rFonts w:asciiTheme="minorHAnsi" w:hAnsiTheme="minorHAnsi" w:cstheme="minorHAnsi"/>
        </w:rPr>
        <w:t>No mesmo sentido, colacionamos decisão d</w:t>
      </w:r>
      <w:r>
        <w:rPr>
          <w:rFonts w:asciiTheme="minorHAnsi" w:hAnsiTheme="minorHAnsi" w:cstheme="minorHAnsi"/>
        </w:rPr>
        <w:t xml:space="preserve">o Tribunal de </w:t>
      </w:r>
      <w:r w:rsidR="003F2D78">
        <w:rPr>
          <w:rFonts w:asciiTheme="minorHAnsi" w:hAnsiTheme="minorHAnsi" w:cstheme="minorHAnsi"/>
        </w:rPr>
        <w:t>Justiça</w:t>
      </w:r>
      <w:r>
        <w:rPr>
          <w:rFonts w:asciiTheme="minorHAnsi" w:hAnsiTheme="minorHAnsi" w:cstheme="minorHAnsi"/>
        </w:rPr>
        <w:t xml:space="preserve"> do Estado de São Paulo</w:t>
      </w:r>
      <w:r w:rsidRPr="008B67E2">
        <w:rPr>
          <w:rFonts w:asciiTheme="minorHAnsi" w:hAnsiTheme="minorHAnsi" w:cstheme="minorHAnsi"/>
        </w:rPr>
        <w:t>:</w:t>
      </w:r>
    </w:p>
    <w:p w:rsidR="0016354A" w:rsidRPr="00054784" w:rsidP="00054784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– LEI Nº 2.086, DE 25 DE MAIO DE 2110, DO MUNICÍPIO DE ITAPECERICA DA SERRA – INICIATIVA PARLAMENTAR – DENOMINAÇÃO DE LOGRADOUROS PÚBLICOS – VÍCIO DE INICIATIVA – INEXISTÊNCIA – INICIATIVA LEGISLATIVA COMUM - INCONSTITUCIONALIDADE – INEXISTÊNCIA. 1. O Tribunal de Justiça tem competência para julgar a representação de inconstitucionalidade de lei ou ato normativo estadual ou municipal em face da Constituição Estadual (art. 125, § 2º, CF, e art. 74, </w:t>
      </w: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VI,</w:t>
      </w: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CE). Inadmissibilidade de manejo da ação direta para contrapor leis infraconstitucionais. Conflito de leis que não se confunde com ofensa aos princípios da legalidade e harmonia entre os Poderes. </w:t>
      </w:r>
      <w:r w:rsidRPr="008B67E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2. É comum aos poderes Executivo (decreto) e Legislativo (lei formal) a competência destinada </w:t>
      </w:r>
      <w:r w:rsidRPr="008B67E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</w:t>
      </w:r>
      <w:r w:rsidRPr="008B67E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denominação de próprios, vias e logradouros públicos e suas alterações, cada qual no âmbito de suas atribuições (Tema nº 1.070 do STF).</w:t>
      </w: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Ação direta de inconstitucionalidade improcedente. </w:t>
      </w:r>
      <w:r w:rsidRPr="00054784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(TJSP;</w:t>
      </w:r>
      <w:r w:rsidRPr="00054784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054784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Direta de Inconstitucionalidade 2216092-06.2021.8.26.0000; Relator (a): Décio </w:t>
      </w:r>
      <w:r w:rsidRPr="00054784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Notarangeli</w:t>
      </w:r>
      <w:r w:rsidRPr="00054784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09/02/2022; Data de Registro: 10/02/2022)</w:t>
      </w:r>
    </w:p>
    <w:p w:rsidR="00D76529" w:rsidP="00D76529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76529" w:rsidRPr="00BD03A3" w:rsidP="00D76529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6354A" w:rsidRPr="008B67E2" w:rsidP="0016354A">
      <w:pPr>
        <w:pStyle w:val="NormalWeb"/>
        <w:spacing w:before="0" w:beforeAutospacing="0" w:after="120" w:afterAutospacing="0" w:line="360" w:lineRule="auto"/>
        <w:ind w:firstLine="2268"/>
        <w:jc w:val="both"/>
        <w:rPr>
          <w:rFonts w:asciiTheme="minorHAnsi" w:hAnsiTheme="minorHAnsi" w:cstheme="minorHAnsi"/>
        </w:rPr>
      </w:pPr>
      <w:r w:rsidRPr="008B67E2">
        <w:rPr>
          <w:rFonts w:asciiTheme="minorHAnsi" w:hAnsiTheme="minorHAnsi" w:cstheme="minorHAnsi"/>
        </w:rPr>
        <w:t>Por fim, no que tange à forma o projeto atende aos preceitos da Lei Complementar nº 95/98 que dispõe sobre a elaboração, a redação, a alteração e a consolidação das leis, conforme determina o parágrafo único do art. 59 da Constituição Federal e estabelece normas para a consolidação dos atos normativos que menciona.</w:t>
      </w:r>
    </w:p>
    <w:p w:rsidR="0016354A" w:rsidRPr="008B67E2" w:rsidP="0016354A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839D4">
        <w:rPr>
          <w:rFonts w:ascii="Calibri" w:eastAsia="Calibri" w:hAnsi="Calibri" w:cs="Calibri"/>
          <w:sz w:val="24"/>
          <w:szCs w:val="24"/>
        </w:rPr>
        <w:t xml:space="preserve">Ante todo o exposto, </w:t>
      </w:r>
      <w:r w:rsidRPr="008839D4">
        <w:rPr>
          <w:rFonts w:asciiTheme="minorHAnsi" w:hAnsiTheme="minorHAnsi" w:cstheme="minorHAnsi"/>
          <w:sz w:val="24"/>
          <w:szCs w:val="24"/>
        </w:rPr>
        <w:t xml:space="preserve">opinamos pela constitucionalidade </w:t>
      </w:r>
      <w:r>
        <w:rPr>
          <w:rFonts w:asciiTheme="minorHAnsi" w:hAnsiTheme="minorHAnsi" w:cstheme="minorHAnsi"/>
          <w:sz w:val="24"/>
          <w:szCs w:val="24"/>
        </w:rPr>
        <w:t xml:space="preserve">e legalidade </w:t>
      </w:r>
      <w:r w:rsidRPr="008839D4">
        <w:rPr>
          <w:rFonts w:asciiTheme="minorHAnsi" w:hAnsiTheme="minorHAnsi" w:cstheme="minorHAnsi"/>
          <w:sz w:val="24"/>
          <w:szCs w:val="24"/>
        </w:rPr>
        <w:t>do projeto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8B67E2">
        <w:rPr>
          <w:rFonts w:ascii="Calibri" w:eastAsia="Calibri" w:hAnsi="Calibri" w:cs="Calibri"/>
          <w:b/>
          <w:sz w:val="24"/>
          <w:szCs w:val="24"/>
        </w:rPr>
        <w:t>No mérito</w:t>
      </w:r>
      <w:r w:rsidR="008C6A4C">
        <w:rPr>
          <w:rFonts w:ascii="Calibri" w:eastAsia="Calibri" w:hAnsi="Calibri" w:cs="Calibri"/>
          <w:b/>
          <w:sz w:val="24"/>
          <w:szCs w:val="24"/>
        </w:rPr>
        <w:t>, o</w:t>
      </w:r>
      <w:r>
        <w:rPr>
          <w:rFonts w:ascii="Calibri" w:eastAsia="Calibri" w:hAnsi="Calibri" w:cs="Calibri"/>
          <w:b/>
          <w:sz w:val="24"/>
          <w:szCs w:val="24"/>
        </w:rPr>
        <w:t xml:space="preserve"> Plenário é </w:t>
      </w:r>
      <w:r w:rsidRPr="008B67E2">
        <w:rPr>
          <w:rFonts w:ascii="Calibri" w:eastAsia="Calibri" w:hAnsi="Calibri" w:cs="Calibri"/>
          <w:b/>
          <w:sz w:val="24"/>
          <w:szCs w:val="24"/>
        </w:rPr>
        <w:t>soberano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16354A" w:rsidRPr="008B67E2" w:rsidP="0016354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8B67E2">
        <w:rPr>
          <w:rFonts w:asciiTheme="minorHAnsi" w:hAnsiTheme="minorHAnsi" w:cstheme="minorHAnsi"/>
          <w:color w:val="auto"/>
        </w:rPr>
        <w:t xml:space="preserve"> </w:t>
      </w:r>
      <w:r w:rsidRPr="008B67E2">
        <w:rPr>
          <w:rFonts w:asciiTheme="minorHAnsi" w:hAnsiTheme="minorHAnsi" w:cstheme="minorHAnsi"/>
          <w:color w:val="auto"/>
        </w:rPr>
        <w:tab/>
      </w:r>
      <w:r w:rsidRPr="008B67E2">
        <w:rPr>
          <w:rFonts w:asciiTheme="minorHAnsi" w:hAnsiTheme="minorHAnsi" w:cstheme="minorHAnsi"/>
          <w:color w:val="auto"/>
        </w:rPr>
        <w:tab/>
      </w:r>
      <w:r w:rsidRPr="008B67E2">
        <w:rPr>
          <w:rFonts w:asciiTheme="minorHAnsi" w:hAnsiTheme="minorHAnsi" w:cstheme="minorHAnsi"/>
          <w:color w:val="auto"/>
        </w:rPr>
        <w:tab/>
        <w:t xml:space="preserve">É o </w:t>
      </w:r>
      <w:r>
        <w:rPr>
          <w:rFonts w:asciiTheme="minorHAnsi" w:hAnsiTheme="minorHAnsi" w:cstheme="minorHAnsi"/>
          <w:color w:val="auto"/>
        </w:rPr>
        <w:t>parecer, a superior consideração.</w:t>
      </w:r>
    </w:p>
    <w:p w:rsidR="00BC7B23" w:rsidRPr="005D6640" w:rsidP="0016354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B67E2">
        <w:rPr>
          <w:rFonts w:asciiTheme="minorHAnsi" w:hAnsiTheme="minorHAnsi" w:cstheme="minorHAnsi"/>
          <w:color w:val="auto"/>
        </w:rPr>
        <w:t xml:space="preserve"> </w:t>
      </w:r>
      <w:r w:rsidRPr="008B67E2">
        <w:rPr>
          <w:rFonts w:asciiTheme="minorHAnsi" w:hAnsiTheme="minorHAnsi" w:cstheme="minorHAnsi"/>
          <w:color w:val="auto"/>
        </w:rPr>
        <w:tab/>
      </w:r>
      <w:r w:rsidRPr="008B67E2">
        <w:rPr>
          <w:rFonts w:asciiTheme="minorHAnsi" w:hAnsiTheme="minorHAnsi" w:cstheme="minorHAnsi"/>
          <w:color w:val="auto"/>
        </w:rPr>
        <w:tab/>
      </w:r>
      <w:r w:rsidRPr="008B67E2">
        <w:rPr>
          <w:rFonts w:asciiTheme="minorHAnsi" w:hAnsiTheme="minorHAnsi" w:cstheme="minorHAnsi"/>
          <w:color w:val="auto"/>
        </w:rPr>
        <w:tab/>
      </w:r>
      <w:r w:rsidRPr="005D6640">
        <w:rPr>
          <w:rFonts w:asciiTheme="minorHAnsi" w:hAnsiTheme="minorHAnsi" w:cstheme="minorHAnsi"/>
        </w:rPr>
        <w:t xml:space="preserve">Procuradoria, aos </w:t>
      </w:r>
      <w:r w:rsidR="00054784">
        <w:rPr>
          <w:rFonts w:asciiTheme="minorHAnsi" w:hAnsiTheme="minorHAnsi" w:cstheme="minorHAnsi"/>
        </w:rPr>
        <w:t>10</w:t>
      </w:r>
      <w:r w:rsidRPr="005D6640" w:rsidR="0068114B">
        <w:rPr>
          <w:rFonts w:asciiTheme="minorHAnsi" w:hAnsiTheme="minorHAnsi" w:cstheme="minorHAnsi"/>
        </w:rPr>
        <w:t xml:space="preserve"> </w:t>
      </w:r>
      <w:r w:rsidRPr="005D6640" w:rsidR="005B3FBC">
        <w:rPr>
          <w:rFonts w:asciiTheme="minorHAnsi" w:hAnsiTheme="minorHAnsi" w:cstheme="minorHAnsi"/>
        </w:rPr>
        <w:t xml:space="preserve">de </w:t>
      </w:r>
      <w:r w:rsidR="00054784">
        <w:rPr>
          <w:rFonts w:asciiTheme="minorHAnsi" w:hAnsiTheme="minorHAnsi" w:cstheme="minorHAnsi"/>
        </w:rPr>
        <w:t>abril</w:t>
      </w:r>
      <w:r w:rsidRPr="005D6640" w:rsidR="001C3EF4">
        <w:rPr>
          <w:rFonts w:asciiTheme="minorHAnsi" w:hAnsiTheme="minorHAnsi" w:cstheme="minorHAnsi"/>
        </w:rPr>
        <w:t xml:space="preserve"> </w:t>
      </w:r>
      <w:r w:rsidRPr="005D6640">
        <w:rPr>
          <w:rFonts w:asciiTheme="minorHAnsi" w:hAnsiTheme="minorHAnsi" w:cstheme="minorHAnsi"/>
        </w:rPr>
        <w:t>de 202</w:t>
      </w:r>
      <w:r w:rsidR="0016354A">
        <w:rPr>
          <w:rFonts w:asciiTheme="minorHAnsi" w:hAnsiTheme="minorHAnsi" w:cstheme="minorHAnsi"/>
        </w:rPr>
        <w:t>4</w:t>
      </w:r>
      <w:r w:rsidRPr="005D6640">
        <w:rPr>
          <w:rFonts w:asciiTheme="minorHAnsi" w:hAnsiTheme="minorHAnsi" w:cstheme="minorHAnsi"/>
        </w:rPr>
        <w:t>.</w:t>
      </w:r>
    </w:p>
    <w:p w:rsidR="009B6B9B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87D10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87D10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  <w:sectPr w:rsidSect="009B6B9B">
          <w:headerReference w:type="default" r:id="rId6"/>
          <w:footerReference w:type="default" r:id="rId7"/>
          <w:type w:val="continuous"/>
          <w:pgSz w:w="11906" w:h="16838"/>
          <w:pgMar w:top="2664" w:right="1701" w:bottom="1418" w:left="1701" w:header="709" w:footer="709" w:gutter="0"/>
          <w:cols w:space="708"/>
          <w:docGrid w:linePitch="360"/>
        </w:sectPr>
      </w:pPr>
    </w:p>
    <w:p w:rsidR="009B6B9B" w:rsidRPr="00DE5DF2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12"/>
          <w:szCs w:val="12"/>
        </w:rPr>
        <w:sectPr w:rsidSect="00287D10">
          <w:type w:val="continuous"/>
          <w:pgSz w:w="11906" w:h="16838"/>
          <w:pgMar w:top="2664" w:right="1701" w:bottom="1418" w:left="1701" w:header="709" w:footer="709" w:gutter="0"/>
          <w:cols w:space="708"/>
          <w:docGrid w:linePitch="360"/>
        </w:sectPr>
      </w:pPr>
    </w:p>
    <w:p w:rsidR="0016354A" w:rsidRPr="00BC24F1" w:rsidP="0016354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24F1">
        <w:rPr>
          <w:rFonts w:asciiTheme="minorHAnsi" w:hAnsiTheme="minorHAnsi" w:cstheme="minorHAnsi"/>
          <w:b/>
          <w:sz w:val="24"/>
          <w:szCs w:val="24"/>
        </w:rPr>
        <w:t>Rosemeire de Souza Cardoso Barbosa                          Tiago Fadel Malghosian</w:t>
      </w:r>
    </w:p>
    <w:p w:rsidR="0016354A" w:rsidRPr="00BC24F1" w:rsidP="0016354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24F1">
        <w:rPr>
          <w:rFonts w:asciiTheme="minorHAnsi" w:hAnsiTheme="minorHAnsi" w:cstheme="minorHAnsi"/>
          <w:b/>
          <w:sz w:val="24"/>
          <w:szCs w:val="24"/>
        </w:rPr>
        <w:t xml:space="preserve">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BC24F1">
        <w:rPr>
          <w:rFonts w:asciiTheme="minorHAnsi" w:hAnsiTheme="minorHAnsi" w:cstheme="minorHAnsi"/>
          <w:b/>
          <w:sz w:val="24"/>
          <w:szCs w:val="24"/>
        </w:rPr>
        <w:t>Procuradora - OAB/SP 308.298                               Procurador - OAB/SP 319.159</w:t>
      </w:r>
    </w:p>
    <w:p w:rsidR="00942B12" w:rsidRPr="008B67E2" w:rsidP="0016354A">
      <w:pPr>
        <w:tabs>
          <w:tab w:val="left" w:pos="2880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BC24F1">
        <w:rPr>
          <w:rFonts w:asciiTheme="minorHAnsi" w:hAnsiTheme="minorHAnsi" w:cstheme="minorHAnsi"/>
          <w:b/>
          <w:sz w:val="24"/>
          <w:szCs w:val="24"/>
        </w:rPr>
        <w:t xml:space="preserve"> Assinatura eletrônica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  <w:r w:rsidRPr="00BC24F1">
        <w:rPr>
          <w:rFonts w:asciiTheme="minorHAnsi" w:hAnsiTheme="minorHAnsi" w:cstheme="minorHAnsi"/>
          <w:b/>
          <w:sz w:val="24"/>
          <w:szCs w:val="24"/>
        </w:rPr>
        <w:t xml:space="preserve"> Assinatura eletrônica</w:t>
      </w:r>
    </w:p>
    <w:sectPr w:rsidSect="00287D10">
      <w:type w:val="continuous"/>
      <w:pgSz w:w="11906" w:h="16838"/>
      <w:pgMar w:top="266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4832" w:rsidP="006D1008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4832" w:rsidP="006D100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4832" w:rsidP="006D1008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330380" w:rsidP="00496AE3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C6250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C6250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64832" w:rsidRPr="00CC028B" w:rsidP="00054784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4832">
      <w:r>
        <w:separator/>
      </w:r>
    </w:p>
  </w:footnote>
  <w:footnote w:type="continuationSeparator" w:id="1">
    <w:p w:rsidR="00A64832">
      <w:r>
        <w:continuationSeparator/>
      </w:r>
    </w:p>
  </w:footnote>
  <w:footnote w:id="2">
    <w:p w:rsidR="0016354A" w:rsidRPr="00287D10" w:rsidP="0016354A">
      <w:pPr>
        <w:pStyle w:val="Default"/>
        <w:spacing w:after="240" w:line="276" w:lineRule="auto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DC6E98">
        <w:rPr>
          <w:rFonts w:asciiTheme="minorHAnsi" w:hAnsiTheme="minorHAnsi" w:cstheme="minorHAnsi"/>
          <w:i/>
          <w:color w:val="auto"/>
          <w:sz w:val="20"/>
          <w:szCs w:val="20"/>
        </w:rPr>
        <w:t>Nesse sentido é o entendimento do C. Supremo Tribunal Federal: “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 xml:space="preserve">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>exoficio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>)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:rsidR="0016354A" w:rsidP="0016354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4832" w:rsidP="00496AE3">
    <w:pPr>
      <w:pStyle w:val="Header"/>
      <w:jc w:val="center"/>
      <w:rPr>
        <w:b/>
        <w:sz w:val="26"/>
        <w:lang w:val="pt-PT"/>
      </w:rPr>
    </w:pPr>
  </w:p>
  <w:p w:rsidR="00A64832" w:rsidP="00496AE3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832" w:rsidP="00496A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605891096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12175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7427384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64832" w:rsidP="00496AE3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469390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42724999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64832" w:rsidP="00496AE3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4832" w:rsidP="00496AE3">
    <w:pPr>
      <w:pStyle w:val="Header"/>
      <w:jc w:val="center"/>
    </w:pPr>
    <w:r>
      <w:rPr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3"/>
    <w:rsid w:val="00047019"/>
    <w:rsid w:val="00054784"/>
    <w:rsid w:val="0006519E"/>
    <w:rsid w:val="000A285B"/>
    <w:rsid w:val="000A3873"/>
    <w:rsid w:val="000D4061"/>
    <w:rsid w:val="00102C41"/>
    <w:rsid w:val="0011121D"/>
    <w:rsid w:val="0016354A"/>
    <w:rsid w:val="00176014"/>
    <w:rsid w:val="001A4329"/>
    <w:rsid w:val="001A6A6D"/>
    <w:rsid w:val="001C3EF4"/>
    <w:rsid w:val="001C4409"/>
    <w:rsid w:val="0021604C"/>
    <w:rsid w:val="00240EE3"/>
    <w:rsid w:val="00242369"/>
    <w:rsid w:val="002513B8"/>
    <w:rsid w:val="002635B7"/>
    <w:rsid w:val="002712E9"/>
    <w:rsid w:val="00287D10"/>
    <w:rsid w:val="00290365"/>
    <w:rsid w:val="002B756F"/>
    <w:rsid w:val="002C72B1"/>
    <w:rsid w:val="003110FB"/>
    <w:rsid w:val="00330380"/>
    <w:rsid w:val="0035614F"/>
    <w:rsid w:val="00385030"/>
    <w:rsid w:val="0039714D"/>
    <w:rsid w:val="003A419C"/>
    <w:rsid w:val="003F2D78"/>
    <w:rsid w:val="004201FD"/>
    <w:rsid w:val="00491521"/>
    <w:rsid w:val="00492D99"/>
    <w:rsid w:val="00496AE3"/>
    <w:rsid w:val="004B1EC0"/>
    <w:rsid w:val="004E1DAE"/>
    <w:rsid w:val="004F04BB"/>
    <w:rsid w:val="0053705A"/>
    <w:rsid w:val="00566E32"/>
    <w:rsid w:val="005A083C"/>
    <w:rsid w:val="005A6B0F"/>
    <w:rsid w:val="005B3FBC"/>
    <w:rsid w:val="005B411E"/>
    <w:rsid w:val="005C225B"/>
    <w:rsid w:val="005C7DE3"/>
    <w:rsid w:val="005D4836"/>
    <w:rsid w:val="005D6640"/>
    <w:rsid w:val="0060143B"/>
    <w:rsid w:val="0068114B"/>
    <w:rsid w:val="0068682D"/>
    <w:rsid w:val="006879F6"/>
    <w:rsid w:val="006C6250"/>
    <w:rsid w:val="006D1008"/>
    <w:rsid w:val="006E0843"/>
    <w:rsid w:val="006E0D35"/>
    <w:rsid w:val="007163D7"/>
    <w:rsid w:val="00720462"/>
    <w:rsid w:val="00770EEB"/>
    <w:rsid w:val="00775511"/>
    <w:rsid w:val="00787712"/>
    <w:rsid w:val="00792DC2"/>
    <w:rsid w:val="007A6DB6"/>
    <w:rsid w:val="007B1A2B"/>
    <w:rsid w:val="007C3334"/>
    <w:rsid w:val="0081248F"/>
    <w:rsid w:val="008474C2"/>
    <w:rsid w:val="00875AFC"/>
    <w:rsid w:val="008839D4"/>
    <w:rsid w:val="00891543"/>
    <w:rsid w:val="008B67E2"/>
    <w:rsid w:val="008C4B19"/>
    <w:rsid w:val="008C6A4C"/>
    <w:rsid w:val="008D111C"/>
    <w:rsid w:val="008D55AB"/>
    <w:rsid w:val="008E6DA9"/>
    <w:rsid w:val="008F0BD6"/>
    <w:rsid w:val="008F2188"/>
    <w:rsid w:val="008F402A"/>
    <w:rsid w:val="00910C59"/>
    <w:rsid w:val="00913125"/>
    <w:rsid w:val="009142B6"/>
    <w:rsid w:val="00937280"/>
    <w:rsid w:val="009415B9"/>
    <w:rsid w:val="00942B12"/>
    <w:rsid w:val="00972BE9"/>
    <w:rsid w:val="00992903"/>
    <w:rsid w:val="009B5FA6"/>
    <w:rsid w:val="009B6B9B"/>
    <w:rsid w:val="009D07C3"/>
    <w:rsid w:val="00A146F1"/>
    <w:rsid w:val="00A23443"/>
    <w:rsid w:val="00A42EB0"/>
    <w:rsid w:val="00A6273C"/>
    <w:rsid w:val="00A64832"/>
    <w:rsid w:val="00A66B2B"/>
    <w:rsid w:val="00A837FA"/>
    <w:rsid w:val="00A842FB"/>
    <w:rsid w:val="00A93DFF"/>
    <w:rsid w:val="00AC37A5"/>
    <w:rsid w:val="00AE0522"/>
    <w:rsid w:val="00AF63BE"/>
    <w:rsid w:val="00B16224"/>
    <w:rsid w:val="00B21012"/>
    <w:rsid w:val="00B3117F"/>
    <w:rsid w:val="00B351E2"/>
    <w:rsid w:val="00B71D81"/>
    <w:rsid w:val="00B8195A"/>
    <w:rsid w:val="00B94496"/>
    <w:rsid w:val="00BB12A6"/>
    <w:rsid w:val="00BB1719"/>
    <w:rsid w:val="00BC24F1"/>
    <w:rsid w:val="00BC7B23"/>
    <w:rsid w:val="00BD03A3"/>
    <w:rsid w:val="00BD344D"/>
    <w:rsid w:val="00BF029B"/>
    <w:rsid w:val="00BF539B"/>
    <w:rsid w:val="00C0082F"/>
    <w:rsid w:val="00C02A5E"/>
    <w:rsid w:val="00C17B4E"/>
    <w:rsid w:val="00C41E28"/>
    <w:rsid w:val="00C65B70"/>
    <w:rsid w:val="00CA445C"/>
    <w:rsid w:val="00CB134B"/>
    <w:rsid w:val="00CC028B"/>
    <w:rsid w:val="00CD21CB"/>
    <w:rsid w:val="00CD71B2"/>
    <w:rsid w:val="00D4175E"/>
    <w:rsid w:val="00D43EDB"/>
    <w:rsid w:val="00D614DE"/>
    <w:rsid w:val="00D76529"/>
    <w:rsid w:val="00DC6E98"/>
    <w:rsid w:val="00DE5DF2"/>
    <w:rsid w:val="00DE623B"/>
    <w:rsid w:val="00DF75AC"/>
    <w:rsid w:val="00E246E6"/>
    <w:rsid w:val="00E66BD6"/>
    <w:rsid w:val="00EA3220"/>
    <w:rsid w:val="00EA41C7"/>
    <w:rsid w:val="00EC66FA"/>
    <w:rsid w:val="00EE38D1"/>
    <w:rsid w:val="00F33495"/>
    <w:rsid w:val="00F53BEF"/>
    <w:rsid w:val="00F60B80"/>
    <w:rsid w:val="00F6243C"/>
    <w:rsid w:val="00F90F1A"/>
    <w:rsid w:val="00F923D1"/>
    <w:rsid w:val="00F95980"/>
    <w:rsid w:val="00FA055F"/>
    <w:rsid w:val="00FD2D0F"/>
    <w:rsid w:val="00FD4C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BC7B23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C7B2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C7B23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BC7B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BC7B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50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503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7A6DB6"/>
  </w:style>
  <w:style w:type="paragraph" w:styleId="Header">
    <w:name w:val="header"/>
    <w:basedOn w:val="Normal"/>
    <w:link w:val="CabealhoChar"/>
    <w:unhideWhenUsed/>
    <w:rsid w:val="00496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496A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287D10"/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287D1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287D10"/>
    <w:rPr>
      <w:vertAlign w:val="superscript"/>
    </w:rPr>
  </w:style>
  <w:style w:type="character" w:styleId="Strong">
    <w:name w:val="Strong"/>
    <w:basedOn w:val="DefaultParagraphFont"/>
    <w:uiPriority w:val="22"/>
    <w:qFormat/>
    <w:rsid w:val="00054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14383-D7F3-47BE-90C3-BFE5526A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2058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6</cp:revision>
  <cp:lastPrinted>2022-02-08T14:06:00Z</cp:lastPrinted>
  <dcterms:created xsi:type="dcterms:W3CDTF">2024-04-10T19:36:00Z</dcterms:created>
  <dcterms:modified xsi:type="dcterms:W3CDTF">2024-04-10T20:04:00Z</dcterms:modified>
</cp:coreProperties>
</file>