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A418FF" w:rsidP="00FB031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A418FF">
        <w:rPr>
          <w:rFonts w:asciiTheme="minorHAnsi" w:hAnsiTheme="minorHAnsi" w:cstheme="minorHAnsi"/>
          <w:b/>
          <w:color w:val="auto"/>
        </w:rPr>
        <w:t>Parecer J</w:t>
      </w:r>
      <w:r w:rsidRPr="00A418FF" w:rsidR="00E503EA">
        <w:rPr>
          <w:rFonts w:asciiTheme="minorHAnsi" w:hAnsiTheme="minorHAnsi" w:cstheme="minorHAnsi"/>
          <w:b/>
          <w:color w:val="auto"/>
        </w:rPr>
        <w:t>urídico</w:t>
      </w:r>
      <w:r w:rsidRPr="00A418FF" w:rsidR="008561A1">
        <w:rPr>
          <w:rFonts w:asciiTheme="minorHAnsi" w:hAnsiTheme="minorHAnsi" w:cstheme="minorHAnsi"/>
          <w:b/>
          <w:color w:val="auto"/>
        </w:rPr>
        <w:t xml:space="preserve"> nº </w:t>
      </w:r>
      <w:r w:rsidRPr="00A418FF" w:rsidR="00A418FF">
        <w:rPr>
          <w:rFonts w:asciiTheme="minorHAnsi" w:hAnsiTheme="minorHAnsi" w:cstheme="minorHAnsi"/>
          <w:b/>
          <w:color w:val="auto"/>
        </w:rPr>
        <w:t>96</w:t>
      </w:r>
      <w:r w:rsidRPr="00A418FF" w:rsidR="00582F11">
        <w:rPr>
          <w:rFonts w:asciiTheme="minorHAnsi" w:hAnsiTheme="minorHAnsi" w:cstheme="minorHAnsi"/>
          <w:b/>
          <w:color w:val="auto"/>
        </w:rPr>
        <w:t>/</w:t>
      </w:r>
      <w:r w:rsidRPr="00A418FF">
        <w:rPr>
          <w:rFonts w:asciiTheme="minorHAnsi" w:hAnsiTheme="minorHAnsi" w:cstheme="minorHAnsi"/>
          <w:b/>
          <w:color w:val="auto"/>
        </w:rPr>
        <w:t>20</w:t>
      </w:r>
      <w:r w:rsidRPr="00A418FF" w:rsidR="00C65153">
        <w:rPr>
          <w:rFonts w:asciiTheme="minorHAnsi" w:hAnsiTheme="minorHAnsi" w:cstheme="minorHAnsi"/>
          <w:b/>
          <w:color w:val="auto"/>
        </w:rPr>
        <w:t>2</w:t>
      </w:r>
      <w:r w:rsidRPr="00A418FF" w:rsidR="00B25A49">
        <w:rPr>
          <w:rFonts w:asciiTheme="minorHAnsi" w:hAnsiTheme="minorHAnsi" w:cstheme="minorHAnsi"/>
          <w:b/>
          <w:color w:val="auto"/>
        </w:rPr>
        <w:t>4.</w:t>
      </w:r>
    </w:p>
    <w:p w:rsidR="00A418FF" w:rsidRPr="00A418FF" w:rsidP="003B55E5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t-BR"/>
        </w:rPr>
      </w:pPr>
      <w:r w:rsidRPr="00A418FF">
        <w:rPr>
          <w:rFonts w:cstheme="minorHAnsi"/>
          <w:b/>
          <w:bCs/>
          <w:sz w:val="24"/>
          <w:szCs w:val="24"/>
        </w:rPr>
        <w:t xml:space="preserve">Assunto: Projeto de Lei nº </w:t>
      </w:r>
      <w:r w:rsidRPr="00A418FF">
        <w:rPr>
          <w:rFonts w:cstheme="minorHAnsi"/>
          <w:b/>
          <w:bCs/>
          <w:sz w:val="24"/>
          <w:szCs w:val="24"/>
        </w:rPr>
        <w:t>38</w:t>
      </w:r>
      <w:r w:rsidRPr="00A418FF">
        <w:rPr>
          <w:rFonts w:cstheme="minorHAnsi"/>
          <w:b/>
          <w:bCs/>
          <w:sz w:val="24"/>
          <w:szCs w:val="24"/>
        </w:rPr>
        <w:t>/20</w:t>
      </w:r>
      <w:r w:rsidRPr="00A418FF" w:rsidR="00C65153">
        <w:rPr>
          <w:rFonts w:cstheme="minorHAnsi"/>
          <w:b/>
          <w:bCs/>
          <w:sz w:val="24"/>
          <w:szCs w:val="24"/>
        </w:rPr>
        <w:t>2</w:t>
      </w:r>
      <w:r w:rsidRPr="00A418FF" w:rsidR="00604774">
        <w:rPr>
          <w:rFonts w:cstheme="minorHAnsi"/>
          <w:b/>
          <w:bCs/>
          <w:sz w:val="24"/>
          <w:szCs w:val="24"/>
        </w:rPr>
        <w:t>4</w:t>
      </w:r>
      <w:r w:rsidRPr="00A418FF" w:rsidR="00055A36">
        <w:rPr>
          <w:rFonts w:cstheme="minorHAnsi"/>
          <w:b/>
          <w:bCs/>
          <w:sz w:val="24"/>
          <w:szCs w:val="24"/>
        </w:rPr>
        <w:t xml:space="preserve"> –</w:t>
      </w:r>
      <w:r w:rsidRPr="00A418FF" w:rsidR="00604774">
        <w:rPr>
          <w:rFonts w:cstheme="minorHAnsi"/>
          <w:b/>
          <w:bCs/>
          <w:sz w:val="24"/>
          <w:szCs w:val="24"/>
        </w:rPr>
        <w:t xml:space="preserve"> </w:t>
      </w:r>
      <w:r w:rsidR="008732C8">
        <w:rPr>
          <w:rFonts w:cstheme="minorHAnsi"/>
          <w:b/>
          <w:bCs/>
          <w:sz w:val="24"/>
          <w:szCs w:val="24"/>
        </w:rPr>
        <w:t>“</w:t>
      </w:r>
      <w:r w:rsidRPr="00A418FF">
        <w:rPr>
          <w:rFonts w:eastAsia="Times New Roman" w:cstheme="minorHAnsi"/>
          <w:i/>
          <w:sz w:val="24"/>
          <w:szCs w:val="24"/>
          <w:lang w:eastAsia="pt-BR"/>
        </w:rPr>
        <w:t>Dispõe sobre a adequação dos quantitativos e das referências salariais dos cargos efetivos constantes no Anexo III da Lei nº 6.206, de 23 de dezembro de 2021 (Estrutura Administrativa e de Cargos da Prefeitura do Município de Valinhos)</w:t>
      </w:r>
      <w:r w:rsidR="008732C8">
        <w:rPr>
          <w:rFonts w:eastAsia="Times New Roman" w:cstheme="minorHAnsi"/>
          <w:i/>
          <w:sz w:val="24"/>
          <w:szCs w:val="24"/>
          <w:lang w:eastAsia="pt-BR"/>
        </w:rPr>
        <w:t>”</w:t>
      </w:r>
      <w:r w:rsidRPr="00A418FF">
        <w:rPr>
          <w:rFonts w:eastAsia="Times New Roman" w:cstheme="minorHAnsi"/>
          <w:i/>
          <w:sz w:val="24"/>
          <w:szCs w:val="24"/>
          <w:lang w:eastAsia="pt-BR"/>
        </w:rPr>
        <w:t xml:space="preserve">. </w:t>
      </w:r>
    </w:p>
    <w:p w:rsidR="005101D9" w:rsidRPr="00A418FF" w:rsidP="003B55E5">
      <w:pPr>
        <w:tabs>
          <w:tab w:val="left" w:pos="1134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418FF">
        <w:rPr>
          <w:rFonts w:cstheme="minorHAnsi"/>
          <w:b/>
          <w:bCs/>
          <w:sz w:val="24"/>
          <w:szCs w:val="24"/>
        </w:rPr>
        <w:t xml:space="preserve">Autoria do Executivo – </w:t>
      </w:r>
      <w:r w:rsidRPr="00A418FF" w:rsidR="005A1CB4">
        <w:rPr>
          <w:rFonts w:cstheme="minorHAnsi"/>
          <w:b/>
          <w:bCs/>
          <w:sz w:val="24"/>
          <w:szCs w:val="24"/>
        </w:rPr>
        <w:t xml:space="preserve">Mensagem </w:t>
      </w:r>
      <w:r w:rsidRPr="00A418FF" w:rsidR="00CE289D">
        <w:rPr>
          <w:rFonts w:cstheme="minorHAnsi"/>
          <w:b/>
          <w:bCs/>
          <w:sz w:val="24"/>
          <w:szCs w:val="24"/>
        </w:rPr>
        <w:t>nº</w:t>
      </w:r>
      <w:r w:rsidRPr="00A418FF" w:rsidR="00A418FF">
        <w:rPr>
          <w:rFonts w:cstheme="minorHAnsi"/>
          <w:b/>
          <w:bCs/>
          <w:sz w:val="24"/>
          <w:szCs w:val="24"/>
        </w:rPr>
        <w:t>2</w:t>
      </w:r>
      <w:r w:rsidRPr="00A418FF" w:rsidR="00D44A73">
        <w:rPr>
          <w:rFonts w:cstheme="minorHAnsi"/>
          <w:b/>
          <w:bCs/>
          <w:sz w:val="24"/>
          <w:szCs w:val="24"/>
        </w:rPr>
        <w:t>5</w:t>
      </w:r>
      <w:r w:rsidRPr="00A418FF" w:rsidR="007E3525">
        <w:rPr>
          <w:rFonts w:cstheme="minorHAnsi"/>
          <w:b/>
          <w:bCs/>
          <w:sz w:val="24"/>
          <w:szCs w:val="24"/>
        </w:rPr>
        <w:t>/202</w:t>
      </w:r>
      <w:r w:rsidRPr="00A418FF" w:rsidR="00604774">
        <w:rPr>
          <w:rFonts w:cstheme="minorHAnsi"/>
          <w:b/>
          <w:bCs/>
          <w:sz w:val="24"/>
          <w:szCs w:val="24"/>
        </w:rPr>
        <w:t>4</w:t>
      </w:r>
      <w:r w:rsidRPr="00A418FF">
        <w:rPr>
          <w:rFonts w:cstheme="minorHAnsi"/>
          <w:b/>
          <w:bCs/>
          <w:sz w:val="24"/>
          <w:szCs w:val="24"/>
        </w:rPr>
        <w:t>.</w:t>
      </w:r>
    </w:p>
    <w:p w:rsidR="005101D9" w:rsidRPr="00A418FF" w:rsidP="00995E87">
      <w:pPr>
        <w:tabs>
          <w:tab w:val="left" w:pos="1134"/>
        </w:tabs>
        <w:jc w:val="both"/>
        <w:rPr>
          <w:rFonts w:eastAsia="Times New Roman" w:cstheme="minorHAnsi"/>
          <w:color w:val="FF0000"/>
          <w:sz w:val="24"/>
          <w:szCs w:val="24"/>
          <w:shd w:val="clear" w:color="auto" w:fill="FFFFFF"/>
          <w:lang w:eastAsia="pt-BR"/>
        </w:rPr>
      </w:pPr>
    </w:p>
    <w:p w:rsidR="00C65153" w:rsidRPr="008732C8" w:rsidP="00E503EA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732C8">
        <w:rPr>
          <w:rFonts w:asciiTheme="minorHAnsi" w:hAnsiTheme="minorHAnsi" w:cstheme="minorHAnsi"/>
          <w:b/>
          <w:i/>
          <w:color w:val="auto"/>
        </w:rPr>
        <w:t>À</w:t>
      </w:r>
      <w:r w:rsidRPr="008732C8" w:rsidR="00175485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8732C8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8732C8" w:rsidR="00973E66">
        <w:rPr>
          <w:rFonts w:asciiTheme="minorHAnsi" w:hAnsiTheme="minorHAnsi" w:cstheme="minorHAnsi"/>
          <w:b/>
          <w:i/>
          <w:color w:val="auto"/>
        </w:rPr>
        <w:t>,</w:t>
      </w:r>
    </w:p>
    <w:p w:rsidR="00EC6150" w:rsidRPr="008732C8" w:rsidP="00053466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8732C8">
        <w:rPr>
          <w:rFonts w:asciiTheme="minorHAnsi" w:hAnsiTheme="minorHAnsi" w:cstheme="minorHAnsi"/>
          <w:b/>
          <w:i/>
          <w:color w:val="auto"/>
        </w:rPr>
        <w:t xml:space="preserve">Exmo. </w:t>
      </w:r>
      <w:r w:rsidRPr="008732C8" w:rsidR="007E3525">
        <w:rPr>
          <w:rFonts w:asciiTheme="minorHAnsi" w:hAnsiTheme="minorHAnsi" w:cstheme="minorHAnsi"/>
          <w:b/>
          <w:i/>
          <w:color w:val="auto"/>
        </w:rPr>
        <w:t xml:space="preserve">Presidente </w:t>
      </w:r>
      <w:r w:rsidRPr="008732C8">
        <w:rPr>
          <w:rFonts w:asciiTheme="minorHAnsi" w:hAnsiTheme="minorHAnsi" w:cstheme="minorHAnsi"/>
          <w:b/>
          <w:i/>
          <w:color w:val="auto"/>
        </w:rPr>
        <w:t xml:space="preserve">Vereador </w:t>
      </w:r>
      <w:r w:rsidRPr="008732C8" w:rsidR="007E3525">
        <w:rPr>
          <w:rFonts w:asciiTheme="minorHAnsi" w:hAnsiTheme="minorHAnsi" w:cstheme="minorHAnsi"/>
          <w:b/>
          <w:i/>
          <w:color w:val="auto"/>
        </w:rPr>
        <w:t>Gabriel Bueno</w:t>
      </w:r>
      <w:r w:rsidRPr="008732C8" w:rsidR="00973E66">
        <w:rPr>
          <w:rFonts w:asciiTheme="minorHAnsi" w:hAnsiTheme="minorHAnsi" w:cstheme="minorHAnsi"/>
          <w:b/>
          <w:i/>
          <w:color w:val="auto"/>
        </w:rPr>
        <w:t>.</w:t>
      </w:r>
    </w:p>
    <w:p w:rsidR="00623AD7" w:rsidRPr="008732C8" w:rsidP="003C2F5F">
      <w:pPr>
        <w:pStyle w:val="Default"/>
        <w:tabs>
          <w:tab w:val="left" w:pos="2055"/>
        </w:tabs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  <w:r w:rsidRPr="008732C8">
        <w:rPr>
          <w:rFonts w:asciiTheme="minorHAnsi" w:hAnsiTheme="minorHAnsi" w:cstheme="minorHAnsi"/>
          <w:b/>
          <w:i/>
          <w:color w:val="auto"/>
        </w:rPr>
        <w:tab/>
      </w:r>
    </w:p>
    <w:p w:rsidR="00742CBA" w:rsidRPr="008732C8" w:rsidP="00D44A73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8732C8">
        <w:rPr>
          <w:rFonts w:eastAsia="Times New Roman" w:cstheme="minorHAnsi"/>
          <w:sz w:val="24"/>
          <w:szCs w:val="24"/>
          <w:lang w:eastAsia="pt-BR"/>
        </w:rPr>
        <w:t>Trata-se de parecer jurídico</w:t>
      </w:r>
      <w:r w:rsidRPr="008732C8" w:rsidR="008E20DD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8732C8" w:rsidR="0029742D">
        <w:rPr>
          <w:rFonts w:eastAsia="Times New Roman" w:cstheme="minorHAnsi"/>
          <w:sz w:val="24"/>
          <w:szCs w:val="24"/>
          <w:lang w:eastAsia="pt-BR"/>
        </w:rPr>
        <w:t>relativo ao projeto em epígrafe</w:t>
      </w:r>
      <w:r w:rsidRPr="008732C8" w:rsidR="00AB285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8732C8" w:rsidR="00E503EA">
        <w:rPr>
          <w:rFonts w:eastAsia="Times New Roman" w:cstheme="minorHAnsi"/>
          <w:sz w:val="24"/>
          <w:szCs w:val="24"/>
          <w:lang w:eastAsia="pt-BR"/>
        </w:rPr>
        <w:t xml:space="preserve">que </w:t>
      </w:r>
      <w:r w:rsidRPr="008732C8" w:rsidR="00604774">
        <w:rPr>
          <w:rFonts w:eastAsia="Times New Roman" w:cstheme="minorHAnsi"/>
          <w:sz w:val="24"/>
          <w:szCs w:val="24"/>
          <w:lang w:eastAsia="pt-BR"/>
        </w:rPr>
        <w:t>“</w:t>
      </w:r>
      <w:r w:rsidRPr="008732C8" w:rsidR="008732C8">
        <w:rPr>
          <w:rFonts w:eastAsia="Times New Roman" w:cstheme="minorHAnsi"/>
          <w:i/>
          <w:sz w:val="24"/>
          <w:szCs w:val="24"/>
          <w:lang w:eastAsia="pt-BR"/>
        </w:rPr>
        <w:t>dispõe sobre a adequação dos quantitativos e das referências salariais dos cargos efetivos constantes no Anexo III da Lei nº 6.206, de 23 de dezembro de 2021 (Estrutura Administrativa e de Cargos da Prefeitura do Município de Valinhos)</w:t>
      </w:r>
      <w:r w:rsidRPr="008732C8" w:rsidR="00604774">
        <w:rPr>
          <w:rFonts w:eastAsia="Times New Roman" w:cstheme="minorHAnsi"/>
          <w:sz w:val="24"/>
          <w:szCs w:val="24"/>
          <w:lang w:eastAsia="pt-BR"/>
        </w:rPr>
        <w:t>”</w:t>
      </w:r>
      <w:r w:rsidRPr="008732C8" w:rsidR="003E2D8E">
        <w:rPr>
          <w:rFonts w:eastAsia="Times New Roman" w:cstheme="minorHAnsi"/>
          <w:sz w:val="24"/>
          <w:szCs w:val="24"/>
          <w:lang w:eastAsia="pt-BR"/>
        </w:rPr>
        <w:t>.</w:t>
      </w:r>
    </w:p>
    <w:p w:rsidR="00C65153" w:rsidRPr="005E7AE0" w:rsidP="0005346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5E7AE0">
        <w:rPr>
          <w:rFonts w:cstheme="minorHAnsi"/>
          <w:i/>
          <w:sz w:val="24"/>
          <w:szCs w:val="24"/>
        </w:rPr>
        <w:t>Ab initio</w:t>
      </w:r>
      <w:r w:rsidRPr="005E7AE0">
        <w:rPr>
          <w:rFonts w:cstheme="minorHAnsi"/>
          <w:sz w:val="24"/>
          <w:szCs w:val="24"/>
        </w:rPr>
        <w:t>, cumpre destacar a competência regimental</w:t>
      </w:r>
      <w:r w:rsidRPr="005E7AE0" w:rsidR="00973E66">
        <w:rPr>
          <w:rFonts w:cstheme="minorHAnsi"/>
          <w:sz w:val="24"/>
          <w:szCs w:val="24"/>
        </w:rPr>
        <w:t xml:space="preserve"> da </w:t>
      </w:r>
      <w:r w:rsidRPr="005E7AE0">
        <w:rPr>
          <w:rFonts w:cstheme="minorHAnsi"/>
          <w:sz w:val="24"/>
          <w:szCs w:val="24"/>
        </w:rPr>
        <w:t>Comissão de Justiça e Redação</w:t>
      </w:r>
      <w:r w:rsidRPr="005E7AE0" w:rsidR="004738DA">
        <w:rPr>
          <w:rFonts w:cstheme="minorHAnsi"/>
          <w:sz w:val="24"/>
          <w:szCs w:val="24"/>
        </w:rPr>
        <w:t xml:space="preserve"> </w:t>
      </w:r>
      <w:r w:rsidRPr="005E7AE0" w:rsidR="002C5ACD">
        <w:rPr>
          <w:rFonts w:cstheme="minorHAnsi"/>
          <w:sz w:val="24"/>
          <w:szCs w:val="24"/>
        </w:rPr>
        <w:t>estabelecida no artigo 38</w:t>
      </w:r>
      <w:r>
        <w:rPr>
          <w:rStyle w:val="FootnoteReference"/>
          <w:rFonts w:cstheme="minorHAnsi"/>
          <w:sz w:val="24"/>
          <w:szCs w:val="24"/>
        </w:rPr>
        <w:footnoteReference w:id="2"/>
      </w:r>
      <w:r w:rsidRPr="005E7AE0" w:rsidR="002C5ACD">
        <w:rPr>
          <w:rFonts w:cstheme="minorHAnsi"/>
          <w:sz w:val="24"/>
          <w:szCs w:val="24"/>
        </w:rPr>
        <w:t>.</w:t>
      </w:r>
    </w:p>
    <w:p w:rsidR="00C65153" w:rsidP="00055A36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5E7AE0">
        <w:rPr>
          <w:rFonts w:cstheme="minorHAnsi"/>
          <w:sz w:val="24"/>
          <w:szCs w:val="24"/>
        </w:rPr>
        <w:t>Outrossim, ressalta-se que a opinião jurídica exarada nes</w:t>
      </w:r>
      <w:r w:rsidRPr="005E7AE0" w:rsidR="00B20851">
        <w:rPr>
          <w:rFonts w:cstheme="minorHAnsi"/>
          <w:sz w:val="24"/>
          <w:szCs w:val="24"/>
        </w:rPr>
        <w:t>s</w:t>
      </w:r>
      <w:r w:rsidRPr="005E7AE0">
        <w:rPr>
          <w:rFonts w:cstheme="minorHAnsi"/>
          <w:sz w:val="24"/>
          <w:szCs w:val="24"/>
        </w:rPr>
        <w:t xml:space="preserve">e parecer </w:t>
      </w:r>
      <w:r w:rsidRPr="005E7AE0">
        <w:rPr>
          <w:rFonts w:cstheme="minorHAnsi"/>
          <w:sz w:val="24"/>
          <w:szCs w:val="24"/>
          <w:u w:val="single"/>
        </w:rPr>
        <w:t>não tem força vinculante</w:t>
      </w:r>
      <w:r w:rsidRPr="005E7AE0">
        <w:rPr>
          <w:rFonts w:cstheme="minorHAnsi"/>
          <w:sz w:val="24"/>
          <w:szCs w:val="24"/>
        </w:rPr>
        <w:t>, sendo meramente opinativo</w:t>
      </w:r>
      <w:r>
        <w:rPr>
          <w:rStyle w:val="FootnoteReference"/>
          <w:rFonts w:cstheme="minorHAnsi"/>
          <w:sz w:val="24"/>
          <w:szCs w:val="24"/>
        </w:rPr>
        <w:footnoteReference w:id="3"/>
      </w:r>
      <w:r w:rsidRPr="005E7AE0" w:rsidR="00B245B7">
        <w:rPr>
          <w:rFonts w:cstheme="minorHAnsi"/>
          <w:sz w:val="24"/>
          <w:szCs w:val="24"/>
        </w:rPr>
        <w:t>,</w:t>
      </w:r>
      <w:r w:rsidRPr="005E7AE0">
        <w:rPr>
          <w:rFonts w:cstheme="minorHAnsi"/>
          <w:sz w:val="24"/>
          <w:szCs w:val="24"/>
        </w:rPr>
        <w:t xml:space="preserve"> não fundamentando decisão proferida pelas Comissões e/ou nobres vereadores.</w:t>
      </w:r>
      <w:r w:rsidRPr="005E7AE0" w:rsidR="004738DA">
        <w:rPr>
          <w:rFonts w:cstheme="minorHAnsi"/>
          <w:sz w:val="24"/>
          <w:szCs w:val="24"/>
        </w:rPr>
        <w:t xml:space="preserve"> </w:t>
      </w:r>
    </w:p>
    <w:p w:rsidR="00F432A7" w:rsidRPr="00F432A7" w:rsidP="00F432A7">
      <w:pPr>
        <w:tabs>
          <w:tab w:val="left" w:pos="1701"/>
        </w:tabs>
        <w:spacing w:after="120" w:line="360" w:lineRule="auto"/>
        <w:ind w:firstLine="1985"/>
        <w:jc w:val="both"/>
        <w:rPr>
          <w:rFonts w:cstheme="minorHAnsi"/>
          <w:sz w:val="24"/>
          <w:szCs w:val="24"/>
        </w:rPr>
      </w:pPr>
      <w:r w:rsidRPr="00F432A7">
        <w:rPr>
          <w:rFonts w:cstheme="minorHAnsi"/>
          <w:sz w:val="24"/>
          <w:szCs w:val="24"/>
        </w:rPr>
        <w:t>Desta feita, considerando os aspectos jurídicos passamos a análise técnica do projeto em epígrafe solicitado.</w:t>
      </w:r>
    </w:p>
    <w:p w:rsidR="00F432A7" w:rsidRPr="00F432A7" w:rsidP="00F432A7">
      <w:pPr>
        <w:tabs>
          <w:tab w:val="left" w:pos="1701"/>
        </w:tabs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F432A7">
        <w:rPr>
          <w:rFonts w:cstheme="minorHAnsi"/>
          <w:sz w:val="24"/>
          <w:szCs w:val="24"/>
        </w:rPr>
        <w:t>Preliminarmente, quanto ao pedido de urgência o Regimento Interno dispõe:</w:t>
      </w:r>
    </w:p>
    <w:p w:rsidR="00F432A7" w:rsidRPr="00C121CA" w:rsidP="00F432A7">
      <w:pPr>
        <w:autoSpaceDE w:val="0"/>
        <w:autoSpaceDN w:val="0"/>
        <w:adjustRightInd w:val="0"/>
        <w:spacing w:after="120" w:line="240" w:lineRule="auto"/>
        <w:ind w:left="2835" w:hanging="1"/>
        <w:jc w:val="both"/>
        <w:rPr>
          <w:rFonts w:eastAsia="Calibri" w:cstheme="minorHAnsi"/>
          <w:b/>
          <w:i/>
        </w:rPr>
      </w:pPr>
      <w:r w:rsidRPr="00C121CA">
        <w:rPr>
          <w:rFonts w:eastAsia="Calibri" w:cstheme="minorHAnsi"/>
          <w:i/>
        </w:rPr>
        <w:t xml:space="preserve">Art. 115. O </w:t>
      </w:r>
      <w:r w:rsidRPr="00C121CA">
        <w:rPr>
          <w:rFonts w:eastAsia="Calibri" w:cstheme="minorHAnsi"/>
          <w:b/>
          <w:i/>
        </w:rPr>
        <w:t>Prefeito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</w:rPr>
        <w:t>poderá solicitar regime de urgência para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</w:rPr>
        <w:t>projeto de sua iniciativa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  <w:u w:val="single"/>
        </w:rPr>
        <w:t>considerado de relevante interesse público,</w:t>
      </w:r>
      <w:r w:rsidRPr="00C121CA">
        <w:rPr>
          <w:rFonts w:eastAsia="Calibri" w:cstheme="minorHAnsi"/>
          <w:i/>
        </w:rPr>
        <w:t xml:space="preserve"> </w:t>
      </w:r>
      <w:r w:rsidRPr="00C121CA">
        <w:rPr>
          <w:rFonts w:eastAsia="Calibri" w:cstheme="minorHAnsi"/>
          <w:b/>
          <w:i/>
        </w:rPr>
        <w:t>devendo a Câmara apreciá-lo dentro do prazo de trinta dias.</w:t>
      </w:r>
    </w:p>
    <w:p w:rsidR="00F432A7" w:rsidRPr="00C121CA" w:rsidP="00F432A7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cstheme="minorHAnsi"/>
          <w:i/>
        </w:rPr>
      </w:pPr>
      <w:r w:rsidRPr="00C121CA">
        <w:rPr>
          <w:i/>
        </w:rPr>
        <w:t xml:space="preserve">§ </w:t>
      </w:r>
      <w:r w:rsidRPr="00C121CA">
        <w:rPr>
          <w:rFonts w:eastAsia="Calibri" w:cstheme="minorHAnsi"/>
          <w:i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F432A7" w:rsidRPr="00C121CA" w:rsidP="00F432A7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2º Por exceção, não ficará sobrestado o exame do veto cujo prazo de deliberação tenha se esgotado.  </w:t>
      </w:r>
    </w:p>
    <w:p w:rsidR="00F432A7" w:rsidRPr="00C121CA" w:rsidP="00F432A7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3º O pedido de urgência será apreciado pela Comissão de Justiça e Redação e quando negado será submetido à votação do Plenário.  </w:t>
      </w:r>
    </w:p>
    <w:p w:rsidR="00F432A7" w:rsidRPr="00C121CA" w:rsidP="00F432A7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4º A Mesa poderá fixar prazo para apresentação de emendas tanto em primeira como em segunda discussão. </w:t>
      </w:r>
    </w:p>
    <w:p w:rsidR="00F432A7" w:rsidRPr="00C121CA" w:rsidP="00F432A7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cstheme="minorHAnsi"/>
          <w:i/>
        </w:rPr>
      </w:pPr>
      <w:r w:rsidRPr="00C121CA">
        <w:rPr>
          <w:rFonts w:eastAsia="Calibri" w:cstheme="minorHAnsi"/>
          <w:i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F432A7" w:rsidRPr="00C121CA" w:rsidP="00F432A7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cstheme="minorHAnsi"/>
          <w:b/>
          <w:i/>
        </w:rPr>
      </w:pPr>
      <w:r w:rsidRPr="00C121CA">
        <w:rPr>
          <w:rFonts w:eastAsia="Calibri" w:cstheme="minorHAnsi"/>
          <w:b/>
          <w:i/>
        </w:rPr>
        <w:t>§ 6º Aos projetos de Codificação e Estatuto, artigos 121 e 122, não se aplicam o disposto no caput do artigo.</w:t>
      </w:r>
    </w:p>
    <w:p w:rsidR="00F432A7" w:rsidRPr="007979E0" w:rsidP="00F432A7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cstheme="minorHAnsi"/>
          <w:i/>
          <w:sz w:val="4"/>
          <w:szCs w:val="4"/>
        </w:rPr>
      </w:pPr>
    </w:p>
    <w:p w:rsidR="00F432A7" w:rsidRPr="00C121CA" w:rsidP="00F432A7">
      <w:pPr>
        <w:pStyle w:val="Default"/>
        <w:spacing w:after="300" w:line="360" w:lineRule="auto"/>
        <w:ind w:firstLine="1701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A21575" w:rsidRPr="005E7AE0" w:rsidP="00053466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5E7AE0">
        <w:rPr>
          <w:rFonts w:asciiTheme="minorHAnsi" w:hAnsiTheme="minorHAnsi" w:cstheme="minorHAnsi"/>
          <w:color w:val="auto"/>
        </w:rPr>
        <w:t xml:space="preserve">A proposta em exame, no que tange à </w:t>
      </w:r>
      <w:r w:rsidRPr="005E7AE0" w:rsidR="00AD2EF4">
        <w:rPr>
          <w:rFonts w:asciiTheme="minorHAnsi" w:hAnsiTheme="minorHAnsi" w:cstheme="minorHAnsi"/>
          <w:b/>
          <w:color w:val="auto"/>
        </w:rPr>
        <w:t>competência municipal</w:t>
      </w:r>
      <w:r w:rsidRPr="005E7AE0">
        <w:rPr>
          <w:rFonts w:asciiTheme="minorHAnsi" w:hAnsiTheme="minorHAnsi" w:cstheme="minorHAnsi"/>
          <w:b/>
          <w:color w:val="auto"/>
        </w:rPr>
        <w:t>,</w:t>
      </w:r>
      <w:r w:rsidRPr="005E7AE0">
        <w:rPr>
          <w:rFonts w:asciiTheme="minorHAnsi" w:hAnsiTheme="minorHAnsi" w:cstheme="minorHAnsi"/>
          <w:color w:val="auto"/>
        </w:rPr>
        <w:t xml:space="preserve"> afigura-se revestida de constitucionalidade, pois por força da Constituição </w:t>
      </w:r>
      <w:r w:rsidRPr="005E7AE0" w:rsidR="006B1DD9">
        <w:rPr>
          <w:rFonts w:asciiTheme="minorHAnsi" w:hAnsiTheme="minorHAnsi" w:cstheme="minorHAnsi"/>
          <w:color w:val="auto"/>
        </w:rPr>
        <w:t xml:space="preserve">Federal </w:t>
      </w:r>
      <w:r w:rsidRPr="005E7AE0">
        <w:rPr>
          <w:rFonts w:asciiTheme="minorHAnsi" w:hAnsiTheme="minorHAnsi" w:cstheme="minorHAnsi"/>
          <w:color w:val="auto"/>
        </w:rPr>
        <w:t>os Municípios foram dotados de autonomia legislativa, que vem consubstanciada na capacidade de legislar sobre assuntos de inter</w:t>
      </w:r>
      <w:r w:rsidRPr="005E7AE0" w:rsidR="008F1AFA">
        <w:rPr>
          <w:rFonts w:asciiTheme="minorHAnsi" w:hAnsiTheme="minorHAnsi" w:cstheme="minorHAnsi"/>
          <w:color w:val="auto"/>
        </w:rPr>
        <w:t xml:space="preserve">esse local </w:t>
      </w:r>
      <w:r w:rsidRPr="005E7AE0" w:rsidR="000A2B7F">
        <w:rPr>
          <w:rFonts w:asciiTheme="minorHAnsi" w:hAnsiTheme="minorHAnsi" w:cstheme="minorHAnsi"/>
          <w:color w:val="auto"/>
        </w:rPr>
        <w:t>(art. 30, I</w:t>
      </w:r>
      <w:r w:rsidRPr="005E7AE0">
        <w:rPr>
          <w:rFonts w:asciiTheme="minorHAnsi" w:hAnsiTheme="minorHAnsi" w:cstheme="minorHAnsi"/>
          <w:color w:val="auto"/>
        </w:rPr>
        <w:t xml:space="preserve">, da CRFB), </w:t>
      </w:r>
      <w:r w:rsidRPr="005E7AE0">
        <w:rPr>
          <w:rFonts w:asciiTheme="minorHAnsi" w:hAnsiTheme="minorHAnsi" w:cstheme="minorHAnsi"/>
          <w:i/>
          <w:color w:val="auto"/>
        </w:rPr>
        <w:t>in verbis:</w:t>
      </w:r>
    </w:p>
    <w:p w:rsidR="00A21575" w:rsidRPr="005E7AE0" w:rsidP="00D36612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eastAsia="Calibri" w:cstheme="minorHAnsi"/>
          <w:i/>
        </w:rPr>
      </w:pPr>
      <w:r w:rsidRPr="005E7AE0">
        <w:rPr>
          <w:rFonts w:eastAsia="Calibri" w:cstheme="minorHAnsi"/>
          <w:i/>
        </w:rPr>
        <w:t>Art. 30. Compete aos Municípios:</w:t>
      </w:r>
    </w:p>
    <w:p w:rsidR="00EC6150" w:rsidRPr="005E7AE0" w:rsidP="00D36612">
      <w:pPr>
        <w:pStyle w:val="ListParagraph"/>
        <w:numPr>
          <w:ilvl w:val="0"/>
          <w:numId w:val="3"/>
        </w:num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jc w:val="both"/>
        <w:rPr>
          <w:rFonts w:eastAsia="Calibri" w:cstheme="minorHAnsi"/>
          <w:i/>
        </w:rPr>
      </w:pPr>
      <w:r w:rsidRPr="005E7AE0">
        <w:rPr>
          <w:rFonts w:eastAsia="Calibri" w:cstheme="minorHAnsi"/>
          <w:i/>
        </w:rPr>
        <w:t>legislar sobre assuntos de interesse local</w:t>
      </w:r>
    </w:p>
    <w:p w:rsidR="007E3525" w:rsidRPr="005E7AE0" w:rsidP="007E3525">
      <w:pPr>
        <w:tabs>
          <w:tab w:val="left" w:pos="2268"/>
          <w:tab w:val="left" w:pos="2410"/>
        </w:tabs>
        <w:autoSpaceDE w:val="0"/>
        <w:autoSpaceDN w:val="0"/>
        <w:adjustRightInd w:val="0"/>
        <w:spacing w:before="120" w:after="0" w:line="300" w:lineRule="auto"/>
        <w:ind w:left="2268"/>
        <w:jc w:val="both"/>
        <w:rPr>
          <w:rFonts w:eastAsia="Calibri" w:cstheme="minorHAnsi"/>
          <w:i/>
        </w:rPr>
      </w:pPr>
      <w:r w:rsidRPr="005E7AE0">
        <w:rPr>
          <w:rFonts w:eastAsia="Calibri" w:cstheme="minorHAnsi"/>
          <w:i/>
        </w:rPr>
        <w:t>(...)</w:t>
      </w:r>
    </w:p>
    <w:p w:rsidR="00623AD7" w:rsidRPr="005E7AE0" w:rsidP="00622D40">
      <w:pPr>
        <w:spacing w:after="240" w:line="360" w:lineRule="auto"/>
        <w:ind w:firstLine="1701"/>
        <w:jc w:val="both"/>
        <w:rPr>
          <w:rFonts w:eastAsia="Times New Roman" w:cstheme="minorHAnsi"/>
          <w:sz w:val="24"/>
          <w:szCs w:val="24"/>
          <w:lang w:eastAsia="pt-BR"/>
        </w:rPr>
      </w:pPr>
      <w:r w:rsidRPr="005E7AE0">
        <w:rPr>
          <w:rFonts w:eastAsia="Times New Roman" w:cstheme="minorHAnsi"/>
          <w:sz w:val="24"/>
          <w:szCs w:val="24"/>
          <w:lang w:eastAsia="pt-BR"/>
        </w:rPr>
        <w:t>Nessa linha, a Lei Orgânica do Município de Valinhos estabelece:</w:t>
      </w:r>
    </w:p>
    <w:p w:rsidR="00623AD7" w:rsidRPr="005E7AE0" w:rsidP="00055D2C">
      <w:pPr>
        <w:spacing w:after="0"/>
        <w:ind w:left="2268"/>
        <w:jc w:val="both"/>
        <w:rPr>
          <w:rFonts w:cstheme="minorHAnsi"/>
          <w:i/>
        </w:rPr>
      </w:pPr>
      <w:r w:rsidRPr="005E7AE0">
        <w:rPr>
          <w:rFonts w:cstheme="minorHAnsi"/>
          <w:i/>
        </w:rPr>
        <w:t xml:space="preserve">Art. 5º Compete ao Município, no exercício de sua autonomia, </w:t>
      </w:r>
      <w:r w:rsidRPr="005E7AE0">
        <w:rPr>
          <w:rFonts w:cstheme="minorHAnsi"/>
          <w:b/>
          <w:i/>
          <w:u w:val="single"/>
        </w:rPr>
        <w:t>legislar sobre tudo quanto respeite ao interesse local</w:t>
      </w:r>
      <w:r w:rsidRPr="005E7AE0">
        <w:rPr>
          <w:rFonts w:cstheme="minorHAnsi"/>
          <w:i/>
          <w:u w:val="single"/>
        </w:rPr>
        <w:t>,</w:t>
      </w:r>
      <w:r w:rsidRPr="005E7AE0">
        <w:rPr>
          <w:rFonts w:cstheme="minorHAnsi"/>
          <w:i/>
        </w:rPr>
        <w:t xml:space="preserve"> tendo como objetivo o pleno desenvolvimento de suas funções sociais e garantir o bem-estar de seus habitantes, cabendo-lhe privativamente, entre outras, as seguintes atribuições:</w:t>
      </w:r>
    </w:p>
    <w:p w:rsidR="00623AD7" w:rsidRPr="005E7AE0" w:rsidP="00055D2C">
      <w:pPr>
        <w:spacing w:after="0"/>
        <w:ind w:left="2268"/>
        <w:jc w:val="both"/>
        <w:rPr>
          <w:rFonts w:cstheme="minorHAnsi"/>
          <w:i/>
        </w:rPr>
      </w:pPr>
      <w:r w:rsidRPr="005E7AE0">
        <w:rPr>
          <w:rFonts w:cstheme="minorHAnsi"/>
          <w:i/>
        </w:rPr>
        <w:t>(...)</w:t>
      </w:r>
    </w:p>
    <w:p w:rsidR="00A84A80" w:rsidRPr="005E7AE0" w:rsidP="00055D2C">
      <w:pPr>
        <w:spacing w:after="0"/>
        <w:ind w:left="2268"/>
        <w:jc w:val="both"/>
        <w:rPr>
          <w:rFonts w:cstheme="minorHAnsi"/>
          <w:i/>
        </w:rPr>
      </w:pPr>
    </w:p>
    <w:p w:rsidR="00623AD7" w:rsidRPr="005E7AE0" w:rsidP="00055D2C">
      <w:pPr>
        <w:spacing w:after="0"/>
        <w:ind w:left="2268"/>
        <w:jc w:val="both"/>
        <w:rPr>
          <w:rFonts w:cstheme="minorHAnsi"/>
          <w:i/>
        </w:rPr>
      </w:pPr>
      <w:r w:rsidRPr="005E7AE0">
        <w:rPr>
          <w:rFonts w:cstheme="minorHAnsi"/>
          <w:i/>
        </w:rPr>
        <w:t>“</w:t>
      </w:r>
      <w:r w:rsidRPr="005E7AE0">
        <w:rPr>
          <w:rFonts w:cstheme="minorHAnsi"/>
          <w:i/>
        </w:rPr>
        <w:t>Art.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A84A80" w:rsidRPr="005E7AE0" w:rsidP="00055D2C">
      <w:pPr>
        <w:spacing w:after="0"/>
        <w:ind w:left="2268"/>
        <w:jc w:val="both"/>
        <w:rPr>
          <w:rFonts w:cstheme="minorHAnsi"/>
          <w:i/>
        </w:rPr>
      </w:pPr>
    </w:p>
    <w:p w:rsidR="00623AD7" w:rsidRPr="005E7AE0" w:rsidP="00055D2C">
      <w:pPr>
        <w:spacing w:after="0"/>
        <w:ind w:left="2268"/>
        <w:jc w:val="both"/>
        <w:rPr>
          <w:rFonts w:cstheme="minorHAnsi"/>
          <w:b/>
          <w:i/>
        </w:rPr>
      </w:pPr>
      <w:r w:rsidRPr="005E7AE0">
        <w:rPr>
          <w:rFonts w:cstheme="minorHAnsi"/>
          <w:b/>
          <w:i/>
        </w:rPr>
        <w:t>I - legislar sobre assuntos de interesse local;</w:t>
      </w:r>
      <w:r w:rsidRPr="005E7AE0" w:rsidR="002C5ACD">
        <w:rPr>
          <w:rFonts w:cstheme="minorHAnsi"/>
          <w:b/>
          <w:i/>
        </w:rPr>
        <w:t>”</w:t>
      </w:r>
    </w:p>
    <w:p w:rsidR="00A369D9" w:rsidRPr="005E7AE0" w:rsidP="00EA669D">
      <w:pPr>
        <w:spacing w:after="0" w:line="300" w:lineRule="auto"/>
        <w:ind w:left="2268"/>
        <w:jc w:val="both"/>
        <w:rPr>
          <w:rFonts w:cstheme="minorHAnsi"/>
          <w:i/>
        </w:rPr>
      </w:pPr>
    </w:p>
    <w:p w:rsidR="00995E87" w:rsidRPr="005E7AE0" w:rsidP="00636DF5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cstheme="minorHAnsi"/>
          <w:sz w:val="24"/>
          <w:szCs w:val="24"/>
        </w:rPr>
      </w:pPr>
      <w:r w:rsidRPr="005E7AE0">
        <w:rPr>
          <w:rFonts w:cstheme="minorHAnsi"/>
          <w:sz w:val="24"/>
          <w:szCs w:val="24"/>
        </w:rPr>
        <w:t>Acerca do conceito de interesse local o saudoso professor Hely Lopes Meirelles leciona:</w:t>
      </w:r>
    </w:p>
    <w:p w:rsidR="00995E87" w:rsidRPr="005E7AE0" w:rsidP="009761B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b/>
          <w:i/>
        </w:rPr>
      </w:pPr>
      <w:r w:rsidRPr="005E7AE0">
        <w:rPr>
          <w:rFonts w:eastAsia="Calibri" w:cstheme="minorHAnsi"/>
          <w:i/>
        </w:rPr>
        <w:t xml:space="preserve">"Interesse local não é interesse exclusivo do Município; não é interesse privativo da localidade; não é interesse único dos municípios. Se se exigisse essa exclusividade, essa privatividade, essa unicidade, bem reduzido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5E7AE0">
        <w:rPr>
          <w:rFonts w:eastAsia="Calibri" w:cstheme="minorHAnsi"/>
          <w:b/>
          <w:i/>
        </w:rPr>
        <w:t>O que define e caracteriza o 'interesse local', inscrito como dogma constitucional, é a predominância do interesse do Município sobre o do Estado ou da União". (gn)</w:t>
      </w:r>
    </w:p>
    <w:p w:rsidR="00995E87" w:rsidRPr="005E7AE0" w:rsidP="009761B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eastAsia="Calibri" w:cstheme="minorHAnsi"/>
          <w:i/>
        </w:rPr>
      </w:pPr>
      <w:r w:rsidRPr="005E7AE0">
        <w:rPr>
          <w:rFonts w:eastAsia="Calibri" w:cstheme="minorHAnsi"/>
          <w:i/>
        </w:rPr>
        <w:t>(in Direito Municipal Brasileiro, 6ª ed., atualizada por Izabel Camargo Lopes Monteiro e Yara Darcy Police Monteiro, 1993, Malheiros, p. 98)</w:t>
      </w:r>
    </w:p>
    <w:p w:rsidR="00AB285F" w:rsidRPr="005E7AE0" w:rsidP="002C4D6D">
      <w:pPr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</w:p>
    <w:p w:rsidR="0006637E" w:rsidRPr="005E7AE0" w:rsidP="0006637E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E7AE0">
        <w:rPr>
          <w:rFonts w:asciiTheme="minorHAnsi" w:hAnsiTheme="minorHAnsi" w:cstheme="minorHAnsi"/>
          <w:szCs w:val="24"/>
        </w:rPr>
        <w:t>Do mesmo modo, a Lei Orgânica estabelece que a matéria deve ser submetida à apreciação da Câmara:</w:t>
      </w:r>
    </w:p>
    <w:p w:rsidR="0006637E" w:rsidRPr="005E7AE0" w:rsidP="009761BF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E7AE0">
        <w:rPr>
          <w:rFonts w:asciiTheme="minorHAnsi" w:hAnsiTheme="minorHAnsi" w:cstheme="minorHAnsi"/>
          <w:b/>
          <w:i/>
          <w:sz w:val="22"/>
          <w:szCs w:val="22"/>
        </w:rPr>
        <w:t>Art. 8º Cabe à Câmara</w:t>
      </w:r>
      <w:r w:rsidRPr="005E7AE0">
        <w:rPr>
          <w:rFonts w:asciiTheme="minorHAnsi" w:hAnsiTheme="minorHAnsi" w:cstheme="minorHAnsi"/>
          <w:i/>
          <w:sz w:val="22"/>
          <w:szCs w:val="22"/>
        </w:rPr>
        <w:t xml:space="preserve">, com a sanção do Prefeito, observadas as determinações e a hierarquia constitucional, suplementar a legislação </w:t>
      </w:r>
      <w:r w:rsidRPr="005E7AE0">
        <w:rPr>
          <w:rFonts w:asciiTheme="minorHAnsi" w:hAnsiTheme="minorHAnsi" w:cstheme="minorHAnsi"/>
          <w:i/>
          <w:sz w:val="22"/>
          <w:szCs w:val="22"/>
        </w:rPr>
        <w:t>Federal e Estadual e fiscalizar, mediante controle externo, a administração direta ou indireta, as fundações e as empresas em que o Município detenha a maioria do capital social com direito a voto, especialmente:</w:t>
      </w:r>
    </w:p>
    <w:p w:rsidR="0006637E" w:rsidRPr="005E7AE0" w:rsidP="009761BF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E7AE0">
        <w:rPr>
          <w:rFonts w:asciiTheme="minorHAnsi" w:hAnsiTheme="minorHAnsi" w:cstheme="minorHAnsi"/>
          <w:i/>
          <w:sz w:val="22"/>
          <w:szCs w:val="22"/>
        </w:rPr>
        <w:t>(...)</w:t>
      </w:r>
    </w:p>
    <w:p w:rsidR="0006637E" w:rsidRPr="005E7AE0" w:rsidP="009761BF">
      <w:pPr>
        <w:pStyle w:val="BodyText"/>
        <w:spacing w:after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E7AE0">
        <w:rPr>
          <w:rFonts w:asciiTheme="minorHAnsi" w:hAnsiTheme="minorHAnsi" w:cstheme="minorHAnsi"/>
          <w:b/>
          <w:i/>
          <w:sz w:val="22"/>
          <w:szCs w:val="22"/>
        </w:rPr>
        <w:t>X - autorizar a criação, transformação e extinção de cargos, empregos e funções na administração direta, autárquica e fundações públicas, assim como a fixação dos respectivos vencimentos, observados os parâmetros da lei de diretrizes orçamentárias;</w:t>
      </w:r>
    </w:p>
    <w:p w:rsidR="0006637E" w:rsidRPr="005E7AE0" w:rsidP="009761BF">
      <w:pPr>
        <w:pStyle w:val="BodyTex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E7AE0">
        <w:rPr>
          <w:rFonts w:asciiTheme="minorHAnsi" w:hAnsiTheme="minorHAnsi" w:cstheme="minorHAnsi"/>
          <w:i/>
          <w:sz w:val="22"/>
          <w:szCs w:val="22"/>
        </w:rPr>
        <w:t>(...)</w:t>
      </w:r>
    </w:p>
    <w:p w:rsidR="008C6F6B" w:rsidRPr="008C7B2F" w:rsidP="008C6F6B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bookmarkStart w:id="0" w:name="art20"/>
      <w:bookmarkEnd w:id="0"/>
      <w:r w:rsidRPr="008C7B2F">
        <w:rPr>
          <w:rFonts w:asciiTheme="minorHAnsi" w:hAnsiTheme="minorHAnsi" w:cstheme="minorHAnsi"/>
          <w:szCs w:val="24"/>
        </w:rPr>
        <w:t xml:space="preserve">No que tange à </w:t>
      </w:r>
      <w:r w:rsidRPr="008C7B2F">
        <w:rPr>
          <w:rFonts w:asciiTheme="minorHAnsi" w:hAnsiTheme="minorHAnsi" w:cstheme="minorHAnsi"/>
          <w:b/>
          <w:szCs w:val="24"/>
        </w:rPr>
        <w:t>competência para deflagrar o processo legislativo</w:t>
      </w:r>
      <w:r w:rsidRPr="008C7B2F">
        <w:rPr>
          <w:rFonts w:asciiTheme="minorHAnsi" w:hAnsiTheme="minorHAnsi" w:cstheme="minorHAnsi"/>
          <w:szCs w:val="24"/>
        </w:rPr>
        <w:t xml:space="preserve"> a propositura apresentada pela Prefeita atende às regras de iniciativa, porquanto </w:t>
      </w:r>
      <w:r w:rsidRPr="008C7B2F" w:rsidR="00E47C0C">
        <w:rPr>
          <w:rFonts w:asciiTheme="minorHAnsi" w:hAnsiTheme="minorHAnsi" w:cstheme="minorHAnsi"/>
          <w:b/>
          <w:szCs w:val="24"/>
        </w:rPr>
        <w:t>se trata</w:t>
      </w:r>
      <w:r w:rsidRPr="008C7B2F">
        <w:rPr>
          <w:rFonts w:asciiTheme="minorHAnsi" w:hAnsiTheme="minorHAnsi" w:cstheme="minorHAnsi"/>
          <w:b/>
          <w:szCs w:val="24"/>
        </w:rPr>
        <w:t xml:space="preserve"> de </w:t>
      </w:r>
      <w:r w:rsidRPr="008C7B2F" w:rsidR="00E47C0C">
        <w:rPr>
          <w:rFonts w:asciiTheme="minorHAnsi" w:hAnsiTheme="minorHAnsi" w:cstheme="minorHAnsi"/>
          <w:b/>
          <w:szCs w:val="24"/>
        </w:rPr>
        <w:t xml:space="preserve">matéria de </w:t>
      </w:r>
      <w:r w:rsidRPr="008C7B2F">
        <w:rPr>
          <w:rFonts w:asciiTheme="minorHAnsi" w:hAnsiTheme="minorHAnsi" w:cstheme="minorHAnsi"/>
          <w:b/>
          <w:szCs w:val="24"/>
        </w:rPr>
        <w:t>iniciativa privativa do Executivo</w:t>
      </w:r>
      <w:r w:rsidRPr="008C7B2F">
        <w:rPr>
          <w:rFonts w:asciiTheme="minorHAnsi" w:hAnsiTheme="minorHAnsi" w:cstheme="minorHAnsi"/>
          <w:szCs w:val="24"/>
        </w:rPr>
        <w:t xml:space="preserve">, conforme previsão na Constituição Bandeirante (art. 24, § 2º) e na Lei Orgânica de Valinhos (art. 48), </w:t>
      </w:r>
      <w:r w:rsidRPr="008C7B2F">
        <w:rPr>
          <w:rFonts w:asciiTheme="minorHAnsi" w:hAnsiTheme="minorHAnsi" w:cstheme="minorHAnsi"/>
          <w:i/>
          <w:szCs w:val="24"/>
        </w:rPr>
        <w:t>in verbis</w:t>
      </w:r>
      <w:r w:rsidRPr="008C7B2F">
        <w:rPr>
          <w:rFonts w:asciiTheme="minorHAnsi" w:hAnsiTheme="minorHAnsi" w:cstheme="minorHAnsi"/>
          <w:szCs w:val="24"/>
        </w:rPr>
        <w:t>:</w:t>
      </w:r>
    </w:p>
    <w:p w:rsidR="008C6F6B" w:rsidRPr="008C7B2F" w:rsidP="009761BF">
      <w:pPr>
        <w:pStyle w:val="ListParagraph"/>
        <w:numPr>
          <w:ilvl w:val="0"/>
          <w:numId w:val="4"/>
        </w:numPr>
        <w:spacing w:after="0" w:line="240" w:lineRule="auto"/>
        <w:ind w:left="2694"/>
        <w:jc w:val="both"/>
        <w:rPr>
          <w:rFonts w:cstheme="minorHAnsi"/>
          <w:b/>
          <w:i/>
        </w:rPr>
      </w:pPr>
      <w:r w:rsidRPr="008C7B2F">
        <w:rPr>
          <w:rFonts w:cstheme="minorHAnsi"/>
          <w:b/>
          <w:szCs w:val="24"/>
        </w:rPr>
        <w:t>Constituição Bandeirante</w:t>
      </w:r>
    </w:p>
    <w:p w:rsidR="008C6F6B" w:rsidRPr="008C7B2F" w:rsidP="009761BF">
      <w:pPr>
        <w:spacing w:after="0" w:line="240" w:lineRule="auto"/>
        <w:ind w:left="2268"/>
        <w:jc w:val="both"/>
        <w:rPr>
          <w:rFonts w:cstheme="minorHAnsi"/>
          <w:i/>
        </w:rPr>
      </w:pPr>
      <w:r w:rsidRPr="008C7B2F">
        <w:rPr>
          <w:rFonts w:cstheme="minorHAnsi"/>
          <w:i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C6F6B" w:rsidRPr="008C7B2F" w:rsidP="009761BF">
      <w:pPr>
        <w:spacing w:after="0" w:line="240" w:lineRule="auto"/>
        <w:ind w:left="2268"/>
        <w:jc w:val="both"/>
        <w:rPr>
          <w:rFonts w:cstheme="minorHAnsi"/>
          <w:i/>
        </w:rPr>
      </w:pPr>
      <w:r w:rsidRPr="008C7B2F">
        <w:rPr>
          <w:rFonts w:cstheme="minorHAnsi"/>
          <w:i/>
        </w:rPr>
        <w:t>[...]</w:t>
      </w:r>
    </w:p>
    <w:p w:rsidR="008C6F6B" w:rsidRPr="008C7B2F" w:rsidP="009761BF">
      <w:pPr>
        <w:pStyle w:val="paragrafo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C7B2F">
        <w:rPr>
          <w:rFonts w:asciiTheme="minorHAnsi" w:hAnsiTheme="minorHAnsi" w:cstheme="minorHAnsi"/>
          <w:i/>
          <w:sz w:val="22"/>
          <w:szCs w:val="22"/>
        </w:rPr>
        <w:t>§ 2º - Compete, exclusivamente, ao Governador do Estado a iniciativa das leis que disponham sobre:</w:t>
      </w:r>
    </w:p>
    <w:p w:rsidR="008C6F6B" w:rsidRPr="008C7B2F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1" w:name="CESP_ART_024_2_1"/>
      <w:bookmarkEnd w:id="1"/>
      <w:r w:rsidRPr="008C7B2F">
        <w:rPr>
          <w:rFonts w:asciiTheme="minorHAnsi" w:hAnsiTheme="minorHAnsi" w:cstheme="minorHAnsi"/>
          <w:b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C6F6B" w:rsidRPr="008C7B2F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2" w:name="CESP_ART_024_2_2"/>
      <w:bookmarkEnd w:id="2"/>
      <w:r w:rsidRPr="008C7B2F">
        <w:rPr>
          <w:rFonts w:asciiTheme="minorHAnsi" w:hAnsiTheme="minorHAnsi" w:cstheme="minorHAns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C6F6B" w:rsidRPr="008C7B2F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3" w:name="CESP_ART_024_2_3"/>
      <w:bookmarkEnd w:id="3"/>
      <w:r w:rsidRPr="008C7B2F">
        <w:rPr>
          <w:rFonts w:asciiTheme="minorHAnsi" w:hAnsiTheme="minorHAnsi" w:cstheme="minorHAns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C6F6B" w:rsidRPr="008C7B2F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4" w:name="CESP_ART_024_2_4"/>
      <w:bookmarkEnd w:id="4"/>
      <w:r w:rsidRPr="008C7B2F">
        <w:rPr>
          <w:rFonts w:asciiTheme="minorHAnsi" w:hAnsiTheme="minorHAnsi" w:cstheme="minorHAnsi"/>
          <w:b/>
          <w:i/>
          <w:sz w:val="22"/>
          <w:szCs w:val="22"/>
        </w:rPr>
        <w:t>4 - servidores públicos do Estado, seu regime jurídico, provimento de cargos, estabilidade e aposentadoria</w:t>
      </w:r>
      <w:r w:rsidRPr="008C7B2F">
        <w:rPr>
          <w:rFonts w:asciiTheme="minorHAnsi" w:hAnsiTheme="minorHAnsi" w:cstheme="minorHAnsi"/>
          <w:i/>
          <w:sz w:val="22"/>
          <w:szCs w:val="22"/>
        </w:rPr>
        <w:t xml:space="preserve">; </w:t>
      </w:r>
    </w:p>
    <w:p w:rsidR="008C6F6B" w:rsidRPr="008C7B2F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C7B2F">
        <w:rPr>
          <w:rFonts w:asciiTheme="minorHAnsi" w:hAnsiTheme="minorHAnsi" w:cstheme="minorHAns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C6F6B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C7B2F">
        <w:rPr>
          <w:rFonts w:asciiTheme="minorHAnsi" w:hAnsiTheme="minorHAnsi" w:cstheme="minorHAnsi"/>
          <w:i/>
          <w:sz w:val="22"/>
          <w:szCs w:val="22"/>
        </w:rPr>
        <w:t>6 - criação, alteração ou supressão de cartórios notariais e de registros públicos.</w:t>
      </w:r>
    </w:p>
    <w:p w:rsidR="00F432A7" w:rsidRPr="008C7B2F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C6F6B" w:rsidRPr="008C7B2F" w:rsidP="009761BF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8C6F6B" w:rsidRPr="008C7B2F" w:rsidP="009761BF">
      <w:pPr>
        <w:pStyle w:val="ListParagraph"/>
        <w:numPr>
          <w:ilvl w:val="0"/>
          <w:numId w:val="4"/>
        </w:numPr>
        <w:spacing w:after="0" w:line="240" w:lineRule="auto"/>
        <w:ind w:left="2694"/>
        <w:jc w:val="both"/>
        <w:rPr>
          <w:rFonts w:cstheme="minorHAnsi"/>
          <w:b/>
          <w:i/>
        </w:rPr>
      </w:pPr>
      <w:r w:rsidRPr="008C7B2F">
        <w:rPr>
          <w:rFonts w:cstheme="minorHAnsi"/>
          <w:b/>
          <w:szCs w:val="24"/>
        </w:rPr>
        <w:t>Lei Orgânica de Valinhos</w:t>
      </w:r>
    </w:p>
    <w:p w:rsidR="008C6F6B" w:rsidRPr="008C7B2F" w:rsidP="009761BF">
      <w:pPr>
        <w:spacing w:after="0" w:line="240" w:lineRule="auto"/>
        <w:ind w:left="2268"/>
        <w:jc w:val="both"/>
        <w:rPr>
          <w:rFonts w:cstheme="minorHAnsi"/>
          <w:i/>
        </w:rPr>
      </w:pPr>
      <w:r w:rsidRPr="008C7B2F">
        <w:rPr>
          <w:rFonts w:cstheme="minorHAnsi"/>
          <w:i/>
        </w:rPr>
        <w:t xml:space="preserve">Art. 48. Compete, exclusivamente, ao Prefeito a iniciativa dos projetos de lei que disponham sobre: </w:t>
      </w:r>
    </w:p>
    <w:p w:rsidR="008C6F6B" w:rsidRPr="008C7B2F" w:rsidP="009761BF">
      <w:pPr>
        <w:spacing w:after="0" w:line="240" w:lineRule="auto"/>
        <w:ind w:left="2268"/>
        <w:jc w:val="both"/>
        <w:rPr>
          <w:rFonts w:cstheme="minorHAnsi"/>
          <w:b/>
          <w:i/>
        </w:rPr>
      </w:pPr>
      <w:r w:rsidRPr="008C7B2F">
        <w:rPr>
          <w:rFonts w:cstheme="minorHAnsi"/>
          <w:b/>
          <w:i/>
        </w:rPr>
        <w:t>I - criação e extinção de cargos, funções ou empregos públicos na administração direta e autárquica, bem como a fixação da respectiva remuneração;</w:t>
      </w:r>
    </w:p>
    <w:p w:rsidR="008C6F6B" w:rsidRPr="008C7B2F" w:rsidP="009761BF">
      <w:pPr>
        <w:spacing w:after="0" w:line="240" w:lineRule="auto"/>
        <w:ind w:left="2268"/>
        <w:jc w:val="both"/>
        <w:rPr>
          <w:rFonts w:cstheme="minorHAnsi"/>
          <w:i/>
        </w:rPr>
      </w:pPr>
      <w:r w:rsidRPr="008C7B2F">
        <w:rPr>
          <w:rFonts w:cstheme="minorHAnsi"/>
          <w:i/>
        </w:rPr>
        <w:t xml:space="preserve"> II - criação, estruturação e atribuições das Secretarias Municipais e órgãos da administração pública; </w:t>
      </w:r>
    </w:p>
    <w:p w:rsidR="008C6F6B" w:rsidRPr="008C7B2F" w:rsidP="009761BF">
      <w:pPr>
        <w:spacing w:after="0" w:line="240" w:lineRule="auto"/>
        <w:ind w:left="2268"/>
        <w:jc w:val="both"/>
        <w:rPr>
          <w:rFonts w:cstheme="minorHAnsi"/>
          <w:b/>
          <w:i/>
        </w:rPr>
      </w:pPr>
      <w:r w:rsidRPr="008C7B2F">
        <w:rPr>
          <w:rFonts w:cstheme="minorHAnsi"/>
          <w:b/>
          <w:i/>
        </w:rPr>
        <w:t xml:space="preserve">III - servidores públicos do Município, seu regime jurídico, provimento de cargos, estabilidade e aposentadoria; </w:t>
      </w:r>
    </w:p>
    <w:p w:rsidR="008C6F6B" w:rsidRPr="008C7B2F" w:rsidP="009761BF">
      <w:pPr>
        <w:spacing w:after="0" w:line="240" w:lineRule="auto"/>
        <w:ind w:left="2268"/>
        <w:jc w:val="both"/>
        <w:rPr>
          <w:rFonts w:cstheme="minorHAnsi"/>
          <w:i/>
        </w:rPr>
      </w:pPr>
      <w:r w:rsidRPr="008C7B2F">
        <w:rPr>
          <w:rFonts w:cstheme="minorHAnsi"/>
          <w:i/>
        </w:rPr>
        <w:t>IV - abertura de créditos adicionais.</w:t>
      </w:r>
    </w:p>
    <w:p w:rsidR="008C6F6B" w:rsidRPr="008C7B2F" w:rsidP="008C6F6B">
      <w:pPr>
        <w:spacing w:after="80"/>
        <w:ind w:left="2268"/>
        <w:jc w:val="both"/>
        <w:rPr>
          <w:rFonts w:cstheme="minorHAnsi"/>
          <w:i/>
        </w:rPr>
      </w:pPr>
    </w:p>
    <w:p w:rsidR="007445E7" w:rsidRPr="008C7B2F" w:rsidP="007445E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8C7B2F">
        <w:rPr>
          <w:rFonts w:asciiTheme="minorHAnsi" w:hAnsiTheme="minorHAnsi" w:cstheme="minorHAnsi"/>
          <w:szCs w:val="24"/>
        </w:rPr>
        <w:t>Quanto à fixação dos padrões de vencimento</w:t>
      </w:r>
      <w:r w:rsidRPr="008C7B2F" w:rsidR="004F6EE2">
        <w:rPr>
          <w:rFonts w:asciiTheme="minorHAnsi" w:hAnsiTheme="minorHAnsi" w:cstheme="minorHAnsi"/>
          <w:szCs w:val="24"/>
        </w:rPr>
        <w:t xml:space="preserve"> e dos demais componentes do sistema remuneratório </w:t>
      </w:r>
      <w:r w:rsidRPr="008C7B2F">
        <w:rPr>
          <w:rFonts w:asciiTheme="minorHAnsi" w:hAnsiTheme="minorHAnsi" w:cstheme="minorHAnsi"/>
          <w:szCs w:val="24"/>
        </w:rPr>
        <w:t>dos servidores o art. 39, § 1º</w:t>
      </w:r>
      <w:r w:rsidRPr="008C7B2F" w:rsidR="00474F60">
        <w:rPr>
          <w:rFonts w:asciiTheme="minorHAnsi" w:hAnsiTheme="minorHAnsi" w:cstheme="minorHAnsi"/>
          <w:szCs w:val="24"/>
        </w:rPr>
        <w:t>,</w:t>
      </w:r>
      <w:r w:rsidRPr="008C7B2F">
        <w:rPr>
          <w:rFonts w:asciiTheme="minorHAnsi" w:hAnsiTheme="minorHAnsi" w:cstheme="minorHAnsi"/>
          <w:szCs w:val="24"/>
        </w:rPr>
        <w:t xml:space="preserve"> da Constituição Federal estabelece a competência dos entes federados e os parâmetros a serem observados, vejamos: </w:t>
      </w:r>
    </w:p>
    <w:p w:rsidR="009D276A" w:rsidRPr="008C7B2F" w:rsidP="009761BF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C7B2F">
        <w:rPr>
          <w:rFonts w:asciiTheme="minorHAnsi" w:hAnsiTheme="minorHAnsi" w:cstheme="minorHAnsi"/>
          <w:i/>
          <w:sz w:val="22"/>
          <w:szCs w:val="22"/>
        </w:rPr>
        <w:t xml:space="preserve">Art. 39. A União, os Estados, o Distrito Federal e os Municípios instituirão conselho de política de administração e remuneração de pessoal, integrado por servidores designados pelos respectivos Poderes. </w:t>
      </w:r>
    </w:p>
    <w:p w:rsidR="009D276A" w:rsidRPr="008C7B2F" w:rsidP="009761BF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  <w:u w:val="thick"/>
        </w:rPr>
      </w:pPr>
      <w:r w:rsidRPr="008C7B2F">
        <w:rPr>
          <w:rFonts w:asciiTheme="minorHAnsi" w:hAnsiTheme="minorHAnsi" w:cstheme="minorHAnsi"/>
          <w:i/>
          <w:sz w:val="22"/>
          <w:szCs w:val="22"/>
        </w:rPr>
        <w:t xml:space="preserve">§ 1º A fixação dos padrões de vencimento </w:t>
      </w:r>
      <w:r w:rsidRPr="008C7B2F">
        <w:rPr>
          <w:rFonts w:asciiTheme="minorHAnsi" w:hAnsiTheme="minorHAnsi" w:cstheme="minorHAnsi"/>
          <w:i/>
          <w:sz w:val="22"/>
          <w:szCs w:val="22"/>
          <w:u w:val="thick"/>
        </w:rPr>
        <w:t>e dos demais componentes do sistema remuneratório observará:</w:t>
      </w:r>
    </w:p>
    <w:p w:rsidR="009D276A" w:rsidRPr="008C7B2F" w:rsidP="003359E4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C7B2F">
        <w:rPr>
          <w:rFonts w:asciiTheme="minorHAnsi" w:hAnsiTheme="minorHAnsi" w:cstheme="minorHAnsi"/>
          <w:i/>
          <w:sz w:val="22"/>
          <w:szCs w:val="22"/>
        </w:rPr>
        <w:t>I - a natureza, o grau de responsabilidade e a complexidade dos cargos componentes de cada carreira;</w:t>
      </w:r>
    </w:p>
    <w:p w:rsidR="009D276A" w:rsidRPr="008C7B2F" w:rsidP="003359E4">
      <w:pPr>
        <w:pStyle w:val="BodyText"/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C7B2F">
        <w:rPr>
          <w:rFonts w:asciiTheme="minorHAnsi" w:hAnsiTheme="minorHAnsi" w:cstheme="minorHAnsi"/>
          <w:i/>
          <w:sz w:val="22"/>
          <w:szCs w:val="22"/>
        </w:rPr>
        <w:t>II - os requisitos para a investidura;</w:t>
      </w:r>
    </w:p>
    <w:p w:rsidR="00AB285F" w:rsidRPr="008C7B2F" w:rsidP="003359E4">
      <w:pPr>
        <w:pStyle w:val="BodyText"/>
        <w:spacing w:after="24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C7B2F">
        <w:rPr>
          <w:rFonts w:asciiTheme="minorHAnsi" w:hAnsiTheme="minorHAnsi" w:cstheme="minorHAnsi"/>
          <w:i/>
          <w:sz w:val="22"/>
          <w:szCs w:val="22"/>
        </w:rPr>
        <w:t>III - as peculiaridades dos cargos.</w:t>
      </w:r>
    </w:p>
    <w:p w:rsidR="008C7B2F" w:rsidRPr="00AF6393" w:rsidP="008C7B2F">
      <w:pPr>
        <w:spacing w:after="120" w:line="360" w:lineRule="auto"/>
        <w:ind w:right="57" w:firstLine="1701"/>
        <w:jc w:val="both"/>
        <w:rPr>
          <w:rFonts w:cstheme="minorHAnsi"/>
          <w:i/>
          <w:sz w:val="24"/>
          <w:szCs w:val="24"/>
        </w:rPr>
      </w:pPr>
      <w:r w:rsidRPr="00AF6393">
        <w:rPr>
          <w:rFonts w:cstheme="minorHAnsi"/>
          <w:sz w:val="24"/>
          <w:szCs w:val="24"/>
        </w:rPr>
        <w:t xml:space="preserve">Noutro giro, verifica-se que o projeto em baila acarreta aumento de despesa obrigatória de caráter continuado devendo observar o disposto no art. 16 da Lei de Responsabilidade Fiscal (LRF), </w:t>
      </w:r>
      <w:r w:rsidRPr="00AF6393">
        <w:rPr>
          <w:rFonts w:cstheme="minorHAnsi"/>
          <w:i/>
          <w:sz w:val="24"/>
          <w:szCs w:val="24"/>
        </w:rPr>
        <w:t>in verbis:</w:t>
      </w:r>
    </w:p>
    <w:p w:rsidR="008C7B2F" w:rsidRPr="00AF6393" w:rsidP="008C7B2F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F6393">
        <w:rPr>
          <w:rFonts w:asciiTheme="minorHAnsi" w:hAnsiTheme="minorHAnsi" w:cstheme="minorHAnsi"/>
          <w:i/>
          <w:sz w:val="22"/>
          <w:szCs w:val="22"/>
        </w:rPr>
        <w:t>Art. 16.</w:t>
      </w:r>
      <w:r w:rsidRPr="00AF6393">
        <w:rPr>
          <w:rFonts w:asciiTheme="minorHAnsi" w:hAnsiTheme="minorHAnsi" w:cstheme="minorHAnsi"/>
          <w:b/>
          <w:bCs/>
          <w:i/>
          <w:sz w:val="22"/>
          <w:szCs w:val="22"/>
        </w:rPr>
        <w:t> </w:t>
      </w:r>
      <w:r w:rsidRPr="00AF6393">
        <w:rPr>
          <w:rFonts w:asciiTheme="minorHAnsi" w:hAnsiTheme="minorHAnsi" w:cstheme="minorHAnsi"/>
          <w:i/>
          <w:sz w:val="22"/>
          <w:szCs w:val="22"/>
        </w:rPr>
        <w:t>A criação, expansão ou aperfeiçoamento de ação governamental que acarrete aumento da despesa será acompanhado de:        </w:t>
      </w:r>
      <w:hyperlink r:id="rId6" w:history="1">
        <w:r w:rsidRPr="00AF6393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(Vide ADI 6357)</w:t>
        </w:r>
      </w:hyperlink>
    </w:p>
    <w:p w:rsidR="008C7B2F" w:rsidRPr="00AF6393" w:rsidP="008C7B2F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5" w:name="art16i"/>
      <w:bookmarkEnd w:id="5"/>
      <w:r w:rsidRPr="00AF6393">
        <w:rPr>
          <w:rFonts w:asciiTheme="minorHAnsi" w:hAnsiTheme="minorHAnsi" w:cstheme="minorHAnsi"/>
          <w:i/>
          <w:sz w:val="22"/>
          <w:szCs w:val="22"/>
        </w:rPr>
        <w:t xml:space="preserve">I - </w:t>
      </w:r>
      <w:r w:rsidRPr="00AF6393">
        <w:rPr>
          <w:rFonts w:asciiTheme="minorHAnsi" w:hAnsiTheme="minorHAnsi" w:cstheme="minorHAnsi"/>
          <w:b/>
          <w:i/>
          <w:sz w:val="22"/>
          <w:szCs w:val="22"/>
        </w:rPr>
        <w:t>estimativa do impacto orçamentário-financeiro no exercício em que deva entrar em vigor e nos dois subseqüentes;</w:t>
      </w:r>
    </w:p>
    <w:p w:rsidR="008C7B2F" w:rsidRPr="00AF6393" w:rsidP="008C7B2F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6" w:name="art16ii"/>
      <w:bookmarkEnd w:id="6"/>
      <w:r w:rsidRPr="00AF6393">
        <w:rPr>
          <w:rFonts w:asciiTheme="minorHAnsi" w:hAnsiTheme="minorHAnsi" w:cstheme="minorHAnsi"/>
          <w:i/>
          <w:sz w:val="22"/>
          <w:szCs w:val="22"/>
        </w:rPr>
        <w:t xml:space="preserve">II - </w:t>
      </w:r>
      <w:r w:rsidRPr="00AF6393">
        <w:rPr>
          <w:rFonts w:asciiTheme="minorHAnsi" w:hAnsiTheme="minorHAnsi" w:cstheme="minorHAnsi"/>
          <w:b/>
          <w:i/>
          <w:sz w:val="22"/>
          <w:szCs w:val="22"/>
        </w:rPr>
        <w:t>declaração do ordenador da despesa de que o aumento tem adequação orçamentária e financeira com a lei orçamentária anual e compatibilidade com o plano plurianual e com a lei de diretrizes orçamentárias</w:t>
      </w:r>
      <w:r w:rsidRPr="00AF6393">
        <w:rPr>
          <w:rFonts w:asciiTheme="minorHAnsi" w:hAnsiTheme="minorHAnsi" w:cstheme="minorHAnsi"/>
          <w:i/>
          <w:sz w:val="22"/>
          <w:szCs w:val="22"/>
        </w:rPr>
        <w:t>.</w:t>
      </w:r>
    </w:p>
    <w:p w:rsidR="008C7B2F" w:rsidRPr="00AF6393" w:rsidP="008C7B2F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7" w:name="art16§1"/>
      <w:bookmarkEnd w:id="7"/>
      <w:r w:rsidRPr="00AF6393">
        <w:rPr>
          <w:rFonts w:asciiTheme="minorHAnsi" w:hAnsiTheme="minorHAnsi" w:cstheme="minorHAnsi"/>
          <w:i/>
          <w:sz w:val="22"/>
          <w:szCs w:val="22"/>
        </w:rPr>
        <w:t>§ 1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Para os fins desta Lei Complementar, considera-se:</w:t>
      </w:r>
    </w:p>
    <w:p w:rsidR="008C7B2F" w:rsidRPr="00AF6393" w:rsidP="008C7B2F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8" w:name="art16§1i"/>
      <w:bookmarkEnd w:id="8"/>
      <w:r w:rsidRPr="00AF6393">
        <w:rPr>
          <w:rFonts w:asciiTheme="minorHAnsi" w:hAnsiTheme="minorHAnsi" w:cstheme="minorHAnsi"/>
          <w:i/>
          <w:sz w:val="22"/>
          <w:szCs w:val="22"/>
        </w:rPr>
        <w:t>I - adequada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8C7B2F" w:rsidRPr="00AF6393" w:rsidP="008C7B2F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9" w:name="art16§1ii"/>
      <w:bookmarkEnd w:id="9"/>
      <w:r w:rsidRPr="00AF6393">
        <w:rPr>
          <w:rFonts w:asciiTheme="minorHAnsi" w:hAnsiTheme="minorHAnsi" w:cstheme="minorHAnsi"/>
          <w:i/>
          <w:sz w:val="22"/>
          <w:szCs w:val="22"/>
        </w:rPr>
        <w:t>II - compatível com o plano plurianual e a lei de diretrizes orçamentárias, a despesa que se conforme com as diretrizes, objetivos, prioridades e metas previstos nesses instrumentos e não infrinja qualquer de suas disposições.</w:t>
      </w:r>
    </w:p>
    <w:p w:rsidR="008C7B2F" w:rsidRPr="00AF6393" w:rsidP="008C7B2F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0" w:name="art16§2"/>
      <w:bookmarkEnd w:id="10"/>
      <w:r w:rsidRPr="00AF6393">
        <w:rPr>
          <w:rFonts w:asciiTheme="minorHAnsi" w:hAnsiTheme="minorHAnsi" w:cstheme="minorHAnsi"/>
          <w:i/>
          <w:sz w:val="22"/>
          <w:szCs w:val="22"/>
        </w:rPr>
        <w:t>§ 2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A estimativa de que trata o inciso I do </w:t>
      </w:r>
      <w:r w:rsidRPr="00AF6393">
        <w:rPr>
          <w:rFonts w:asciiTheme="minorHAnsi" w:hAnsiTheme="minorHAnsi" w:cstheme="minorHAnsi"/>
          <w:i/>
          <w:iCs/>
          <w:sz w:val="22"/>
          <w:szCs w:val="22"/>
        </w:rPr>
        <w:t>caput</w:t>
      </w:r>
      <w:r w:rsidRPr="00AF6393">
        <w:rPr>
          <w:rFonts w:asciiTheme="minorHAnsi" w:hAnsiTheme="minorHAnsi" w:cstheme="minorHAnsi"/>
          <w:i/>
          <w:sz w:val="22"/>
          <w:szCs w:val="22"/>
        </w:rPr>
        <w:t> será acompanhada das premissas e metodologia de cálculo utilizadas.</w:t>
      </w:r>
    </w:p>
    <w:p w:rsidR="008C7B2F" w:rsidRPr="00AF6393" w:rsidP="008C7B2F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1" w:name="art16§3"/>
      <w:bookmarkEnd w:id="11"/>
      <w:r w:rsidRPr="00AF6393">
        <w:rPr>
          <w:rFonts w:asciiTheme="minorHAnsi" w:hAnsiTheme="minorHAnsi" w:cstheme="minorHAnsi"/>
          <w:i/>
          <w:sz w:val="22"/>
          <w:szCs w:val="22"/>
        </w:rPr>
        <w:t>§ 3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Ressalva-se do disposto neste artigo a despesa considerada irrelevante, nos termos em que dispuser a lei de diretrizes orçamentárias.</w:t>
      </w:r>
    </w:p>
    <w:p w:rsidR="008C7B2F" w:rsidRPr="00AF6393" w:rsidP="008C7B2F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2" w:name="art16§4"/>
      <w:bookmarkEnd w:id="12"/>
      <w:r w:rsidRPr="00AF6393">
        <w:rPr>
          <w:rFonts w:asciiTheme="minorHAnsi" w:hAnsiTheme="minorHAnsi" w:cstheme="minorHAnsi"/>
          <w:i/>
          <w:sz w:val="22"/>
          <w:szCs w:val="22"/>
        </w:rPr>
        <w:t>§ 4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As normas do </w:t>
      </w:r>
      <w:r w:rsidRPr="00AF6393">
        <w:rPr>
          <w:rFonts w:asciiTheme="minorHAnsi" w:hAnsiTheme="minorHAnsi" w:cstheme="minorHAnsi"/>
          <w:i/>
          <w:iCs/>
          <w:sz w:val="22"/>
          <w:szCs w:val="22"/>
        </w:rPr>
        <w:t>caput</w:t>
      </w:r>
      <w:r w:rsidRPr="00AF6393">
        <w:rPr>
          <w:rFonts w:asciiTheme="minorHAnsi" w:hAnsiTheme="minorHAnsi" w:cstheme="minorHAnsi"/>
          <w:i/>
          <w:sz w:val="22"/>
          <w:szCs w:val="22"/>
        </w:rPr>
        <w:t> constituem condição prévia para:</w:t>
      </w:r>
    </w:p>
    <w:p w:rsidR="008C7B2F" w:rsidRPr="00AF6393" w:rsidP="008C7B2F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3" w:name="art16§4i"/>
      <w:bookmarkEnd w:id="13"/>
      <w:r w:rsidRPr="00AF6393">
        <w:rPr>
          <w:rFonts w:asciiTheme="minorHAnsi" w:hAnsiTheme="minorHAnsi" w:cstheme="minorHAnsi"/>
          <w:i/>
          <w:sz w:val="22"/>
          <w:szCs w:val="22"/>
        </w:rPr>
        <w:t>I - empenho e licitação de serviços, fornecimento de bens ou execução de obras;</w:t>
      </w:r>
    </w:p>
    <w:p w:rsidR="008C7B2F" w:rsidRPr="00AF6393" w:rsidP="008C7B2F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4" w:name="art16§4ii"/>
      <w:bookmarkEnd w:id="14"/>
      <w:r w:rsidRPr="00AF6393">
        <w:rPr>
          <w:rFonts w:asciiTheme="minorHAnsi" w:hAnsiTheme="minorHAnsi" w:cstheme="minorHAnsi"/>
          <w:i/>
          <w:sz w:val="22"/>
          <w:szCs w:val="22"/>
        </w:rPr>
        <w:t>II - desapropriação de imóveis urbanos a que se refere o </w:t>
      </w:r>
      <w:hyperlink r:id="rId7" w:anchor="art182%C2%A73" w:history="1">
        <w:r w:rsidRPr="00AF6393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§ 3</w:t>
        </w:r>
        <w:r w:rsidRPr="00AF6393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  <w:vertAlign w:val="superscript"/>
          </w:rPr>
          <w:t>o </w:t>
        </w:r>
        <w:r w:rsidRPr="00AF6393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do art. 182 da Constituição</w:t>
        </w:r>
      </w:hyperlink>
      <w:r w:rsidRPr="00AF6393">
        <w:rPr>
          <w:rFonts w:asciiTheme="minorHAnsi" w:hAnsiTheme="minorHAnsi" w:cstheme="minorHAnsi"/>
          <w:i/>
          <w:sz w:val="22"/>
          <w:szCs w:val="22"/>
        </w:rPr>
        <w:t>.</w:t>
      </w:r>
    </w:p>
    <w:p w:rsidR="008C7B2F" w:rsidRPr="00AF6393" w:rsidP="008C7B2F">
      <w:pPr>
        <w:spacing w:after="0" w:line="240" w:lineRule="auto"/>
        <w:ind w:right="57" w:firstLine="1701"/>
        <w:jc w:val="both"/>
        <w:rPr>
          <w:rFonts w:cstheme="minorHAnsi"/>
          <w:szCs w:val="24"/>
        </w:rPr>
      </w:pPr>
    </w:p>
    <w:p w:rsidR="008C7B2F" w:rsidRPr="00AF6393" w:rsidP="008C7B2F">
      <w:pPr>
        <w:spacing w:after="120" w:line="360" w:lineRule="auto"/>
        <w:ind w:right="57" w:firstLine="1701"/>
        <w:jc w:val="both"/>
        <w:rPr>
          <w:rFonts w:cstheme="minorHAnsi"/>
          <w:sz w:val="24"/>
          <w:szCs w:val="24"/>
        </w:rPr>
      </w:pPr>
      <w:r w:rsidRPr="00AF6393">
        <w:rPr>
          <w:rFonts w:cstheme="minorHAnsi"/>
          <w:sz w:val="24"/>
          <w:szCs w:val="24"/>
        </w:rPr>
        <w:t>Quanto à definição de despesa obrigatória de caráter continuado o art. 17 da LRF estabelece:</w:t>
      </w:r>
    </w:p>
    <w:p w:rsidR="008C7B2F" w:rsidRPr="00AF6393" w:rsidP="008C7B2F">
      <w:pPr>
        <w:pStyle w:val="NormalWeb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F6393">
        <w:rPr>
          <w:rFonts w:asciiTheme="minorHAnsi" w:hAnsiTheme="minorHAnsi" w:cstheme="minorHAnsi"/>
          <w:i/>
          <w:sz w:val="22"/>
          <w:szCs w:val="22"/>
        </w:rPr>
        <w:t>Art. 17.</w:t>
      </w:r>
      <w:r w:rsidRPr="00AF6393">
        <w:rPr>
          <w:rFonts w:asciiTheme="minorHAnsi" w:hAnsiTheme="minorHAnsi" w:cstheme="minorHAnsi"/>
          <w:b/>
          <w:bCs/>
          <w:i/>
          <w:sz w:val="22"/>
          <w:szCs w:val="22"/>
        </w:rPr>
        <w:t> </w:t>
      </w:r>
      <w:r w:rsidRPr="00AF6393">
        <w:rPr>
          <w:rFonts w:asciiTheme="minorHAnsi" w:hAnsiTheme="minorHAnsi" w:cstheme="minorHAnsi"/>
          <w:b/>
          <w:i/>
          <w:sz w:val="22"/>
          <w:szCs w:val="22"/>
        </w:rPr>
        <w:t>Considera-se obrigatória de caráter continuado a despesa corrente derivada de lei, medida provisória ou ato administrativo normativo que fixem para o ente a obrigação legal de sua execução por um período superior a dois exercícios.</w:t>
      </w:r>
      <w:r w:rsidRPr="00AF6393">
        <w:rPr>
          <w:rFonts w:asciiTheme="minorHAnsi" w:hAnsiTheme="minorHAnsi" w:cstheme="minorHAnsi"/>
          <w:i/>
          <w:sz w:val="22"/>
          <w:szCs w:val="22"/>
        </w:rPr>
        <w:t>        </w:t>
      </w:r>
      <w:hyperlink r:id="rId6" w:history="1">
        <w:r w:rsidRPr="00AF6393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(Vide ADI 6357)</w:t>
        </w:r>
      </w:hyperlink>
    </w:p>
    <w:p w:rsidR="008C7B2F" w:rsidRPr="00AF6393" w:rsidP="008C7B2F">
      <w:pPr>
        <w:pStyle w:val="NormalWeb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5" w:name="art17§1"/>
      <w:bookmarkEnd w:id="15"/>
      <w:r w:rsidRPr="00AF6393">
        <w:rPr>
          <w:rFonts w:asciiTheme="minorHAnsi" w:hAnsiTheme="minorHAnsi" w:cstheme="minorHAnsi"/>
          <w:b/>
          <w:i/>
          <w:sz w:val="22"/>
          <w:szCs w:val="22"/>
          <w:u w:val="single"/>
        </w:rPr>
        <w:t>§ 1</w:t>
      </w:r>
      <w:r w:rsidRPr="00AF6393">
        <w:rPr>
          <w:rFonts w:asciiTheme="minorHAnsi" w:hAnsiTheme="minorHAnsi" w:cstheme="minorHAnsi"/>
          <w:b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b/>
          <w:i/>
          <w:sz w:val="22"/>
          <w:szCs w:val="22"/>
          <w:u w:val="single"/>
        </w:rPr>
        <w:t> Os atos que criarem ou aumentarem despesa de que trata o </w:t>
      </w:r>
      <w:r w:rsidRPr="00AF6393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caput</w:t>
      </w:r>
      <w:r w:rsidRPr="00AF6393">
        <w:rPr>
          <w:rFonts w:asciiTheme="minorHAnsi" w:hAnsiTheme="minorHAnsi" w:cstheme="minorHAnsi"/>
          <w:b/>
          <w:i/>
          <w:sz w:val="22"/>
          <w:szCs w:val="22"/>
          <w:u w:val="single"/>
        </w:rPr>
        <w:t> deverão ser instruídos com a estimativa prevista no inciso I do art. 16 e demonstrar a origem dos recursos para seu custeio</w:t>
      </w:r>
      <w:r w:rsidRPr="00AF6393">
        <w:rPr>
          <w:rFonts w:asciiTheme="minorHAnsi" w:hAnsiTheme="minorHAnsi" w:cstheme="minorHAnsi"/>
          <w:i/>
          <w:sz w:val="22"/>
          <w:szCs w:val="22"/>
        </w:rPr>
        <w:t>.     </w:t>
      </w:r>
      <w:hyperlink r:id="rId8" w:anchor="art7" w:history="1">
        <w:r w:rsidRPr="00AF6393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(Vide Lei Complementar nº 176, de 2020)</w:t>
        </w:r>
      </w:hyperlink>
    </w:p>
    <w:p w:rsidR="008C7B2F" w:rsidRPr="00AF6393" w:rsidP="008C7B2F">
      <w:pPr>
        <w:pStyle w:val="NormalWeb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6" w:name="art17§2"/>
      <w:bookmarkEnd w:id="16"/>
      <w:r w:rsidRPr="00AF6393">
        <w:rPr>
          <w:rFonts w:asciiTheme="minorHAnsi" w:hAnsiTheme="minorHAnsi" w:cstheme="minorHAnsi"/>
          <w:i/>
          <w:sz w:val="22"/>
          <w:szCs w:val="22"/>
        </w:rPr>
        <w:t>§ 2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Para efeito do atendimento do § 1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, o ato será acompanhado de comprovação de que a despesa criada ou aumentada não afetará as metas de resultados fiscais previstas no anexo referido no § 1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do art. 4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, devendo seus efeitos financeiros, nos períodos seguintes, ser compensados pelo aumento permanente de receita ou pela redução permanente de despesa.        </w:t>
      </w:r>
      <w:hyperlink r:id="rId8" w:anchor="art7" w:history="1">
        <w:r w:rsidRPr="00AF6393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(Vide Lei Complementar nº 176, de 2020)</w:t>
        </w:r>
      </w:hyperlink>
    </w:p>
    <w:p w:rsidR="008C7B2F" w:rsidRPr="00AF6393" w:rsidP="008C7B2F">
      <w:pPr>
        <w:pStyle w:val="NormalWeb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7" w:name="art17§3"/>
      <w:bookmarkEnd w:id="17"/>
      <w:r w:rsidRPr="00AF6393">
        <w:rPr>
          <w:rFonts w:asciiTheme="minorHAnsi" w:hAnsiTheme="minorHAnsi" w:cstheme="minorHAnsi"/>
          <w:i/>
          <w:sz w:val="22"/>
          <w:szCs w:val="22"/>
        </w:rPr>
        <w:t>§ 3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Para efeito do § 2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, considera-se aumento permanente de receita o proveniente da elevação de alíquotas, ampliação da base de cálculo, majoração ou criação de tributo ou contribuição.      </w:t>
      </w:r>
      <w:hyperlink r:id="rId8" w:anchor="art7" w:history="1">
        <w:r w:rsidRPr="00AF6393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(Vide Lei Complementar nº 176, de 2020)</w:t>
        </w:r>
      </w:hyperlink>
    </w:p>
    <w:p w:rsidR="008C7B2F" w:rsidRPr="00AF6393" w:rsidP="008C7B2F">
      <w:pPr>
        <w:pStyle w:val="NormalWeb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8" w:name="art17§4"/>
      <w:bookmarkEnd w:id="18"/>
      <w:r w:rsidRPr="00AF6393">
        <w:rPr>
          <w:rFonts w:asciiTheme="minorHAnsi" w:hAnsiTheme="minorHAnsi" w:cstheme="minorHAnsi"/>
          <w:i/>
          <w:sz w:val="22"/>
          <w:szCs w:val="22"/>
        </w:rPr>
        <w:t>§ 4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A comprovação referida no § 2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 xml:space="preserve">, apresentada pelo proponente, conterá as premissas e metodologia de cálculo utilizadas, sem </w:t>
      </w:r>
      <w:r w:rsidRPr="00AF6393">
        <w:rPr>
          <w:rFonts w:asciiTheme="minorHAnsi" w:hAnsiTheme="minorHAnsi" w:cstheme="minorHAnsi"/>
          <w:i/>
          <w:sz w:val="22"/>
          <w:szCs w:val="22"/>
        </w:rPr>
        <w:t>prejuízo do exame de compatibilidade da despesa com as demais normas do plano plurianual e da lei de diretrizes orçamentárias.       </w:t>
      </w:r>
      <w:hyperlink r:id="rId8" w:anchor="art7" w:history="1">
        <w:r w:rsidRPr="00AF6393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(Vide Lei Complementar nº 176, de 2020)</w:t>
        </w:r>
      </w:hyperlink>
    </w:p>
    <w:p w:rsidR="008C7B2F" w:rsidRPr="00AF6393" w:rsidP="008C7B2F">
      <w:pPr>
        <w:pStyle w:val="NormalWeb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9" w:name="art17§5"/>
      <w:bookmarkEnd w:id="19"/>
      <w:r w:rsidRPr="00AF6393">
        <w:rPr>
          <w:rFonts w:asciiTheme="minorHAnsi" w:hAnsiTheme="minorHAnsi" w:cstheme="minorHAnsi"/>
          <w:i/>
          <w:sz w:val="22"/>
          <w:szCs w:val="22"/>
        </w:rPr>
        <w:t>§ 5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A despesa de que trata este artigo não será executada antes da implementação das medidas referidas no § 2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, as quais integrarão o instrumento que a criar ou aumentar.      </w:t>
      </w:r>
      <w:hyperlink r:id="rId8" w:anchor="art7" w:history="1">
        <w:r w:rsidRPr="00AF6393">
          <w:rPr>
            <w:rStyle w:val="Hyperlink"/>
            <w:rFonts w:asciiTheme="minorHAnsi" w:hAnsiTheme="minorHAnsi" w:cstheme="minorHAnsi"/>
            <w:i/>
            <w:color w:val="auto"/>
            <w:sz w:val="22"/>
            <w:szCs w:val="22"/>
          </w:rPr>
          <w:t>(Vide Lei Complementar nº 176, de 2020)</w:t>
        </w:r>
      </w:hyperlink>
    </w:p>
    <w:p w:rsidR="008C7B2F" w:rsidRPr="00AF6393" w:rsidP="008C7B2F">
      <w:pPr>
        <w:pStyle w:val="NormalWeb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20" w:name="art17§6"/>
      <w:bookmarkEnd w:id="20"/>
      <w:r w:rsidRPr="00AF6393">
        <w:rPr>
          <w:rFonts w:asciiTheme="minorHAnsi" w:hAnsiTheme="minorHAnsi" w:cstheme="minorHAnsi"/>
          <w:i/>
          <w:sz w:val="22"/>
          <w:szCs w:val="22"/>
        </w:rPr>
        <w:t>§ 6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O disposto no § 1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não se aplica às despesas destinadas ao serviço da dívida nem ao reajustamento de remuneração de pessoal de que trata o inciso X do art. 37 da Constituição.</w:t>
      </w:r>
    </w:p>
    <w:p w:rsidR="008C7B2F" w:rsidRPr="00AF6393" w:rsidP="008C7B2F">
      <w:pPr>
        <w:pStyle w:val="NormalWeb"/>
        <w:spacing w:before="0" w:beforeAutospacing="0" w:after="8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21" w:name="art17§7"/>
      <w:bookmarkEnd w:id="21"/>
      <w:r w:rsidRPr="00AF6393">
        <w:rPr>
          <w:rFonts w:asciiTheme="minorHAnsi" w:hAnsiTheme="minorHAnsi" w:cstheme="minorHAnsi"/>
          <w:i/>
          <w:sz w:val="22"/>
          <w:szCs w:val="22"/>
        </w:rPr>
        <w:t>§ 7</w:t>
      </w:r>
      <w:r w:rsidRPr="00AF6393">
        <w:rPr>
          <w:rFonts w:asciiTheme="minorHAnsi" w:hAnsiTheme="minorHAnsi" w:cstheme="minorHAnsi"/>
          <w:i/>
          <w:sz w:val="22"/>
          <w:szCs w:val="22"/>
          <w:u w:val="single"/>
          <w:vertAlign w:val="superscript"/>
        </w:rPr>
        <w:t>o</w:t>
      </w:r>
      <w:r w:rsidRPr="00AF6393">
        <w:rPr>
          <w:rFonts w:asciiTheme="minorHAnsi" w:hAnsiTheme="minorHAnsi" w:cstheme="minorHAnsi"/>
          <w:i/>
          <w:sz w:val="22"/>
          <w:szCs w:val="22"/>
        </w:rPr>
        <w:t> Considera-se aumento de despesa a prorrogação daquela criada por prazo determinado.</w:t>
      </w:r>
    </w:p>
    <w:p w:rsidR="008C7B2F" w:rsidRPr="00AF6393" w:rsidP="008C7B2F">
      <w:pPr>
        <w:pStyle w:val="NormalWeb"/>
        <w:spacing w:before="240" w:beforeAutospacing="0" w:after="240" w:afterAutospacing="0"/>
        <w:ind w:left="2268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8C7B2F" w:rsidRPr="00AF6393" w:rsidP="008C7B2F">
      <w:pPr>
        <w:spacing w:before="120" w:after="120" w:line="360" w:lineRule="auto"/>
        <w:ind w:right="57" w:firstLine="1701"/>
        <w:jc w:val="both"/>
        <w:rPr>
          <w:rFonts w:cstheme="minorHAnsi"/>
          <w:sz w:val="24"/>
          <w:szCs w:val="24"/>
          <w:shd w:val="clear" w:color="auto" w:fill="FFFFFF"/>
        </w:rPr>
      </w:pPr>
      <w:r w:rsidRPr="00AF6393">
        <w:rPr>
          <w:rFonts w:cstheme="minorHAnsi"/>
          <w:sz w:val="24"/>
          <w:szCs w:val="24"/>
          <w:shd w:val="clear" w:color="auto" w:fill="FFFFFF"/>
        </w:rPr>
        <w:t xml:space="preserve">Outrossim, cumpre atentar para o disposto no art. 15 da LRF, </w:t>
      </w:r>
      <w:r w:rsidRPr="00AF6393">
        <w:rPr>
          <w:rFonts w:cstheme="minorHAnsi"/>
          <w:i/>
          <w:sz w:val="24"/>
          <w:szCs w:val="24"/>
          <w:shd w:val="clear" w:color="auto" w:fill="FFFFFF"/>
        </w:rPr>
        <w:t>in verbis</w:t>
      </w:r>
      <w:r w:rsidRPr="00AF6393">
        <w:rPr>
          <w:rFonts w:cstheme="minorHAnsi"/>
          <w:sz w:val="24"/>
          <w:szCs w:val="24"/>
          <w:shd w:val="clear" w:color="auto" w:fill="FFFFFF"/>
        </w:rPr>
        <w:t>:</w:t>
      </w:r>
    </w:p>
    <w:p w:rsidR="008C7B2F" w:rsidRPr="00AF6393" w:rsidP="008C7B2F">
      <w:pPr>
        <w:spacing w:after="0" w:line="240" w:lineRule="auto"/>
        <w:ind w:left="2268" w:right="57"/>
        <w:jc w:val="both"/>
        <w:rPr>
          <w:rFonts w:cstheme="minorHAnsi"/>
          <w:i/>
        </w:rPr>
      </w:pPr>
      <w:r w:rsidRPr="00AF6393">
        <w:rPr>
          <w:rFonts w:cstheme="minorHAnsi"/>
          <w:i/>
          <w:shd w:val="clear" w:color="auto" w:fill="FFFFFF"/>
        </w:rPr>
        <w:t>Art. 15.</w:t>
      </w:r>
      <w:r w:rsidRPr="00AF6393">
        <w:rPr>
          <w:rFonts w:cstheme="minorHAnsi"/>
          <w:b/>
          <w:bCs/>
          <w:i/>
          <w:shd w:val="clear" w:color="auto" w:fill="FFFFFF"/>
        </w:rPr>
        <w:t> </w:t>
      </w:r>
      <w:r w:rsidRPr="00AF6393">
        <w:rPr>
          <w:rFonts w:cstheme="minorHAnsi"/>
          <w:i/>
          <w:shd w:val="clear" w:color="auto" w:fill="FFFFFF"/>
        </w:rPr>
        <w:t>Serão consideradas não autorizadas, irregulares e lesivas ao patrimônio público a geração de despesa ou assunção de obrigação que não atendam o disposto nos arts. 16 e 17.</w:t>
      </w:r>
    </w:p>
    <w:p w:rsidR="008C7B2F" w:rsidRPr="00AF6393" w:rsidP="008C7B2F">
      <w:pPr>
        <w:spacing w:before="240"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AF6393">
        <w:rPr>
          <w:rFonts w:cstheme="minorHAnsi"/>
          <w:sz w:val="24"/>
          <w:szCs w:val="24"/>
        </w:rPr>
        <w:t xml:space="preserve">Impende ressaltar posicionamento do Supremo Tribunal Federal acerca da extensão da aplicação do art. 113, do Ato das Disposições Constitucionais Transitórias (ADCT) aos Estados e Municípios, estabelecendo a necessidade de apresentação de estimativa do impacto orçamentário e financeiro nas proposições legislativas que criem ou alterem despesa obrigatória ou renúncia de receita, </w:t>
      </w:r>
      <w:r w:rsidRPr="00AF6393">
        <w:rPr>
          <w:rFonts w:cstheme="minorHAnsi"/>
          <w:i/>
          <w:sz w:val="24"/>
          <w:szCs w:val="24"/>
        </w:rPr>
        <w:t>in verbis:</w:t>
      </w:r>
    </w:p>
    <w:p w:rsidR="008C7B2F" w:rsidRPr="00AF6393" w:rsidP="008C7B2F">
      <w:pPr>
        <w:spacing w:after="0" w:line="240" w:lineRule="auto"/>
        <w:ind w:left="2268"/>
        <w:jc w:val="both"/>
        <w:rPr>
          <w:rFonts w:cstheme="minorHAnsi"/>
        </w:rPr>
      </w:pPr>
      <w:r w:rsidRPr="00AF6393">
        <w:rPr>
          <w:rFonts w:cstheme="minorHAnsi"/>
          <w:i/>
          <w:iCs/>
        </w:rPr>
        <w:t xml:space="preserve">Art. 113. </w:t>
      </w:r>
      <w:r w:rsidRPr="00AF6393">
        <w:rPr>
          <w:rFonts w:cstheme="minorHAnsi"/>
          <w:b/>
          <w:bCs/>
          <w:i/>
          <w:iCs/>
        </w:rPr>
        <w:t xml:space="preserve">A proposição legislativa </w:t>
      </w:r>
      <w:r w:rsidRPr="00AF6393">
        <w:rPr>
          <w:rFonts w:cstheme="minorHAnsi"/>
          <w:b/>
          <w:i/>
          <w:iCs/>
        </w:rPr>
        <w:t>que crie ou altere despesa obrigatória</w:t>
      </w:r>
      <w:r w:rsidRPr="00AF6393">
        <w:rPr>
          <w:rFonts w:cstheme="minorHAnsi"/>
          <w:i/>
          <w:iCs/>
        </w:rPr>
        <w:t xml:space="preserve"> ou </w:t>
      </w:r>
      <w:r w:rsidRPr="00AF6393">
        <w:rPr>
          <w:rFonts w:cstheme="minorHAnsi"/>
          <w:bCs/>
          <w:i/>
          <w:iCs/>
        </w:rPr>
        <w:t>renúncia de receita</w:t>
      </w:r>
      <w:r w:rsidRPr="00AF6393">
        <w:rPr>
          <w:rFonts w:cstheme="minorHAnsi"/>
          <w:b/>
          <w:bCs/>
          <w:i/>
          <w:iCs/>
        </w:rPr>
        <w:t xml:space="preserve"> deverá ser acompanhada da estimativa do seu impacto orçamentário e financeiro</w:t>
      </w:r>
      <w:r w:rsidRPr="00AF6393">
        <w:rPr>
          <w:rFonts w:cstheme="minorHAnsi"/>
          <w:i/>
          <w:iCs/>
        </w:rPr>
        <w:t>. (Incluído pela Emenda Constitucional nº 95, de 2016</w:t>
      </w:r>
      <w:r w:rsidRPr="00AF6393">
        <w:rPr>
          <w:rFonts w:cstheme="minorHAnsi"/>
        </w:rPr>
        <w:t>)</w:t>
      </w:r>
    </w:p>
    <w:p w:rsidR="008C7B2F" w:rsidRPr="00AF6393" w:rsidP="008C7B2F">
      <w:pPr>
        <w:spacing w:after="0" w:line="240" w:lineRule="auto"/>
        <w:ind w:left="2268"/>
        <w:jc w:val="both"/>
        <w:rPr>
          <w:rFonts w:cstheme="minorHAnsi"/>
        </w:rPr>
      </w:pPr>
    </w:p>
    <w:p w:rsidR="008C7B2F" w:rsidRPr="00AF6393" w:rsidP="008C7B2F">
      <w:pPr>
        <w:spacing w:after="0" w:line="240" w:lineRule="auto"/>
        <w:ind w:firstLine="1701"/>
        <w:jc w:val="both"/>
        <w:rPr>
          <w:rFonts w:cstheme="minorHAnsi"/>
          <w:sz w:val="24"/>
          <w:szCs w:val="24"/>
        </w:rPr>
      </w:pPr>
      <w:r w:rsidRPr="00AF6393">
        <w:rPr>
          <w:rFonts w:cstheme="minorHAnsi"/>
          <w:sz w:val="24"/>
          <w:szCs w:val="24"/>
        </w:rPr>
        <w:t xml:space="preserve">Vejamos algumas decisões da Suprema Corte acerca do tema: </w:t>
      </w:r>
    </w:p>
    <w:p w:rsidR="008C7B2F" w:rsidRPr="00AF6393" w:rsidP="008C7B2F">
      <w:pPr>
        <w:spacing w:after="0" w:line="240" w:lineRule="auto"/>
        <w:ind w:firstLine="1701"/>
        <w:jc w:val="both"/>
        <w:rPr>
          <w:rStyle w:val="Hyperlink"/>
          <w:rFonts w:cstheme="minorHAnsi"/>
          <w:i/>
          <w:color w:val="auto"/>
          <w:sz w:val="24"/>
          <w:szCs w:val="24"/>
        </w:rPr>
      </w:pPr>
      <w:r w:rsidRPr="00AF6393">
        <w:rPr>
          <w:rFonts w:cstheme="minorHAnsi"/>
          <w:i/>
          <w:sz w:val="24"/>
          <w:szCs w:val="24"/>
        </w:rPr>
        <w:fldChar w:fldCharType="begin"/>
      </w:r>
      <w:r w:rsidRPr="00AF6393">
        <w:rPr>
          <w:rFonts w:cstheme="minorHAnsi"/>
          <w:i/>
          <w:sz w:val="24"/>
          <w:szCs w:val="24"/>
        </w:rPr>
        <w:instrText xml:space="preserve"> HYPERLINK "https://jurisprudencia.stf.jus.br/pages/search/sjur454022/false" </w:instrText>
      </w:r>
      <w:r w:rsidRPr="00AF6393">
        <w:rPr>
          <w:rFonts w:cstheme="minorHAnsi"/>
          <w:i/>
          <w:sz w:val="24"/>
          <w:szCs w:val="24"/>
        </w:rPr>
        <w:fldChar w:fldCharType="separate"/>
      </w:r>
    </w:p>
    <w:p w:rsidR="008C7B2F" w:rsidRPr="00AF6393" w:rsidP="008C7B2F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AF6393">
        <w:rPr>
          <w:rFonts w:asciiTheme="minorHAnsi" w:hAnsiTheme="minorHAnsi" w:cstheme="minorHAnsi"/>
          <w:color w:val="auto"/>
          <w:u w:val="single"/>
        </w:rPr>
        <w:t>ADI 6118</w:t>
      </w:r>
    </w:p>
    <w:p w:rsidR="008C7B2F" w:rsidRPr="00AF6393" w:rsidP="008C7B2F">
      <w:pPr>
        <w:spacing w:after="0" w:line="240" w:lineRule="auto"/>
        <w:ind w:left="2268"/>
        <w:jc w:val="both"/>
        <w:rPr>
          <w:rFonts w:cstheme="minorHAnsi"/>
          <w:i/>
        </w:rPr>
      </w:pPr>
      <w:r w:rsidRPr="00AF6393">
        <w:rPr>
          <w:rFonts w:cstheme="minorHAnsi"/>
          <w:i/>
        </w:rPr>
        <w:fldChar w:fldCharType="end"/>
      </w:r>
      <w:r w:rsidRPr="00AF6393">
        <w:rPr>
          <w:rFonts w:cstheme="minorHAnsi"/>
        </w:rPr>
        <w:t>Órgão julgador: </w:t>
      </w:r>
      <w:r w:rsidRPr="00AF6393">
        <w:rPr>
          <w:rFonts w:cstheme="minorHAnsi"/>
          <w:b/>
          <w:bCs/>
        </w:rPr>
        <w:t>Tribunal Pleno</w:t>
      </w:r>
    </w:p>
    <w:p w:rsidR="008C7B2F" w:rsidRPr="00AF6393" w:rsidP="008C7B2F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AF6393">
        <w:rPr>
          <w:rFonts w:asciiTheme="minorHAnsi" w:hAnsiTheme="minorHAnsi" w:cstheme="minorHAnsi"/>
          <w:color w:val="auto"/>
        </w:rPr>
        <w:t>Relator(a): </w:t>
      </w:r>
      <w:r w:rsidRPr="00AF6393">
        <w:rPr>
          <w:rFonts w:asciiTheme="minorHAnsi" w:hAnsiTheme="minorHAnsi" w:cstheme="minorHAnsi"/>
          <w:b w:val="0"/>
          <w:bCs w:val="0"/>
          <w:color w:val="auto"/>
        </w:rPr>
        <w:t>Min. EDSON FACHIN</w:t>
      </w:r>
    </w:p>
    <w:p w:rsidR="008C7B2F" w:rsidRPr="00AF6393" w:rsidP="008C7B2F">
      <w:pPr>
        <w:pStyle w:val="Heading4"/>
        <w:spacing w:before="0" w:line="240" w:lineRule="auto"/>
        <w:ind w:left="2268" w:right="300"/>
        <w:jc w:val="both"/>
        <w:rPr>
          <w:rFonts w:asciiTheme="minorHAnsi" w:hAnsiTheme="minorHAnsi" w:cstheme="minorHAnsi"/>
          <w:i w:val="0"/>
          <w:color w:val="auto"/>
        </w:rPr>
      </w:pPr>
      <w:r w:rsidRPr="00AF6393">
        <w:rPr>
          <w:rFonts w:asciiTheme="minorHAnsi" w:hAnsiTheme="minorHAnsi" w:cstheme="minorHAnsi"/>
          <w:color w:val="auto"/>
        </w:rPr>
        <w:t>Julgamento: </w:t>
      </w:r>
      <w:r w:rsidRPr="00AF6393">
        <w:rPr>
          <w:rFonts w:asciiTheme="minorHAnsi" w:hAnsiTheme="minorHAnsi" w:cstheme="minorHAnsi"/>
          <w:b w:val="0"/>
          <w:bCs w:val="0"/>
          <w:color w:val="auto"/>
        </w:rPr>
        <w:t>28/06/2021</w:t>
      </w:r>
    </w:p>
    <w:p w:rsidR="008C7B2F" w:rsidRPr="00AF6393" w:rsidP="008C7B2F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AF6393">
        <w:rPr>
          <w:rFonts w:asciiTheme="minorHAnsi" w:hAnsiTheme="minorHAnsi" w:cstheme="minorHAnsi"/>
          <w:color w:val="auto"/>
        </w:rPr>
        <w:t>Publicação: </w:t>
      </w:r>
      <w:r w:rsidRPr="00AF6393">
        <w:rPr>
          <w:rFonts w:asciiTheme="minorHAnsi" w:hAnsiTheme="minorHAnsi" w:cstheme="minorHAnsi"/>
          <w:b w:val="0"/>
          <w:bCs w:val="0"/>
          <w:color w:val="auto"/>
        </w:rPr>
        <w:t>06/10/2021</w:t>
      </w:r>
    </w:p>
    <w:p w:rsidR="008C7B2F" w:rsidRPr="00AF6393" w:rsidP="008C7B2F">
      <w:pPr>
        <w:pStyle w:val="jud-text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F6393">
        <w:rPr>
          <w:rFonts w:asciiTheme="minorHAnsi" w:hAnsiTheme="minorHAnsi" w:cstheme="minorHAnsi"/>
          <w:b/>
          <w:i/>
          <w:sz w:val="22"/>
          <w:szCs w:val="22"/>
        </w:rPr>
        <w:t>Ementa:</w:t>
      </w:r>
      <w:r w:rsidRPr="00AF6393">
        <w:rPr>
          <w:rFonts w:asciiTheme="minorHAnsi" w:hAnsiTheme="minorHAnsi" w:cstheme="minorHAnsi"/>
          <w:i/>
          <w:sz w:val="22"/>
          <w:szCs w:val="22"/>
        </w:rPr>
        <w:t xml:space="preserve"> AÇÃO DIRETA DE INCONSTITUCIONALIDADE. DIREITO FINANCEIRO. LEI N.º 1.238, DE 22 DE JANEIRO DE 2018, DO ESTADO </w:t>
      </w:r>
      <w:r w:rsidRPr="00AF6393">
        <w:rPr>
          <w:rFonts w:asciiTheme="minorHAnsi" w:hAnsiTheme="minorHAnsi" w:cstheme="minorHAnsi"/>
          <w:i/>
          <w:sz w:val="22"/>
          <w:szCs w:val="22"/>
        </w:rPr>
        <w:t>DE RORAIMA. PLANO DE CARGOS, CARREIRAS E REMUNERAÇÕES DOS SERVIDORES DA AGÊNCIA DE DEFESA AGROPECUÁRIA. ALEGAÇÃO DE OFENSA AOS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ARTIGOS</w:t>
      </w:r>
      <w:r w:rsidRPr="00AF6393">
        <w:rPr>
          <w:rFonts w:asciiTheme="minorHAnsi" w:hAnsiTheme="minorHAnsi" w:cstheme="minorHAnsi"/>
          <w:i/>
          <w:sz w:val="22"/>
          <w:szCs w:val="22"/>
        </w:rPr>
        <w:t> 169, § 1º, DA CONSTITUIÇÃO FEDERAL, E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113 DO</w:t>
      </w:r>
      <w:r w:rsidRPr="00AF6393">
        <w:rPr>
          <w:rFonts w:asciiTheme="minorHAnsi" w:hAnsiTheme="minorHAnsi" w:cstheme="minorHAnsi"/>
          <w:i/>
          <w:sz w:val="22"/>
          <w:szCs w:val="22"/>
        </w:rPr>
        <w:t> ATO DAS DISPOSIÇÕES CONSTITUCIONAIS TRANSITÓRIAS –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ADCT</w:t>
      </w:r>
      <w:r w:rsidRPr="00AF6393">
        <w:rPr>
          <w:rFonts w:asciiTheme="minorHAnsi" w:hAnsiTheme="minorHAnsi" w:cstheme="minorHAnsi"/>
          <w:i/>
          <w:sz w:val="22"/>
          <w:szCs w:val="22"/>
        </w:rPr>
        <w:t>. A AUSÊNCIA DE PRÉVIA DOTAÇÃO ORÇAMENTÁRIA NÃO IMPLICA INCONSTITUCIONALIDADE. IMPEDIMENTO DE APLICAÇÃO DA LEI CONCESSIVA DE VANTAGEM OU AUMENTO DE REMUNERAÇÃO A SERVIDORES PÚBLICOS NO RESPECTIVO EXERCÍCIO FINANCEIRO. NÃO CONHECIMENTO DA AÇÃO DIRETA QUANTO À SUPOSTA VIOLAÇÃO DO ARTIGO 169, § 1º, DA CRFB. O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 113 DO ADCT</w:t>
      </w:r>
      <w:r w:rsidRPr="00AF6393">
        <w:rPr>
          <w:rFonts w:asciiTheme="minorHAnsi" w:hAnsiTheme="minorHAnsi" w:cstheme="minorHAnsi"/>
          <w:i/>
          <w:sz w:val="22"/>
          <w:szCs w:val="22"/>
        </w:rPr>
        <w:t xml:space="preserve"> DIRIGE-SE A TODOS OS ENTES FEDERATIVOS. AUSÊNCIA DE ESTIMATIVA DE IMPACTO ORÇAMENTÁRIO E FINANCEIRO DA LEI IMPUGNADA. INCONSTITUCIONALIDADE FORMAL. CONHECIMENTO PARCIAL DA AÇÃO E, NA PARTE CONHECIDA, JULGADO PROCEDENTE O PEDIDO. MODULAÇÃO DOS EFEITOS DA DECISÃO. </w:t>
      </w:r>
    </w:p>
    <w:p w:rsidR="008C7B2F" w:rsidRPr="00AF6393" w:rsidP="008C7B2F">
      <w:pPr>
        <w:pStyle w:val="jud-text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F6393">
        <w:rPr>
          <w:rFonts w:asciiTheme="minorHAnsi" w:hAnsiTheme="minorHAnsi" w:cstheme="minorHAnsi"/>
          <w:i/>
          <w:sz w:val="22"/>
          <w:szCs w:val="22"/>
        </w:rPr>
        <w:t xml:space="preserve">1. A jurisprudência desta Casa firmou-se no sentido de que a ausência de dotação orçamentária prévia apenas impede a aplicação da legislação que implique aumento de despesa no respectivo exercício financeiro, sem que disso decorra a declaração de sua inconstitucionalidade. Precedentes. Ação direta não conhecida quanto à suposta violação do artigo 169, § 1º, da Constituição Federal. </w:t>
      </w:r>
    </w:p>
    <w:p w:rsidR="008C7B2F" w:rsidRPr="00AF6393" w:rsidP="008C7B2F">
      <w:pPr>
        <w:pStyle w:val="jud-text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F6393">
        <w:rPr>
          <w:rFonts w:asciiTheme="minorHAnsi" w:hAnsiTheme="minorHAnsi" w:cstheme="minorHAnsi"/>
          <w:i/>
          <w:sz w:val="22"/>
          <w:szCs w:val="22"/>
        </w:rPr>
        <w:t xml:space="preserve">2. </w:t>
      </w:r>
      <w:r w:rsidRPr="00AF6393">
        <w:rPr>
          <w:rFonts w:asciiTheme="minorHAnsi" w:hAnsiTheme="minorHAnsi" w:cstheme="minorHAnsi"/>
          <w:b/>
          <w:i/>
          <w:sz w:val="22"/>
          <w:szCs w:val="22"/>
        </w:rPr>
        <w:t>O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 113 do ADCT</w:t>
      </w:r>
      <w:r w:rsidRPr="00AF6393">
        <w:rPr>
          <w:rFonts w:asciiTheme="minorHAnsi" w:hAnsiTheme="minorHAnsi" w:cstheme="minorHAnsi"/>
          <w:b/>
          <w:i/>
          <w:sz w:val="22"/>
          <w:szCs w:val="22"/>
        </w:rPr>
        <w:t> estende-se a todos os entes federativos. Precedentes.</w:t>
      </w:r>
    </w:p>
    <w:p w:rsidR="008C7B2F" w:rsidRPr="00AF6393" w:rsidP="008C7B2F">
      <w:pPr>
        <w:pStyle w:val="jud-text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F6393">
        <w:rPr>
          <w:rFonts w:asciiTheme="minorHAnsi" w:hAnsiTheme="minorHAnsi" w:cstheme="minorHAnsi"/>
          <w:i/>
          <w:sz w:val="22"/>
          <w:szCs w:val="22"/>
        </w:rPr>
        <w:t xml:space="preserve"> 3. A normas impugnadas tratam de Plano de Cargos, Carreiras e Remuneração dos Servidores da Agência de Defesa Agropecuária do Estado de Roraima”, instituindo mobilidade na carreira, prevendo cargos de provimento efetivo e em comissão, remuneração para o regime de plantão, progressão horizontal e vertical, concessão de adicionais de interiorização, de qualificação, de fiscalização e de penosidade, além de fixar o vencimento básico, e normas conexas à sua efetivação. </w:t>
      </w:r>
      <w:r w:rsidRPr="00AF6393">
        <w:rPr>
          <w:rFonts w:asciiTheme="minorHAnsi" w:hAnsiTheme="minorHAnsi" w:cstheme="minorHAnsi"/>
          <w:b/>
          <w:i/>
          <w:sz w:val="22"/>
          <w:szCs w:val="22"/>
        </w:rPr>
        <w:t>A lei, porém, não foi instruída com a devida estimativa do seu impacto financeiro e orçamentário</w:t>
      </w:r>
      <w:r w:rsidRPr="00AF6393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8C7B2F" w:rsidRPr="00AF6393" w:rsidP="008C7B2F">
      <w:pPr>
        <w:pStyle w:val="jud-text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F6393">
        <w:rPr>
          <w:rFonts w:asciiTheme="minorHAnsi" w:hAnsiTheme="minorHAnsi" w:cstheme="minorHAnsi"/>
          <w:i/>
          <w:sz w:val="22"/>
          <w:szCs w:val="22"/>
        </w:rPr>
        <w:t xml:space="preserve">4. Considerando que a norma produziu efeitos e permitiu o pagamento de verbas de natureza alimentar e considerando a dúvida inicial quanto ao alcance da norma da Constituição Federal, presentes os requisitos do art. 27 da Lei n.º 9.868/99, de modo que, a fim de preservar a segurança jurídica, propõe-se a modulação dos efeitos da declaração de inconstitucionalidade a partir da data da publicação da ata do presente julgamento. </w:t>
      </w:r>
    </w:p>
    <w:p w:rsidR="008C7B2F" w:rsidRPr="00AF6393" w:rsidP="008C7B2F">
      <w:pPr>
        <w:pStyle w:val="jud-text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F6393">
        <w:rPr>
          <w:rFonts w:asciiTheme="minorHAnsi" w:hAnsiTheme="minorHAnsi" w:cstheme="minorHAnsi"/>
          <w:i/>
          <w:sz w:val="22"/>
          <w:szCs w:val="22"/>
        </w:rPr>
        <w:t>5. Ação direta parcialmente conhecida e, na parte conhecida, pedido julgado procedente, a fim de declarar inconstitucionais os artigos 4º, incisos II e IV; 6º, parágrafo único; 8º; 10 a 13; 19 a 21; 26; 28 a 30; 32 a 34; 36; 37; 39 a 49; 55 a 57; e os Anexos I a III, todos da Lei nº 1.238, de 22 de janeiro de 2018, do Estado de Roraima, com efeitos ex nunc.</w:t>
      </w:r>
    </w:p>
    <w:p w:rsidR="008C7B2F" w:rsidRPr="00AF6393" w:rsidP="008C7B2F">
      <w:pPr>
        <w:pStyle w:val="jud-text"/>
        <w:pBdr>
          <w:bottom w:val="single" w:sz="12" w:space="1" w:color="auto"/>
        </w:pBdr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8C7B2F" w:rsidRPr="00AF6393" w:rsidP="008C7B2F">
      <w:pPr>
        <w:spacing w:after="0" w:line="240" w:lineRule="auto"/>
        <w:ind w:left="2268"/>
        <w:jc w:val="both"/>
        <w:rPr>
          <w:rFonts w:cstheme="minorHAnsi"/>
          <w:b/>
          <w:i/>
          <w:u w:val="single"/>
        </w:rPr>
      </w:pPr>
    </w:p>
    <w:p w:rsidR="008C7B2F" w:rsidRPr="00AF6393" w:rsidP="008C7B2F">
      <w:pPr>
        <w:spacing w:after="0" w:line="240" w:lineRule="auto"/>
        <w:ind w:left="2268"/>
        <w:jc w:val="both"/>
        <w:rPr>
          <w:rFonts w:cstheme="minorHAnsi"/>
          <w:b/>
          <w:i/>
          <w:u w:val="single"/>
        </w:rPr>
      </w:pPr>
      <w:r w:rsidRPr="00AF6393">
        <w:rPr>
          <w:rFonts w:cstheme="minorHAnsi"/>
          <w:b/>
          <w:i/>
          <w:u w:val="single"/>
        </w:rPr>
        <w:t>ADI 6102</w:t>
      </w:r>
    </w:p>
    <w:p w:rsidR="008C7B2F" w:rsidRPr="00AF6393" w:rsidP="008C7B2F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AF6393">
        <w:rPr>
          <w:rFonts w:asciiTheme="minorHAnsi" w:hAnsiTheme="minorHAnsi" w:cstheme="minorHAnsi"/>
          <w:color w:val="auto"/>
        </w:rPr>
        <w:t>Órgão julgador: </w:t>
      </w:r>
      <w:r w:rsidRPr="00AF6393">
        <w:rPr>
          <w:rFonts w:asciiTheme="minorHAnsi" w:hAnsiTheme="minorHAnsi" w:cstheme="minorHAnsi"/>
          <w:b w:val="0"/>
          <w:bCs w:val="0"/>
          <w:color w:val="auto"/>
        </w:rPr>
        <w:t>Tribunal Pleno</w:t>
      </w:r>
    </w:p>
    <w:p w:rsidR="008C7B2F" w:rsidRPr="00AF6393" w:rsidP="008C7B2F">
      <w:pPr>
        <w:pStyle w:val="Heading4"/>
        <w:spacing w:before="0" w:line="240" w:lineRule="auto"/>
        <w:ind w:left="2268"/>
        <w:jc w:val="both"/>
        <w:rPr>
          <w:rFonts w:asciiTheme="minorHAnsi" w:hAnsiTheme="minorHAnsi" w:cstheme="minorHAnsi"/>
          <w:i w:val="0"/>
          <w:color w:val="auto"/>
        </w:rPr>
      </w:pPr>
      <w:r w:rsidRPr="00AF6393">
        <w:rPr>
          <w:rFonts w:asciiTheme="minorHAnsi" w:hAnsiTheme="minorHAnsi" w:cstheme="minorHAnsi"/>
          <w:color w:val="auto"/>
        </w:rPr>
        <w:t>Relator(a): </w:t>
      </w:r>
      <w:r w:rsidRPr="00AF6393">
        <w:rPr>
          <w:rFonts w:asciiTheme="minorHAnsi" w:hAnsiTheme="minorHAnsi" w:cstheme="minorHAnsi"/>
          <w:b w:val="0"/>
          <w:bCs w:val="0"/>
          <w:color w:val="auto"/>
        </w:rPr>
        <w:t>Min. ROSA WEBER</w:t>
      </w:r>
    </w:p>
    <w:p w:rsidR="008C7B2F" w:rsidRPr="00AF6393" w:rsidP="008C7B2F">
      <w:pPr>
        <w:pStyle w:val="Heading4"/>
        <w:spacing w:before="0" w:line="240" w:lineRule="auto"/>
        <w:ind w:left="2268" w:right="300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AF6393">
        <w:rPr>
          <w:rFonts w:asciiTheme="minorHAnsi" w:hAnsiTheme="minorHAnsi" w:cstheme="minorHAnsi"/>
          <w:color w:val="auto"/>
        </w:rPr>
        <w:t>Julgamento: </w:t>
      </w:r>
      <w:r w:rsidRPr="00AF6393">
        <w:rPr>
          <w:rFonts w:asciiTheme="minorHAnsi" w:hAnsiTheme="minorHAnsi" w:cstheme="minorHAnsi"/>
          <w:b w:val="0"/>
          <w:bCs w:val="0"/>
          <w:color w:val="auto"/>
        </w:rPr>
        <w:t>21/12/2020</w:t>
      </w:r>
    </w:p>
    <w:p w:rsidR="008C7B2F" w:rsidRPr="00AF6393" w:rsidP="008C7B2F">
      <w:pPr>
        <w:rPr>
          <w:b/>
          <w:sz w:val="4"/>
          <w:szCs w:val="4"/>
        </w:rPr>
      </w:pPr>
    </w:p>
    <w:p w:rsidR="008C7B2F" w:rsidRPr="00AF6393" w:rsidP="008C7B2F">
      <w:pPr>
        <w:pStyle w:val="jud-text"/>
        <w:pBdr>
          <w:bottom w:val="single" w:sz="12" w:space="1" w:color="auto"/>
        </w:pBdr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F6393">
        <w:rPr>
          <w:rFonts w:asciiTheme="minorHAnsi" w:hAnsiTheme="minorHAnsi" w:cstheme="minorHAnsi"/>
          <w:b/>
          <w:i/>
          <w:sz w:val="22"/>
          <w:szCs w:val="22"/>
        </w:rPr>
        <w:t>EMENTA</w:t>
      </w:r>
      <w:r w:rsidRPr="00AF6393">
        <w:rPr>
          <w:rFonts w:asciiTheme="minorHAnsi" w:hAnsiTheme="minorHAnsi" w:cstheme="minorHAnsi"/>
          <w:i/>
          <w:sz w:val="22"/>
          <w:szCs w:val="22"/>
        </w:rPr>
        <w:t xml:space="preserve"> AÇÃO DIRETA DE INCONSTITUCIONALIDADE. DIREITO FINANCEIRO. LEI Nº 1.237, DE 22 DE JANEIRO DE 2018, DO ESTADO DE RORAIMA. </w:t>
      </w:r>
      <w:r w:rsidRPr="00AF6393">
        <w:rPr>
          <w:rFonts w:asciiTheme="minorHAnsi" w:hAnsiTheme="minorHAnsi" w:cstheme="minorHAnsi"/>
          <w:b/>
          <w:i/>
          <w:sz w:val="22"/>
          <w:szCs w:val="22"/>
        </w:rPr>
        <w:t>PLANO DE CARGOS, CARREIRAS E REMUNERAÇÕES DOS SERVIDORES PÚBLICOS EFETIVOS DA ÁREA ADMINISTRATIVA DA UNIVERSIDADE ESTADUAL DE RORAIMA – UERR.</w:t>
      </w:r>
      <w:r w:rsidRPr="00AF6393">
        <w:rPr>
          <w:rFonts w:asciiTheme="minorHAnsi" w:hAnsiTheme="minorHAnsi" w:cstheme="minorHAnsi"/>
          <w:i/>
          <w:sz w:val="22"/>
          <w:szCs w:val="22"/>
        </w:rPr>
        <w:t xml:space="preserve"> ALEGAÇÃO DE OFENSA AOS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ARTIGOS</w:t>
      </w:r>
      <w:r w:rsidRPr="00AF6393">
        <w:rPr>
          <w:rFonts w:asciiTheme="minorHAnsi" w:hAnsiTheme="minorHAnsi" w:cstheme="minorHAnsi"/>
          <w:i/>
          <w:sz w:val="22"/>
          <w:szCs w:val="22"/>
        </w:rPr>
        <w:t xml:space="preserve"> 169, § 1º, DA CONSTITUIÇÃO FEDERAL, E  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113</w:t>
      </w:r>
      <w:r w:rsidRPr="00AF6393">
        <w:rPr>
          <w:rFonts w:asciiTheme="minorHAnsi" w:hAnsiTheme="minorHAnsi" w:cstheme="minorHAnsi"/>
          <w:i/>
          <w:sz w:val="22"/>
          <w:szCs w:val="22"/>
        </w:rPr>
        <w:t> DO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ATO DAS DISPOSIÇÕES CONSTITUCIONAIS TRANSITÓRIAS</w:t>
      </w:r>
      <w:r w:rsidRPr="00AF6393">
        <w:rPr>
          <w:rFonts w:asciiTheme="minorHAnsi" w:hAnsiTheme="minorHAnsi" w:cstheme="minorHAnsi"/>
          <w:i/>
          <w:sz w:val="22"/>
          <w:szCs w:val="22"/>
        </w:rPr>
        <w:t> –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ADCT</w:t>
      </w:r>
      <w:r w:rsidRPr="00AF6393">
        <w:rPr>
          <w:rFonts w:asciiTheme="minorHAnsi" w:hAnsiTheme="minorHAnsi" w:cstheme="minorHAnsi"/>
          <w:i/>
          <w:sz w:val="22"/>
          <w:szCs w:val="22"/>
        </w:rPr>
        <w:t>. A AUSÊNCIA DE PRÉVIA DOTAÇÃO ORÇAMENTÁRIA NÃO IMPLICA INCONSTITUCIONALIDADE. IMPEDIMENTO DE APLICAÇÃO DA LEI CONCESSIVA DE VANTAGEM OU AUMENTO DE REMUNERAÇÃO A SERVIDORES PÚBLICOS NO RESPECTIVO EXERCÍCIO FINANCEIRO. NÃO CONHECIMENTO DA AÇÃO DIRETA QUANTO À SUPOSTA VIOLAÇÃO DO </w:t>
      </w:r>
      <w:r w:rsidRPr="00AF6393">
        <w:rPr>
          <w:rStyle w:val="Emphasis"/>
          <w:rFonts w:asciiTheme="minorHAnsi" w:hAnsiTheme="minorHAnsi" w:cstheme="minorHAnsi"/>
          <w:bCs/>
          <w:sz w:val="22"/>
          <w:szCs w:val="22"/>
        </w:rPr>
        <w:t>ARTIGO</w:t>
      </w:r>
      <w:r w:rsidRPr="00AF6393">
        <w:rPr>
          <w:rFonts w:asciiTheme="minorHAnsi" w:hAnsiTheme="minorHAnsi" w:cstheme="minorHAnsi"/>
          <w:i/>
          <w:sz w:val="22"/>
          <w:szCs w:val="22"/>
        </w:rPr>
        <w:t xml:space="preserve"> 169, § 1º, DA CONSTITUIÇÃO FEDERAL. </w:t>
      </w:r>
      <w:r w:rsidRPr="00AF6393">
        <w:rPr>
          <w:rFonts w:asciiTheme="minorHAnsi" w:hAnsiTheme="minorHAnsi" w:cstheme="minorHAnsi"/>
          <w:b/>
          <w:i/>
          <w:sz w:val="22"/>
          <w:szCs w:val="22"/>
        </w:rPr>
        <w:t>O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ARTIGO 113</w:t>
      </w:r>
      <w:r w:rsidRPr="00AF6393">
        <w:rPr>
          <w:rFonts w:asciiTheme="minorHAnsi" w:hAnsiTheme="minorHAnsi" w:cstheme="minorHAnsi"/>
          <w:b/>
          <w:i/>
          <w:sz w:val="22"/>
          <w:szCs w:val="22"/>
        </w:rPr>
        <w:t> DO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</w:rPr>
        <w:t>ADCT</w:t>
      </w:r>
      <w:r w:rsidRPr="00AF6393">
        <w:rPr>
          <w:rFonts w:asciiTheme="minorHAnsi" w:hAnsiTheme="minorHAnsi" w:cstheme="minorHAnsi"/>
          <w:b/>
          <w:i/>
          <w:sz w:val="22"/>
          <w:szCs w:val="22"/>
        </w:rPr>
        <w:t xml:space="preserve"> DIRIGE-SE A TODOS OS ENTES FEDERATIVOS. AUSÊNCIA DE ESTIMATIVA DE IMPACTO ORÇAMENTÁRIO E FINANCEIRO DA LEI IMPUGNADA. INCONSTITUCIONALIDADE FORMAL. </w:t>
      </w:r>
      <w:r w:rsidRPr="00AF6393">
        <w:rPr>
          <w:rFonts w:asciiTheme="minorHAnsi" w:hAnsiTheme="minorHAnsi" w:cstheme="minorHAnsi"/>
          <w:i/>
          <w:sz w:val="22"/>
          <w:szCs w:val="22"/>
        </w:rPr>
        <w:t>CONHECIMENTO PARCIAL DA AÇÃO E, NA PARTE CONHECIDA, JULGADO PROCEDENTE O PEDIDO. MODULAÇÃO DOS EFEITOS DA DECISÃO. 1. A jurisprudência desta Casa firmou-se no sentido de que a ausência de dotação orçamentária prévia apenas impede a aplicação da legislação que implique aumento de despesa no respectivo exercício financeiro, sem que disso decorra a declaração de sua inconstitucionalidade. Precedentes. Ação direta não conhecida quanto à suposta violação do </w:t>
      </w:r>
      <w:r w:rsidRPr="00AF6393">
        <w:rPr>
          <w:rStyle w:val="Emphasis"/>
          <w:rFonts w:asciiTheme="minorHAnsi" w:hAnsiTheme="minorHAnsi" w:cstheme="minorHAnsi"/>
          <w:bCs/>
          <w:sz w:val="22"/>
          <w:szCs w:val="22"/>
        </w:rPr>
        <w:t>artigo</w:t>
      </w:r>
      <w:r w:rsidRPr="00AF6393">
        <w:rPr>
          <w:rFonts w:asciiTheme="minorHAnsi" w:hAnsiTheme="minorHAnsi" w:cstheme="minorHAnsi"/>
          <w:i/>
          <w:sz w:val="22"/>
          <w:szCs w:val="22"/>
        </w:rPr>
        <w:t xml:space="preserve"> 169, § 1º, da Constituição Federal. </w:t>
      </w:r>
      <w:r w:rsidRPr="00AF6393">
        <w:rPr>
          <w:rFonts w:asciiTheme="minorHAnsi" w:hAnsiTheme="minorHAnsi" w:cstheme="minorHAnsi"/>
          <w:b/>
          <w:i/>
          <w:sz w:val="22"/>
          <w:szCs w:val="22"/>
          <w:u w:val="single"/>
        </w:rPr>
        <w:t>2. O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artigo 113</w:t>
      </w:r>
      <w:r w:rsidRPr="00AF6393">
        <w:rPr>
          <w:rFonts w:asciiTheme="minorHAnsi" w:hAnsiTheme="minorHAnsi" w:cstheme="minorHAnsi"/>
          <w:b/>
          <w:i/>
          <w:sz w:val="22"/>
          <w:szCs w:val="22"/>
          <w:u w:val="single"/>
        </w:rPr>
        <w:t> do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ADCT</w:t>
      </w:r>
      <w:r w:rsidRPr="00AF6393">
        <w:rPr>
          <w:rFonts w:asciiTheme="minorHAnsi" w:hAnsiTheme="minorHAnsi" w:cstheme="minorHAnsi"/>
          <w:b/>
          <w:i/>
          <w:sz w:val="22"/>
          <w:szCs w:val="22"/>
          <w:u w:val="single"/>
        </w:rPr>
        <w:t> tem caráter nacional e irradia obrigações a todos os entes federativos. Precedentes. 3. A Lei nº 1.237/2018 do Estado de Roraima cria e altera despesas obrigatórias de forma a gerar impacto orçamentário. A ausência de prévia instrução da proposta legislativa com a estimativa do impacto financeiro e orçamentário, nos termos do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art. 113</w:t>
      </w:r>
      <w:r w:rsidRPr="00AF6393">
        <w:rPr>
          <w:rFonts w:asciiTheme="minorHAnsi" w:hAnsiTheme="minorHAnsi" w:cstheme="minorHAnsi"/>
          <w:b/>
          <w:i/>
          <w:sz w:val="22"/>
          <w:szCs w:val="22"/>
          <w:u w:val="single"/>
        </w:rPr>
        <w:t> do </w:t>
      </w:r>
      <w:r w:rsidRPr="00AF6393">
        <w:rPr>
          <w:rStyle w:val="Emphasis"/>
          <w:rFonts w:asciiTheme="minorHAnsi" w:hAnsiTheme="minorHAnsi" w:cstheme="minorHAnsi"/>
          <w:b/>
          <w:bCs/>
          <w:sz w:val="22"/>
          <w:szCs w:val="22"/>
          <w:u w:val="single"/>
        </w:rPr>
        <w:t>ADCT</w:t>
      </w:r>
      <w:r w:rsidRPr="00AF6393">
        <w:rPr>
          <w:rFonts w:asciiTheme="minorHAnsi" w:hAnsiTheme="minorHAnsi" w:cstheme="minorHAnsi"/>
          <w:b/>
          <w:i/>
          <w:sz w:val="22"/>
          <w:szCs w:val="22"/>
          <w:u w:val="single"/>
        </w:rPr>
        <w:t>, aplicável a todos os entes federativos, implica inconstitucionalidade formal.</w:t>
      </w:r>
      <w:r w:rsidRPr="00AF6393">
        <w:rPr>
          <w:rFonts w:asciiTheme="minorHAnsi" w:hAnsiTheme="minorHAnsi" w:cstheme="minorHAnsi"/>
          <w:i/>
          <w:sz w:val="22"/>
          <w:szCs w:val="22"/>
        </w:rPr>
        <w:t xml:space="preserve"> 4. O ato normativo, não obstante viciado na sua origem, acarretou o pagamento a servidores. O caráter alimentício das verbas auferidas demonstra a inviabilidade de ressarcimento dos valores. Modulação dos efeitos da decisão para proteger a confiança legítima que resultou na aplicação da lei e preservar a boa-fé objetiva. 5. Conhecimento parcial da ação direta e, na parte conhecida, julgado procedente o pedido para declarar a inconstitucionalidade formal da Lei nº 1.237, de 22 de janeiro de 2018, do Estado de Roraima.</w:t>
      </w:r>
    </w:p>
    <w:p w:rsidR="008C7B2F" w:rsidRPr="00AF6393" w:rsidP="008C7B2F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AF6393">
        <w:rPr>
          <w:rFonts w:cstheme="minorHAnsi"/>
          <w:sz w:val="24"/>
          <w:szCs w:val="24"/>
        </w:rPr>
        <w:t>No mesmo sentido, colacionamos recente decisão da Corte Paulista:</w:t>
      </w:r>
    </w:p>
    <w:p w:rsidR="008C7B2F" w:rsidRPr="00AF6393" w:rsidP="008C7B2F">
      <w:pPr>
        <w:spacing w:after="0" w:line="240" w:lineRule="auto"/>
        <w:ind w:left="2268"/>
        <w:jc w:val="both"/>
        <w:rPr>
          <w:rFonts w:cstheme="minorHAnsi"/>
          <w:i/>
        </w:rPr>
      </w:pPr>
      <w:r w:rsidRPr="00AF6393">
        <w:rPr>
          <w:rFonts w:cstheme="minorHAnsi"/>
          <w:i/>
        </w:rPr>
        <w:t>AÇÃO DIRETA DE INCONSTITUCIONALIDADE Lei Municipal nº 5.398, de 28 de abril de 2020, do Município de Mogi Guaçu, de iniciativa parlamentar, autorizando o Poder Executivo a parcelar o recolhimento do Imposto de Transmissão de Bens Imóveis ITBI , a qualquer título, sem incidência de juros e correção monetária. Observância ao art. 113 do ADCT. Inocorrência. Inconstitucionalidade. Ação objetiva. Causa de pedido aberta. Obrigação de estimativa de impacto orçamentário e financeiro nos casos em que a lei implique renúncia de receita.</w:t>
      </w:r>
      <w:r w:rsidRPr="00AF6393">
        <w:rPr>
          <w:rFonts w:cstheme="minorHAnsi"/>
          <w:b/>
          <w:i/>
        </w:rPr>
        <w:t xml:space="preserve"> Recente orientação do Eg. Supremo Tribunal Federal, aplicando o art. 113, do ADCT, a todos os entes federativos. Revisão do posicionamento deste C. Órgão Especial adotando a linha superiormente fixada. </w:t>
      </w:r>
      <w:r w:rsidRPr="00AF6393">
        <w:rPr>
          <w:rFonts w:cstheme="minorHAnsi"/>
          <w:i/>
        </w:rPr>
        <w:t>Ação procedente.(TJSP. ADI nº 2.197.983-75.2020.8.26.0000. Relator Des. Evaristo dos Santos. Data do julgamento: 17/11/2021)</w:t>
      </w:r>
    </w:p>
    <w:p w:rsidR="008C7B2F" w:rsidRPr="00AF6393" w:rsidP="008C7B2F">
      <w:pPr>
        <w:spacing w:after="120"/>
        <w:ind w:left="2268"/>
        <w:jc w:val="both"/>
        <w:rPr>
          <w:rFonts w:cstheme="minorHAnsi"/>
          <w:i/>
          <w:sz w:val="12"/>
          <w:szCs w:val="12"/>
        </w:rPr>
      </w:pPr>
    </w:p>
    <w:p w:rsidR="008C7B2F" w:rsidRPr="00AF6393" w:rsidP="008C7B2F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AF6393">
        <w:rPr>
          <w:rFonts w:cstheme="minorHAnsi"/>
          <w:sz w:val="24"/>
          <w:szCs w:val="24"/>
        </w:rPr>
        <w:t>Destarte, consoante entendimento jurisprudencial</w:t>
      </w:r>
      <w:r>
        <w:rPr>
          <w:rFonts w:cstheme="minorHAnsi"/>
          <w:sz w:val="24"/>
          <w:szCs w:val="24"/>
        </w:rPr>
        <w:t>,</w:t>
      </w:r>
      <w:r w:rsidRPr="00AF6393">
        <w:rPr>
          <w:rFonts w:cstheme="minorHAnsi"/>
          <w:sz w:val="24"/>
          <w:szCs w:val="24"/>
        </w:rPr>
        <w:t xml:space="preserve"> o art. 113 do ADCT aplica-se a todos os entes da federação, sendo requisito de validade formal de leis que criem despesa ou concedam benefícios fiscais à instrução da proposta legislativa com a estimativa do impacto financeiro e orçamentário.</w:t>
      </w:r>
    </w:p>
    <w:p w:rsidR="008C7B2F" w:rsidRPr="00AF6393" w:rsidP="008C7B2F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AF6393">
        <w:rPr>
          <w:rFonts w:cstheme="minorHAnsi"/>
          <w:sz w:val="24"/>
          <w:szCs w:val="24"/>
        </w:rPr>
        <w:t xml:space="preserve">Do mesmo modo, a LM nº 4.877/2013 </w:t>
      </w:r>
      <w:r>
        <w:rPr>
          <w:rFonts w:cstheme="minorHAnsi"/>
          <w:sz w:val="24"/>
          <w:szCs w:val="24"/>
        </w:rPr>
        <w:t>(</w:t>
      </w:r>
      <w:r w:rsidRPr="00AF6393">
        <w:rPr>
          <w:rFonts w:cstheme="minorHAnsi"/>
          <w:sz w:val="24"/>
          <w:szCs w:val="24"/>
        </w:rPr>
        <w:t>alterada pela LM nº 6.396/2022</w:t>
      </w:r>
      <w:r>
        <w:rPr>
          <w:rFonts w:cstheme="minorHAnsi"/>
          <w:sz w:val="24"/>
          <w:szCs w:val="24"/>
        </w:rPr>
        <w:t>)</w:t>
      </w:r>
      <w:r w:rsidRPr="00AF6393">
        <w:rPr>
          <w:rFonts w:cstheme="minorHAnsi"/>
          <w:sz w:val="24"/>
          <w:szCs w:val="24"/>
        </w:rPr>
        <w:t xml:space="preserve"> destaca a necessidade de apresentação de estudo técnico elaborado por atuário quanto às proposições que possam provocar majoração potencial dos benefícios pagos pelo RPPS:</w:t>
      </w:r>
    </w:p>
    <w:p w:rsidR="008C7B2F" w:rsidRPr="007856C1" w:rsidP="00F432A7">
      <w:pPr>
        <w:spacing w:after="120"/>
        <w:ind w:left="2268"/>
        <w:jc w:val="both"/>
        <w:rPr>
          <w:rFonts w:cstheme="minorHAnsi"/>
          <w:i/>
        </w:rPr>
      </w:pPr>
      <w:r w:rsidRPr="007856C1">
        <w:rPr>
          <w:rFonts w:cstheme="minorHAnsi"/>
          <w:i/>
        </w:rPr>
        <w:t>Art. 188-A. A partir de 31 de março de 2023, na hipótese de alteração legal relacionada à estrutura funcional e remuneratória dos segurados do VALIPREV, à ampliação e reformulação dos quadros existentes e às demais políticas de pessoal do ente empregador municipal que possam provocar a majoração potencial dos benefícios do regime próprio, a unidade gestora, a partir de estudo técnico elaborado por atuário legalmente habilitado, acompanhado.</w:t>
      </w:r>
    </w:p>
    <w:p w:rsidR="008C7B2F" w:rsidP="008C7B2F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b/>
          <w:szCs w:val="24"/>
        </w:rPr>
      </w:pPr>
      <w:r w:rsidRPr="00583AAC">
        <w:rPr>
          <w:rFonts w:asciiTheme="minorHAnsi" w:hAnsiTheme="minorHAnsi" w:cstheme="minorHAnsi"/>
          <w:b/>
          <w:szCs w:val="24"/>
        </w:rPr>
        <w:t>Por conseguinte, observamos que a proposição se enco</w:t>
      </w:r>
      <w:r>
        <w:rPr>
          <w:rFonts w:asciiTheme="minorHAnsi" w:hAnsiTheme="minorHAnsi" w:cstheme="minorHAnsi"/>
          <w:b/>
          <w:szCs w:val="24"/>
        </w:rPr>
        <w:t xml:space="preserve">ntra com </w:t>
      </w:r>
      <w:r w:rsidRPr="00583AAC">
        <w:rPr>
          <w:rFonts w:asciiTheme="minorHAnsi" w:hAnsiTheme="minorHAnsi" w:cstheme="minorHAnsi"/>
          <w:b/>
          <w:szCs w:val="24"/>
        </w:rPr>
        <w:t>a estimativa de impacto orçamentário-financeiro e avaliação atuarial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7856C1">
        <w:rPr>
          <w:rFonts w:asciiTheme="minorHAnsi" w:hAnsiTheme="minorHAnsi" w:cstheme="minorHAnsi"/>
          <w:b/>
          <w:szCs w:val="24"/>
          <w:u w:val="single"/>
        </w:rPr>
        <w:t>pretérita</w:t>
      </w:r>
      <w:r>
        <w:rPr>
          <w:rFonts w:asciiTheme="minorHAnsi" w:hAnsiTheme="minorHAnsi" w:cstheme="minorHAnsi"/>
          <w:b/>
          <w:szCs w:val="24"/>
        </w:rPr>
        <w:t xml:space="preserve"> à proposição</w:t>
      </w:r>
      <w:r w:rsidRPr="00583AAC">
        <w:rPr>
          <w:rFonts w:asciiTheme="minorHAnsi" w:hAnsiTheme="minorHAnsi" w:cstheme="minorHAnsi"/>
          <w:b/>
          <w:szCs w:val="24"/>
        </w:rPr>
        <w:t>, cuja análise dos aspectos orçamentários, financeiros e contábeis incumbe à Comissão de Finanças e Orçamento.</w:t>
      </w:r>
      <w:r>
        <w:rPr>
          <w:rFonts w:asciiTheme="minorHAnsi" w:hAnsiTheme="minorHAnsi" w:cstheme="minorHAnsi"/>
          <w:b/>
          <w:szCs w:val="24"/>
        </w:rPr>
        <w:t xml:space="preserve"> Atente-se ainda para a </w:t>
      </w:r>
      <w:r w:rsidRPr="00655476">
        <w:rPr>
          <w:rFonts w:asciiTheme="minorHAnsi" w:hAnsiTheme="minorHAnsi" w:cstheme="minorHAnsi"/>
          <w:b/>
          <w:szCs w:val="24"/>
        </w:rPr>
        <w:t xml:space="preserve">ausência </w:t>
      </w:r>
      <w:r>
        <w:rPr>
          <w:rFonts w:asciiTheme="minorHAnsi" w:hAnsiTheme="minorHAnsi" w:cstheme="minorHAnsi"/>
          <w:b/>
          <w:szCs w:val="24"/>
        </w:rPr>
        <w:t xml:space="preserve">da </w:t>
      </w:r>
      <w:r>
        <w:rPr>
          <w:rFonts w:asciiTheme="minorHAnsi" w:hAnsiTheme="minorHAnsi" w:cstheme="minorHAnsi"/>
          <w:b/>
          <w:szCs w:val="24"/>
        </w:rPr>
        <w:t>declaração do ordenador de despesa referida no art. 16, II, da LRF</w:t>
      </w:r>
      <w:r>
        <w:rPr>
          <w:rStyle w:val="FootnoteReference"/>
          <w:rFonts w:asciiTheme="minorHAnsi" w:hAnsiTheme="minorHAnsi" w:cstheme="minorHAnsi"/>
          <w:b/>
          <w:szCs w:val="24"/>
        </w:rPr>
        <w:footnoteReference w:id="4"/>
      </w:r>
      <w:r>
        <w:rPr>
          <w:rFonts w:asciiTheme="minorHAnsi" w:hAnsiTheme="minorHAnsi" w:cstheme="minorHAnsi"/>
          <w:b/>
          <w:szCs w:val="24"/>
        </w:rPr>
        <w:t xml:space="preserve">. </w:t>
      </w:r>
      <w:r w:rsidRPr="00655476" w:rsidR="00655476">
        <w:rPr>
          <w:rFonts w:asciiTheme="minorHAnsi" w:hAnsiTheme="minorHAnsi" w:cstheme="minorHAnsi"/>
          <w:b/>
          <w:szCs w:val="24"/>
        </w:rPr>
        <w:t>Contudo, há no processo legislativo a assertiva de que o impacto orçamentário-financeiro é nulo</w:t>
      </w:r>
      <w:r w:rsidR="00655476">
        <w:rPr>
          <w:rFonts w:asciiTheme="minorHAnsi" w:hAnsiTheme="minorHAnsi" w:cstheme="minorHAnsi"/>
          <w:b/>
          <w:szCs w:val="24"/>
        </w:rPr>
        <w:t>,</w:t>
      </w:r>
      <w:r w:rsidRPr="00655476" w:rsidR="00655476">
        <w:rPr>
          <w:rFonts w:asciiTheme="minorHAnsi" w:hAnsiTheme="minorHAnsi" w:cstheme="minorHAnsi"/>
          <w:b/>
          <w:szCs w:val="24"/>
        </w:rPr>
        <w:t xml:space="preserve"> acompanhad</w:t>
      </w:r>
      <w:r w:rsidR="003B37B3">
        <w:rPr>
          <w:rFonts w:asciiTheme="minorHAnsi" w:hAnsiTheme="minorHAnsi" w:cstheme="minorHAnsi"/>
          <w:b/>
          <w:szCs w:val="24"/>
        </w:rPr>
        <w:t>a de memória de cálculo (fls. 07/16</w:t>
      </w:r>
      <w:r w:rsidRPr="00655476" w:rsidR="00655476">
        <w:rPr>
          <w:rFonts w:asciiTheme="minorHAnsi" w:hAnsiTheme="minorHAnsi" w:cstheme="minorHAnsi"/>
          <w:b/>
          <w:szCs w:val="24"/>
        </w:rPr>
        <w:t>).</w:t>
      </w:r>
    </w:p>
    <w:p w:rsidR="008C7B2F" w:rsidP="008C7B2F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Por derradeiro, insta ressaltar a vedação </w:t>
      </w:r>
      <w:r w:rsidRPr="00FD0FCB">
        <w:rPr>
          <w:rFonts w:asciiTheme="minorHAnsi" w:hAnsiTheme="minorHAnsi" w:cstheme="minorHAnsi"/>
          <w:szCs w:val="24"/>
        </w:rPr>
        <w:t xml:space="preserve">constante </w:t>
      </w:r>
      <w:r>
        <w:rPr>
          <w:rFonts w:asciiTheme="minorHAnsi" w:hAnsiTheme="minorHAnsi" w:cstheme="minorHAnsi"/>
          <w:szCs w:val="24"/>
        </w:rPr>
        <w:t>do art. 73, VIII da denominada “</w:t>
      </w:r>
      <w:r w:rsidRPr="00FD0FCB">
        <w:rPr>
          <w:rFonts w:asciiTheme="minorHAnsi" w:hAnsiTheme="minorHAnsi" w:cstheme="minorHAnsi"/>
          <w:i/>
          <w:szCs w:val="24"/>
        </w:rPr>
        <w:t>Lei das Eleições</w:t>
      </w:r>
      <w:r>
        <w:rPr>
          <w:rFonts w:asciiTheme="minorHAnsi" w:hAnsiTheme="minorHAnsi" w:cstheme="minorHAnsi"/>
          <w:szCs w:val="24"/>
        </w:rPr>
        <w:t>” (Lei nacional nº 9.504/97)</w:t>
      </w:r>
      <w:r>
        <w:rPr>
          <w:rStyle w:val="FootnoteReference"/>
          <w:rFonts w:asciiTheme="minorHAnsi" w:hAnsiTheme="minorHAnsi" w:cstheme="minorHAnsi"/>
          <w:szCs w:val="24"/>
        </w:rPr>
        <w:footnoteReference w:id="5"/>
      </w:r>
      <w:r>
        <w:rPr>
          <w:rFonts w:asciiTheme="minorHAnsi" w:hAnsiTheme="minorHAnsi" w:cstheme="minorHAnsi"/>
          <w:szCs w:val="24"/>
        </w:rPr>
        <w:t>:</w:t>
      </w:r>
    </w:p>
    <w:p w:rsidR="008C7B2F" w:rsidRPr="00A15A15" w:rsidP="00F432A7">
      <w:pPr>
        <w:pStyle w:val="BodyTex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15A15">
        <w:rPr>
          <w:rFonts w:asciiTheme="minorHAnsi" w:hAnsiTheme="minorHAnsi" w:cstheme="minorHAnsi"/>
          <w:i/>
          <w:sz w:val="22"/>
          <w:szCs w:val="22"/>
        </w:rPr>
        <w:t>Das Condutas Vedadas aos Agentes Públicos em Campanhas Eleitorais</w:t>
      </w:r>
    </w:p>
    <w:p w:rsidR="008C7B2F" w:rsidRPr="00A15A15" w:rsidP="00F432A7">
      <w:pPr>
        <w:pStyle w:val="BodyTex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15A15">
        <w:rPr>
          <w:rFonts w:asciiTheme="minorHAnsi" w:hAnsiTheme="minorHAnsi" w:cstheme="minorHAnsi"/>
          <w:i/>
          <w:sz w:val="22"/>
          <w:szCs w:val="22"/>
        </w:rPr>
        <w:t>Art. 73. São proibidas aos agentes públicos, servidores ou não, as seguintes condutas tendentes a afetar a igualdade de oportunidades entre candidatos nos pleitos eleitorais:</w:t>
      </w:r>
    </w:p>
    <w:p w:rsidR="008C7B2F" w:rsidRPr="00A15A15" w:rsidP="00F432A7">
      <w:pPr>
        <w:pStyle w:val="BodyTex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15A15">
        <w:rPr>
          <w:rFonts w:asciiTheme="minorHAnsi" w:hAnsiTheme="minorHAnsi" w:cstheme="minorHAnsi"/>
          <w:i/>
          <w:sz w:val="22"/>
          <w:szCs w:val="22"/>
        </w:rPr>
        <w:t>[...]</w:t>
      </w:r>
    </w:p>
    <w:p w:rsidR="008C7B2F" w:rsidRPr="00A15A15" w:rsidP="00F432A7">
      <w:pPr>
        <w:pStyle w:val="BodyTex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15A15">
        <w:rPr>
          <w:rFonts w:asciiTheme="minorHAnsi" w:hAnsiTheme="minorHAnsi" w:cstheme="minorHAnsi"/>
          <w:i/>
          <w:sz w:val="22"/>
          <w:szCs w:val="22"/>
        </w:rPr>
        <w:t>VIII - fazer, na circunscrição do pleito, revisão geral da remuneração dos servidores públicos que exceda a recomposição da perda de seu poder aquisitivo ao longo do ano da eleição, a partir do início do prazo estabelecido no art. 7º desta Lei e até a posse dos eleitos.</w:t>
      </w:r>
    </w:p>
    <w:p w:rsidR="008C7B2F" w:rsidRPr="00AE7B73" w:rsidP="008C7B2F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Quanto</w:t>
      </w:r>
      <w:r w:rsidRPr="00AE7B73">
        <w:rPr>
          <w:rFonts w:asciiTheme="minorHAnsi" w:hAnsiTheme="minorHAnsi" w:cstheme="minorHAnsi"/>
          <w:szCs w:val="24"/>
        </w:rPr>
        <w:t xml:space="preserve">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8C7B2F" w:rsidRPr="004362ED" w:rsidP="008C7B2F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ascii="Calibri" w:hAnsi="Calibri" w:cs="Calibri"/>
          <w:color w:val="FF0000"/>
        </w:rPr>
      </w:pPr>
      <w:r w:rsidRPr="00A15A15">
        <w:rPr>
          <w:rFonts w:ascii="Calibri" w:hAnsi="Calibri" w:cs="Calibri"/>
          <w:i/>
        </w:rPr>
        <w:t>Ex positis</w:t>
      </w:r>
      <w:r w:rsidRPr="00A15A15">
        <w:rPr>
          <w:rFonts w:ascii="Calibri" w:hAnsi="Calibri" w:cs="Calibri"/>
        </w:rPr>
        <w:t xml:space="preserve">, </w:t>
      </w:r>
      <w:r w:rsidRPr="0055657F">
        <w:rPr>
          <w:rFonts w:ascii="Calibri" w:hAnsi="Calibri" w:cs="Calibri"/>
        </w:rPr>
        <w:t>observ</w:t>
      </w:r>
      <w:r w:rsidR="003239EA">
        <w:rPr>
          <w:rFonts w:ascii="Calibri" w:hAnsi="Calibri" w:cs="Calibri"/>
        </w:rPr>
        <w:t xml:space="preserve">adas as ressalvas acima </w:t>
      </w:r>
      <w:bookmarkStart w:id="22" w:name="_GoBack"/>
      <w:bookmarkEnd w:id="22"/>
      <w:r w:rsidRPr="0055657F">
        <w:rPr>
          <w:rFonts w:ascii="Calibri" w:hAnsi="Calibri" w:cs="Calibri"/>
        </w:rPr>
        <w:t xml:space="preserve">o </w:t>
      </w:r>
      <w:r w:rsidRPr="00A15A15">
        <w:rPr>
          <w:rFonts w:ascii="Calibri" w:hAnsi="Calibri" w:cs="Calibri"/>
        </w:rPr>
        <w:t xml:space="preserve">projeto poderá reunir condições de constitucionalidade e legalidade. </w:t>
      </w:r>
      <w:r w:rsidRPr="00A15A15">
        <w:rPr>
          <w:rFonts w:eastAsia="Calibri" w:asciiTheme="minorHAnsi" w:hAnsiTheme="minorHAnsi" w:cstheme="minorHAnsi"/>
        </w:rPr>
        <w:t>No exame do mérito, o Plenário é soberano.</w:t>
      </w:r>
    </w:p>
    <w:p w:rsidR="001900C3" w:rsidRPr="00A418FF" w:rsidP="00482F41">
      <w:pPr>
        <w:spacing w:after="0" w:line="360" w:lineRule="auto"/>
        <w:ind w:firstLine="1701"/>
        <w:jc w:val="both"/>
        <w:rPr>
          <w:rFonts w:cstheme="minorHAnsi"/>
          <w:sz w:val="24"/>
          <w:szCs w:val="24"/>
        </w:rPr>
      </w:pPr>
      <w:r w:rsidRPr="00A418FF">
        <w:rPr>
          <w:rFonts w:cstheme="minorHAnsi"/>
          <w:sz w:val="24"/>
          <w:szCs w:val="24"/>
        </w:rPr>
        <w:t>É o parecer</w:t>
      </w:r>
      <w:r w:rsidRPr="00A418FF" w:rsidR="0000565F">
        <w:rPr>
          <w:rFonts w:cstheme="minorHAnsi"/>
          <w:sz w:val="24"/>
          <w:szCs w:val="24"/>
        </w:rPr>
        <w:t>, a superior consideração.</w:t>
      </w:r>
    </w:p>
    <w:p w:rsidR="00623AD7" w:rsidRPr="00A418FF" w:rsidP="00482F41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A418FF">
        <w:rPr>
          <w:rFonts w:cstheme="minorHAnsi"/>
          <w:sz w:val="24"/>
          <w:szCs w:val="24"/>
        </w:rPr>
        <w:t>Procuradoria</w:t>
      </w:r>
      <w:r w:rsidRPr="00A418FF" w:rsidR="00EE53E1">
        <w:rPr>
          <w:rFonts w:cstheme="minorHAnsi"/>
          <w:sz w:val="24"/>
          <w:szCs w:val="24"/>
        </w:rPr>
        <w:t>,</w:t>
      </w:r>
      <w:r w:rsidRPr="00A418FF">
        <w:rPr>
          <w:rFonts w:cstheme="minorHAnsi"/>
          <w:sz w:val="24"/>
          <w:szCs w:val="24"/>
        </w:rPr>
        <w:t xml:space="preserve"> </w:t>
      </w:r>
      <w:r w:rsidRPr="00A418FF" w:rsidR="00A418FF">
        <w:rPr>
          <w:rFonts w:cstheme="minorHAnsi"/>
          <w:sz w:val="24"/>
          <w:szCs w:val="24"/>
        </w:rPr>
        <w:t>03</w:t>
      </w:r>
      <w:r w:rsidRPr="00A418FF" w:rsidR="00AB285F">
        <w:rPr>
          <w:rFonts w:cstheme="minorHAnsi"/>
          <w:sz w:val="24"/>
          <w:szCs w:val="24"/>
        </w:rPr>
        <w:t xml:space="preserve"> </w:t>
      </w:r>
      <w:r w:rsidRPr="00A418FF">
        <w:rPr>
          <w:rFonts w:cstheme="minorHAnsi"/>
          <w:sz w:val="24"/>
          <w:szCs w:val="24"/>
        </w:rPr>
        <w:t xml:space="preserve">de </w:t>
      </w:r>
      <w:r w:rsidRPr="00A418FF" w:rsidR="00A418FF">
        <w:rPr>
          <w:rFonts w:cstheme="minorHAnsi"/>
          <w:sz w:val="24"/>
          <w:szCs w:val="24"/>
        </w:rPr>
        <w:t>abril</w:t>
      </w:r>
      <w:r w:rsidRPr="00A418FF">
        <w:rPr>
          <w:rFonts w:cstheme="minorHAnsi"/>
          <w:sz w:val="24"/>
          <w:szCs w:val="24"/>
        </w:rPr>
        <w:t xml:space="preserve"> de 20</w:t>
      </w:r>
      <w:r w:rsidRPr="00A418FF" w:rsidR="00F66849">
        <w:rPr>
          <w:rFonts w:cstheme="minorHAnsi"/>
          <w:sz w:val="24"/>
          <w:szCs w:val="24"/>
        </w:rPr>
        <w:t>2</w:t>
      </w:r>
      <w:r w:rsidRPr="00A418FF" w:rsidR="0000565F">
        <w:rPr>
          <w:rFonts w:cstheme="minorHAnsi"/>
          <w:sz w:val="24"/>
          <w:szCs w:val="24"/>
        </w:rPr>
        <w:t>4</w:t>
      </w:r>
      <w:r w:rsidRPr="00A418FF">
        <w:rPr>
          <w:rFonts w:cstheme="minorHAnsi"/>
          <w:sz w:val="24"/>
          <w:szCs w:val="24"/>
        </w:rPr>
        <w:t>.</w:t>
      </w:r>
    </w:p>
    <w:p w:rsidR="007856C1" w:rsidRPr="00A418FF" w:rsidP="007856C1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604774" w:rsidRPr="0000565F" w:rsidP="00604774">
      <w:pPr>
        <w:tabs>
          <w:tab w:val="left" w:pos="2880"/>
        </w:tabs>
        <w:spacing w:after="0" w:line="240" w:lineRule="auto"/>
        <w:jc w:val="center"/>
        <w:rPr>
          <w:rFonts w:cs="Calibri"/>
          <w:b/>
          <w:color w:val="FF0000"/>
          <w:sz w:val="24"/>
          <w:szCs w:val="24"/>
        </w:rPr>
      </w:pPr>
    </w:p>
    <w:p w:rsidR="00604774" w:rsidRPr="0000565F" w:rsidP="00604774">
      <w:pPr>
        <w:spacing w:after="0" w:line="240" w:lineRule="auto"/>
        <w:rPr>
          <w:rFonts w:cstheme="minorHAnsi"/>
          <w:b/>
          <w:sz w:val="24"/>
          <w:szCs w:val="24"/>
        </w:rPr>
      </w:pPr>
      <w:r w:rsidRPr="0000565F">
        <w:rPr>
          <w:rFonts w:cstheme="minorHAnsi"/>
          <w:b/>
          <w:sz w:val="24"/>
          <w:szCs w:val="24"/>
        </w:rPr>
        <w:t>Rosemeire de Souza Cardoso Barbosa                                 Tiago Fadel Malghosian</w:t>
      </w:r>
    </w:p>
    <w:p w:rsidR="00604774" w:rsidRPr="0000565F" w:rsidP="006047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0565F">
        <w:rPr>
          <w:rFonts w:cstheme="minorHAnsi"/>
          <w:b/>
          <w:sz w:val="24"/>
          <w:szCs w:val="24"/>
        </w:rPr>
        <w:t>Procuradora - OAB/SP 308.298                               Procurador - OAB/SP 319.159</w:t>
      </w:r>
    </w:p>
    <w:p w:rsidR="009761BF" w:rsidRPr="0000565F" w:rsidP="00604774">
      <w:pPr>
        <w:pStyle w:val="BodyText"/>
        <w:spacing w:after="0"/>
        <w:jc w:val="center"/>
        <w:rPr>
          <w:rFonts w:cstheme="minorHAnsi"/>
          <w:b/>
          <w:szCs w:val="24"/>
        </w:rPr>
      </w:pPr>
      <w:r w:rsidRPr="0000565F">
        <w:rPr>
          <w:rFonts w:asciiTheme="minorHAnsi" w:hAnsiTheme="minorHAnsi" w:cstheme="minorHAnsi"/>
          <w:b/>
          <w:szCs w:val="24"/>
        </w:rPr>
        <w:t xml:space="preserve">Assinatura eletrônica                                          </w:t>
      </w:r>
      <w:r w:rsidR="00197DBB">
        <w:rPr>
          <w:rFonts w:asciiTheme="minorHAnsi" w:hAnsiTheme="minorHAnsi" w:cstheme="minorHAnsi"/>
          <w:b/>
          <w:szCs w:val="24"/>
        </w:rPr>
        <w:t xml:space="preserve">    </w:t>
      </w:r>
      <w:r w:rsidRPr="0000565F">
        <w:rPr>
          <w:rFonts w:asciiTheme="minorHAnsi" w:hAnsiTheme="minorHAnsi" w:cstheme="minorHAnsi"/>
          <w:b/>
          <w:szCs w:val="24"/>
        </w:rPr>
        <w:t xml:space="preserve">    Assinatura</w:t>
      </w:r>
      <w:r w:rsidRPr="0000565F">
        <w:rPr>
          <w:rFonts w:cstheme="minorHAnsi"/>
          <w:b/>
          <w:szCs w:val="24"/>
        </w:rPr>
        <w:t xml:space="preserve"> </w:t>
      </w:r>
      <w:r w:rsidRPr="0000565F">
        <w:rPr>
          <w:rFonts w:asciiTheme="minorHAnsi" w:hAnsiTheme="minorHAnsi" w:cstheme="minorHAnsi"/>
          <w:b/>
          <w:szCs w:val="24"/>
        </w:rPr>
        <w:t>eletrônica</w:t>
      </w:r>
    </w:p>
    <w:p w:rsidR="00203CA1" w:rsidRPr="0000565F" w:rsidP="00203CA1">
      <w:pPr>
        <w:pStyle w:val="LO-normal3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240" w:lineRule="auto"/>
        <w:ind w:firstLine="0"/>
        <w:rPr>
          <w:color w:val="FF0000"/>
        </w:rPr>
      </w:pPr>
    </w:p>
    <w:sectPr w:rsidSect="00106ADB">
      <w:headerReference w:type="default" r:id="rId9"/>
      <w:foot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571AEF" w:rsidP="00CF4A3C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571AEF" w:rsidP="003C2F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Ângelo Antônio Schiavinato, 59, Residencial São Luis - Tel: (19) 3829.5310 - CEP: 13270-470</w:t>
            </w:r>
          </w:p>
          <w:p w:rsidR="00571AEF" w:rsidP="003C2F5F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site: www.camaravalinhos.sp.gov.br</w:t>
            </w:r>
          </w:p>
          <w:p w:rsidR="00571AEF" w:rsidP="003C2F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239EA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239EA">
              <w:rPr>
                <w:b/>
                <w:bCs/>
                <w:noProof/>
                <w:sz w:val="18"/>
                <w:szCs w:val="18"/>
              </w:rPr>
              <w:t>12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71AEF">
      <w:pPr>
        <w:spacing w:after="0" w:line="240" w:lineRule="auto"/>
      </w:pPr>
      <w:r>
        <w:separator/>
      </w:r>
    </w:p>
  </w:footnote>
  <w:footnote w:type="continuationSeparator" w:id="1">
    <w:p w:rsidR="00571AEF">
      <w:pPr>
        <w:spacing w:after="0" w:line="240" w:lineRule="auto"/>
      </w:pPr>
      <w:r>
        <w:continuationSeparator/>
      </w:r>
    </w:p>
  </w:footnote>
  <w:footnote w:id="2">
    <w:p w:rsidR="00571AEF" w:rsidRPr="00F154E2" w:rsidP="001B2556">
      <w:pPr>
        <w:pStyle w:val="FootnoteText"/>
        <w:jc w:val="both"/>
        <w:rPr>
          <w:sz w:val="18"/>
          <w:szCs w:val="18"/>
        </w:rPr>
      </w:pPr>
      <w:r w:rsidRPr="00F154E2">
        <w:rPr>
          <w:rStyle w:val="FootnoteReference"/>
          <w:sz w:val="18"/>
          <w:szCs w:val="18"/>
        </w:rPr>
        <w:footnoteRef/>
      </w:r>
      <w:r w:rsidRPr="00F154E2">
        <w:rPr>
          <w:sz w:val="18"/>
          <w:szCs w:val="18"/>
        </w:rPr>
        <w:t xml:space="preserve"> “</w:t>
      </w:r>
      <w:r w:rsidRPr="00F154E2">
        <w:rPr>
          <w:i/>
          <w:iCs/>
          <w:sz w:val="18"/>
          <w:szCs w:val="18"/>
        </w:rPr>
        <w:t>Art. 38. Compete à Comissão de Justiça e Redação manifestar-se sobre todos os assuntos entregues</w:t>
      </w:r>
      <w:r>
        <w:rPr>
          <w:i/>
          <w:iCs/>
          <w:sz w:val="18"/>
          <w:szCs w:val="18"/>
        </w:rPr>
        <w:t xml:space="preserve"> </w:t>
      </w:r>
      <w:r w:rsidRPr="00F154E2">
        <w:rPr>
          <w:i/>
          <w:iCs/>
          <w:sz w:val="18"/>
          <w:szCs w:val="18"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  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F154E2">
        <w:rPr>
          <w:sz w:val="18"/>
          <w:szCs w:val="18"/>
        </w:rPr>
        <w:t>.”</w:t>
      </w:r>
    </w:p>
  </w:footnote>
  <w:footnote w:id="3">
    <w:p w:rsidR="00571AEF" w:rsidP="00E048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048B9">
        <w:rPr>
          <w:rFonts w:cstheme="minorHAnsi"/>
          <w:i/>
        </w:rPr>
        <w:t xml:space="preserve">Nesse sentido é o entendimento do Supremo Tribunal Federal: </w:t>
      </w:r>
      <w:r>
        <w:rPr>
          <w:rFonts w:cstheme="minorHAnsi"/>
          <w:i/>
        </w:rPr>
        <w:t>“</w:t>
      </w:r>
      <w:r w:rsidRPr="006405CE">
        <w:rPr>
          <w:rFonts w:cstheme="minorHAnsi"/>
          <w:i/>
        </w:rPr>
        <w:t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ex</w:t>
      </w:r>
      <w:r>
        <w:rPr>
          <w:rFonts w:cstheme="minorHAnsi"/>
          <w:i/>
        </w:rPr>
        <w:t xml:space="preserve"> </w:t>
      </w:r>
      <w:r w:rsidRPr="006405CE">
        <w:rPr>
          <w:rFonts w:cstheme="minorHAnsi"/>
          <w:i/>
        </w:rPr>
        <w:t>oficio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</w:p>
  </w:footnote>
  <w:footnote w:id="4">
    <w:p w:rsidR="008C7B2F" w:rsidRPr="004E19C8" w:rsidP="008C7B2F">
      <w:pPr>
        <w:pStyle w:val="FootnoteText"/>
        <w:jc w:val="both"/>
        <w:rPr>
          <w:b/>
        </w:rPr>
      </w:pPr>
      <w:r>
        <w:rPr>
          <w:rStyle w:val="FootnoteReference"/>
        </w:rPr>
        <w:footnoteRef/>
      </w:r>
      <w:r>
        <w:t xml:space="preserve"> </w:t>
      </w:r>
      <w:r w:rsidRPr="004E19C8">
        <w:t>Art. 16. A criação, expansão ou aperfeiçoamento de ação governamental que acarrete aumento da despesa será acompa</w:t>
      </w:r>
      <w:r>
        <w:t xml:space="preserve">nhado de: [...] </w:t>
      </w:r>
      <w:r w:rsidRPr="004E19C8">
        <w:rPr>
          <w:b/>
        </w:rPr>
        <w:t>II - declaração do ordenador da despesa de que o aumento tem adequação orçamentária e financeira com a lei orçamentária anual e compatibilidade com o plano plurianual e com a lei de diretrizes orçamentárias.</w:t>
      </w:r>
      <w:r>
        <w:rPr>
          <w:b/>
        </w:rPr>
        <w:t xml:space="preserve"> Grifo nosso. </w:t>
      </w:r>
    </w:p>
  </w:footnote>
  <w:footnote w:id="5">
    <w:p w:rsidR="008C7B2F" w:rsidP="008C7B2F">
      <w:pPr>
        <w:pStyle w:val="FootnoteText"/>
        <w:jc w:val="both"/>
      </w:pPr>
    </w:p>
    <w:p w:rsidR="008C7B2F" w:rsidP="008C7B2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Disponível em: &lt; </w:t>
      </w:r>
      <w:hyperlink r:id="rId1" w:history="1">
        <w:r w:rsidRPr="0078268A">
          <w:rPr>
            <w:rStyle w:val="Hyperlink"/>
            <w:i/>
          </w:rPr>
          <w:t>https://www.tse.jus.br/eleicoes/calendario-eleitoral/calendario-eleitoral</w:t>
        </w:r>
      </w:hyperlink>
      <w:r>
        <w:t xml:space="preserve"> &gt;. Acesso em 03 de abril de 2024.</w:t>
      </w:r>
      <w:r w:rsidRPr="00A97D65">
        <w:t xml:space="preserve"> </w:t>
      </w:r>
      <w:r w:rsidRPr="00A97D65">
        <w:rPr>
          <w:b/>
        </w:rPr>
        <w:t>9 DE ABRIL - TERÇA-FEIRA (180 DIAS ANTES DO 1º TURNO) [...] 2. Data a partir da qual, até a posse das pessoas eleitas, é vedado às(aos) agentes públicos fazer, na circunscrição do pleito, revisão geral da remuneração das servidoras públicas e dos servidores públicos que exceda a recomposição da perda de seu poder aquisitivo ao longo do ano da eleição (Lei nº 9.504/1997, art. 73, VIII).</w:t>
      </w:r>
      <w:r>
        <w:rPr>
          <w:b/>
        </w:rPr>
        <w:t xml:space="preserve"> Grifo nosso.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1AEF" w:rsidP="003C2F5F">
    <w:pPr>
      <w:pStyle w:val="Header"/>
      <w:jc w:val="center"/>
      <w:rPr>
        <w:b/>
        <w:sz w:val="26"/>
        <w:lang w:val="pt-PT"/>
      </w:rPr>
    </w:pPr>
  </w:p>
  <w:p w:rsidR="00571AEF" w:rsidP="003C2F5F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AEF" w:rsidP="003C2F5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01696389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453779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25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366934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71AEF" w:rsidP="003C2F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0458044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25pt;height:68.25pt" o:oleicon="f" o:ole="">
                        <v:imagedata r:id="rId2" o:title=""/>
                      </v:shape>
                      <o:OLEObject Type="Embed" ProgID="MSPhotoEd.3" ShapeID="_x0000_i2050" DrawAspect="Content" ObjectID="_177366934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571AEF" w:rsidP="003C2F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571AEF" w:rsidP="003C2F5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571AEF" w:rsidP="003C2F5F">
    <w:pPr>
      <w:pStyle w:val="Header"/>
    </w:pPr>
  </w:p>
  <w:p w:rsidR="00571AEF" w:rsidP="003C2F5F">
    <w:pPr>
      <w:pStyle w:val="Header"/>
    </w:pPr>
  </w:p>
  <w:p w:rsidR="00571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3C3F22"/>
    <w:multiLevelType w:val="hybridMultilevel"/>
    <w:tmpl w:val="47B08C6C"/>
    <w:lvl w:ilvl="0">
      <w:start w:val="1"/>
      <w:numFmt w:val="upperRoman"/>
      <w:lvlText w:val="%1-"/>
      <w:lvlJc w:val="left"/>
      <w:pPr>
        <w:ind w:left="29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5A541183"/>
    <w:multiLevelType w:val="hybridMultilevel"/>
    <w:tmpl w:val="353E09F0"/>
    <w:lvl w:ilvl="0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0DD6"/>
    <w:rsid w:val="00002038"/>
    <w:rsid w:val="00004354"/>
    <w:rsid w:val="0000565F"/>
    <w:rsid w:val="00006589"/>
    <w:rsid w:val="00010D11"/>
    <w:rsid w:val="00034D4F"/>
    <w:rsid w:val="00034DB9"/>
    <w:rsid w:val="00047E2E"/>
    <w:rsid w:val="00053428"/>
    <w:rsid w:val="00053466"/>
    <w:rsid w:val="00054297"/>
    <w:rsid w:val="00055A36"/>
    <w:rsid w:val="00055CC4"/>
    <w:rsid w:val="00055D2C"/>
    <w:rsid w:val="00057AD0"/>
    <w:rsid w:val="00060B2C"/>
    <w:rsid w:val="0006637E"/>
    <w:rsid w:val="00072E0F"/>
    <w:rsid w:val="000854D9"/>
    <w:rsid w:val="000863AF"/>
    <w:rsid w:val="00092575"/>
    <w:rsid w:val="00093998"/>
    <w:rsid w:val="00095B06"/>
    <w:rsid w:val="000A1978"/>
    <w:rsid w:val="000A23E7"/>
    <w:rsid w:val="000A2B7F"/>
    <w:rsid w:val="000A7266"/>
    <w:rsid w:val="000B17B5"/>
    <w:rsid w:val="000B34F9"/>
    <w:rsid w:val="000C070B"/>
    <w:rsid w:val="000C232A"/>
    <w:rsid w:val="000C2FAB"/>
    <w:rsid w:val="000C3631"/>
    <w:rsid w:val="000C4719"/>
    <w:rsid w:val="000C75C5"/>
    <w:rsid w:val="000D0BA0"/>
    <w:rsid w:val="000D619E"/>
    <w:rsid w:val="000D62E2"/>
    <w:rsid w:val="000E0541"/>
    <w:rsid w:val="000E0DF9"/>
    <w:rsid w:val="000E24FC"/>
    <w:rsid w:val="000E337C"/>
    <w:rsid w:val="000E3F2E"/>
    <w:rsid w:val="000F53FD"/>
    <w:rsid w:val="000F7DF6"/>
    <w:rsid w:val="00100254"/>
    <w:rsid w:val="0010042C"/>
    <w:rsid w:val="00106ADB"/>
    <w:rsid w:val="0011208C"/>
    <w:rsid w:val="00114E15"/>
    <w:rsid w:val="001150B0"/>
    <w:rsid w:val="0011514A"/>
    <w:rsid w:val="00116058"/>
    <w:rsid w:val="001166FA"/>
    <w:rsid w:val="0012397D"/>
    <w:rsid w:val="00123E1C"/>
    <w:rsid w:val="00130A14"/>
    <w:rsid w:val="00133B04"/>
    <w:rsid w:val="00133C76"/>
    <w:rsid w:val="001375B1"/>
    <w:rsid w:val="00146235"/>
    <w:rsid w:val="00150E74"/>
    <w:rsid w:val="001560CF"/>
    <w:rsid w:val="0016185A"/>
    <w:rsid w:val="00162123"/>
    <w:rsid w:val="00166B9A"/>
    <w:rsid w:val="00171311"/>
    <w:rsid w:val="00175485"/>
    <w:rsid w:val="001774F7"/>
    <w:rsid w:val="00185019"/>
    <w:rsid w:val="00186563"/>
    <w:rsid w:val="00186BFA"/>
    <w:rsid w:val="001900C3"/>
    <w:rsid w:val="00195D2C"/>
    <w:rsid w:val="00197DBB"/>
    <w:rsid w:val="001A6DB8"/>
    <w:rsid w:val="001B2556"/>
    <w:rsid w:val="001B380C"/>
    <w:rsid w:val="001B39B0"/>
    <w:rsid w:val="001C4948"/>
    <w:rsid w:val="001C6EF9"/>
    <w:rsid w:val="001D010E"/>
    <w:rsid w:val="001E3035"/>
    <w:rsid w:val="001F3207"/>
    <w:rsid w:val="00201C22"/>
    <w:rsid w:val="002028C4"/>
    <w:rsid w:val="00203CA1"/>
    <w:rsid w:val="0021594C"/>
    <w:rsid w:val="0021665B"/>
    <w:rsid w:val="00236FCB"/>
    <w:rsid w:val="00253D01"/>
    <w:rsid w:val="00256E21"/>
    <w:rsid w:val="00260A79"/>
    <w:rsid w:val="00264C64"/>
    <w:rsid w:val="00264F4E"/>
    <w:rsid w:val="0026716F"/>
    <w:rsid w:val="00270161"/>
    <w:rsid w:val="00277FC6"/>
    <w:rsid w:val="002818A6"/>
    <w:rsid w:val="00290799"/>
    <w:rsid w:val="0029742D"/>
    <w:rsid w:val="002A0294"/>
    <w:rsid w:val="002A0BF9"/>
    <w:rsid w:val="002A314D"/>
    <w:rsid w:val="002A672E"/>
    <w:rsid w:val="002B1B24"/>
    <w:rsid w:val="002B3EF9"/>
    <w:rsid w:val="002B6DD7"/>
    <w:rsid w:val="002C174B"/>
    <w:rsid w:val="002C35B8"/>
    <w:rsid w:val="002C4D6D"/>
    <w:rsid w:val="002C50FF"/>
    <w:rsid w:val="002C5ACD"/>
    <w:rsid w:val="002D0400"/>
    <w:rsid w:val="002D1F88"/>
    <w:rsid w:val="002D6487"/>
    <w:rsid w:val="002E06DC"/>
    <w:rsid w:val="002E0B93"/>
    <w:rsid w:val="002F1549"/>
    <w:rsid w:val="002F5795"/>
    <w:rsid w:val="002F5B82"/>
    <w:rsid w:val="00300025"/>
    <w:rsid w:val="0030369A"/>
    <w:rsid w:val="00311579"/>
    <w:rsid w:val="003128C1"/>
    <w:rsid w:val="00313041"/>
    <w:rsid w:val="003132A3"/>
    <w:rsid w:val="003210F0"/>
    <w:rsid w:val="003239EA"/>
    <w:rsid w:val="003359E4"/>
    <w:rsid w:val="003409F0"/>
    <w:rsid w:val="00342695"/>
    <w:rsid w:val="00350F60"/>
    <w:rsid w:val="003526BD"/>
    <w:rsid w:val="00352A89"/>
    <w:rsid w:val="0037518E"/>
    <w:rsid w:val="00375890"/>
    <w:rsid w:val="00380583"/>
    <w:rsid w:val="003856D7"/>
    <w:rsid w:val="00391CD8"/>
    <w:rsid w:val="003A5BDC"/>
    <w:rsid w:val="003A6461"/>
    <w:rsid w:val="003B37B3"/>
    <w:rsid w:val="003B4A9E"/>
    <w:rsid w:val="003B4ED0"/>
    <w:rsid w:val="003B55E5"/>
    <w:rsid w:val="003B6749"/>
    <w:rsid w:val="003C2F5F"/>
    <w:rsid w:val="003C34A9"/>
    <w:rsid w:val="003C4DB0"/>
    <w:rsid w:val="003C5C3B"/>
    <w:rsid w:val="003C6555"/>
    <w:rsid w:val="003D371E"/>
    <w:rsid w:val="003D3D50"/>
    <w:rsid w:val="003D452C"/>
    <w:rsid w:val="003D6EE3"/>
    <w:rsid w:val="003E2D8E"/>
    <w:rsid w:val="003E371A"/>
    <w:rsid w:val="003F0920"/>
    <w:rsid w:val="003F3F64"/>
    <w:rsid w:val="003F610A"/>
    <w:rsid w:val="003F6ED2"/>
    <w:rsid w:val="00402EC1"/>
    <w:rsid w:val="0040409A"/>
    <w:rsid w:val="00405F0A"/>
    <w:rsid w:val="00407A33"/>
    <w:rsid w:val="00415C7A"/>
    <w:rsid w:val="004171DE"/>
    <w:rsid w:val="00417261"/>
    <w:rsid w:val="004172F5"/>
    <w:rsid w:val="00417BC0"/>
    <w:rsid w:val="00420AF4"/>
    <w:rsid w:val="00425E2C"/>
    <w:rsid w:val="00427BE6"/>
    <w:rsid w:val="00427F0B"/>
    <w:rsid w:val="0043016F"/>
    <w:rsid w:val="00433A4C"/>
    <w:rsid w:val="00433ED0"/>
    <w:rsid w:val="004362ED"/>
    <w:rsid w:val="0044553E"/>
    <w:rsid w:val="0044556B"/>
    <w:rsid w:val="0045236F"/>
    <w:rsid w:val="00461C3E"/>
    <w:rsid w:val="00465FE0"/>
    <w:rsid w:val="004706E1"/>
    <w:rsid w:val="004738DA"/>
    <w:rsid w:val="00474F60"/>
    <w:rsid w:val="00477E5C"/>
    <w:rsid w:val="00482F41"/>
    <w:rsid w:val="00483544"/>
    <w:rsid w:val="0049045A"/>
    <w:rsid w:val="004A287A"/>
    <w:rsid w:val="004C4D11"/>
    <w:rsid w:val="004C70E4"/>
    <w:rsid w:val="004D6EED"/>
    <w:rsid w:val="004D7449"/>
    <w:rsid w:val="004E19C8"/>
    <w:rsid w:val="004E652C"/>
    <w:rsid w:val="004F6ECF"/>
    <w:rsid w:val="004F6EE2"/>
    <w:rsid w:val="005056F7"/>
    <w:rsid w:val="005101D9"/>
    <w:rsid w:val="00512DDC"/>
    <w:rsid w:val="00530134"/>
    <w:rsid w:val="005315BA"/>
    <w:rsid w:val="00531B48"/>
    <w:rsid w:val="00532927"/>
    <w:rsid w:val="00541DF2"/>
    <w:rsid w:val="0054429B"/>
    <w:rsid w:val="00551B9D"/>
    <w:rsid w:val="00553C12"/>
    <w:rsid w:val="0055657F"/>
    <w:rsid w:val="00561516"/>
    <w:rsid w:val="005649C7"/>
    <w:rsid w:val="0056609E"/>
    <w:rsid w:val="005660DC"/>
    <w:rsid w:val="00571AEF"/>
    <w:rsid w:val="00572C26"/>
    <w:rsid w:val="005748BC"/>
    <w:rsid w:val="0058062A"/>
    <w:rsid w:val="00582F11"/>
    <w:rsid w:val="00583AAC"/>
    <w:rsid w:val="00585C59"/>
    <w:rsid w:val="00590F15"/>
    <w:rsid w:val="00591032"/>
    <w:rsid w:val="00591390"/>
    <w:rsid w:val="00593369"/>
    <w:rsid w:val="00596241"/>
    <w:rsid w:val="00597DEC"/>
    <w:rsid w:val="005A1CB4"/>
    <w:rsid w:val="005B66AE"/>
    <w:rsid w:val="005C097C"/>
    <w:rsid w:val="005C23E7"/>
    <w:rsid w:val="005C3000"/>
    <w:rsid w:val="005D7D02"/>
    <w:rsid w:val="005E0BB6"/>
    <w:rsid w:val="005E2A7A"/>
    <w:rsid w:val="005E7AE0"/>
    <w:rsid w:val="005F696D"/>
    <w:rsid w:val="00604774"/>
    <w:rsid w:val="00604F3C"/>
    <w:rsid w:val="00613C31"/>
    <w:rsid w:val="0061442B"/>
    <w:rsid w:val="00615B49"/>
    <w:rsid w:val="00621DC7"/>
    <w:rsid w:val="006229A4"/>
    <w:rsid w:val="00622D40"/>
    <w:rsid w:val="00623AD7"/>
    <w:rsid w:val="00625539"/>
    <w:rsid w:val="00625D82"/>
    <w:rsid w:val="00626BE1"/>
    <w:rsid w:val="00635547"/>
    <w:rsid w:val="0063663D"/>
    <w:rsid w:val="00636DF5"/>
    <w:rsid w:val="006405CE"/>
    <w:rsid w:val="00644ED3"/>
    <w:rsid w:val="00645BDE"/>
    <w:rsid w:val="006504F4"/>
    <w:rsid w:val="00650EA3"/>
    <w:rsid w:val="00655476"/>
    <w:rsid w:val="0065692D"/>
    <w:rsid w:val="00657CA0"/>
    <w:rsid w:val="00662793"/>
    <w:rsid w:val="006753C3"/>
    <w:rsid w:val="0067562F"/>
    <w:rsid w:val="0068017C"/>
    <w:rsid w:val="00685B1F"/>
    <w:rsid w:val="00686242"/>
    <w:rsid w:val="00687B41"/>
    <w:rsid w:val="00690245"/>
    <w:rsid w:val="006A10A0"/>
    <w:rsid w:val="006A1A17"/>
    <w:rsid w:val="006A22D7"/>
    <w:rsid w:val="006A5B5D"/>
    <w:rsid w:val="006A5E52"/>
    <w:rsid w:val="006B0996"/>
    <w:rsid w:val="006B1DD9"/>
    <w:rsid w:val="006B41D3"/>
    <w:rsid w:val="006C1657"/>
    <w:rsid w:val="006C69B1"/>
    <w:rsid w:val="006D1203"/>
    <w:rsid w:val="006D22B6"/>
    <w:rsid w:val="006D2F36"/>
    <w:rsid w:val="006E00C4"/>
    <w:rsid w:val="006E069F"/>
    <w:rsid w:val="006E3BE4"/>
    <w:rsid w:val="006E43B0"/>
    <w:rsid w:val="006E4468"/>
    <w:rsid w:val="006E4F1C"/>
    <w:rsid w:val="006E5792"/>
    <w:rsid w:val="006F0642"/>
    <w:rsid w:val="006F5D83"/>
    <w:rsid w:val="006F6EBB"/>
    <w:rsid w:val="0070570A"/>
    <w:rsid w:val="007111F6"/>
    <w:rsid w:val="0071405C"/>
    <w:rsid w:val="0072225A"/>
    <w:rsid w:val="0072563D"/>
    <w:rsid w:val="007277F2"/>
    <w:rsid w:val="0073426E"/>
    <w:rsid w:val="00742CBA"/>
    <w:rsid w:val="00743338"/>
    <w:rsid w:val="007445E7"/>
    <w:rsid w:val="007479A7"/>
    <w:rsid w:val="00753377"/>
    <w:rsid w:val="007711FB"/>
    <w:rsid w:val="00775DCA"/>
    <w:rsid w:val="00780AF1"/>
    <w:rsid w:val="0078268A"/>
    <w:rsid w:val="007854DA"/>
    <w:rsid w:val="007856C1"/>
    <w:rsid w:val="00792F34"/>
    <w:rsid w:val="0079319A"/>
    <w:rsid w:val="007979E0"/>
    <w:rsid w:val="007A3E43"/>
    <w:rsid w:val="007B6D1D"/>
    <w:rsid w:val="007C0E96"/>
    <w:rsid w:val="007C31B1"/>
    <w:rsid w:val="007C65E5"/>
    <w:rsid w:val="007C759F"/>
    <w:rsid w:val="007C7735"/>
    <w:rsid w:val="007D24E4"/>
    <w:rsid w:val="007D36E7"/>
    <w:rsid w:val="007D6467"/>
    <w:rsid w:val="007E1938"/>
    <w:rsid w:val="007E1F99"/>
    <w:rsid w:val="007E3525"/>
    <w:rsid w:val="007E578D"/>
    <w:rsid w:val="007E684E"/>
    <w:rsid w:val="007E6D19"/>
    <w:rsid w:val="007E6E69"/>
    <w:rsid w:val="007F74E9"/>
    <w:rsid w:val="00804D9B"/>
    <w:rsid w:val="00805484"/>
    <w:rsid w:val="00807830"/>
    <w:rsid w:val="00815A67"/>
    <w:rsid w:val="00815A68"/>
    <w:rsid w:val="0081713D"/>
    <w:rsid w:val="008174D0"/>
    <w:rsid w:val="00833548"/>
    <w:rsid w:val="00840756"/>
    <w:rsid w:val="00840F9B"/>
    <w:rsid w:val="008416C0"/>
    <w:rsid w:val="00843912"/>
    <w:rsid w:val="00843AF6"/>
    <w:rsid w:val="00844F2A"/>
    <w:rsid w:val="0085120B"/>
    <w:rsid w:val="008549DB"/>
    <w:rsid w:val="008561A1"/>
    <w:rsid w:val="00857F23"/>
    <w:rsid w:val="00860863"/>
    <w:rsid w:val="00862797"/>
    <w:rsid w:val="00866252"/>
    <w:rsid w:val="00867CEC"/>
    <w:rsid w:val="00867EC0"/>
    <w:rsid w:val="008706BC"/>
    <w:rsid w:val="008732C8"/>
    <w:rsid w:val="008743BF"/>
    <w:rsid w:val="00876964"/>
    <w:rsid w:val="00880E5C"/>
    <w:rsid w:val="00882EEC"/>
    <w:rsid w:val="00884B1D"/>
    <w:rsid w:val="0088543A"/>
    <w:rsid w:val="008872A9"/>
    <w:rsid w:val="00892AF8"/>
    <w:rsid w:val="00892D10"/>
    <w:rsid w:val="008973C1"/>
    <w:rsid w:val="008A49B2"/>
    <w:rsid w:val="008B446B"/>
    <w:rsid w:val="008B5005"/>
    <w:rsid w:val="008B62CB"/>
    <w:rsid w:val="008B6D80"/>
    <w:rsid w:val="008B7425"/>
    <w:rsid w:val="008C0701"/>
    <w:rsid w:val="008C29F0"/>
    <w:rsid w:val="008C6F6B"/>
    <w:rsid w:val="008C7B2F"/>
    <w:rsid w:val="008D2751"/>
    <w:rsid w:val="008D2FC8"/>
    <w:rsid w:val="008D48C2"/>
    <w:rsid w:val="008D545A"/>
    <w:rsid w:val="008D67BD"/>
    <w:rsid w:val="008E1A67"/>
    <w:rsid w:val="008E20DD"/>
    <w:rsid w:val="008E2319"/>
    <w:rsid w:val="008E7C91"/>
    <w:rsid w:val="008F0E1F"/>
    <w:rsid w:val="008F171F"/>
    <w:rsid w:val="008F1AFA"/>
    <w:rsid w:val="008F5FCA"/>
    <w:rsid w:val="008F624B"/>
    <w:rsid w:val="00904331"/>
    <w:rsid w:val="00907BC1"/>
    <w:rsid w:val="00915792"/>
    <w:rsid w:val="0092151D"/>
    <w:rsid w:val="00921DF8"/>
    <w:rsid w:val="00924DE9"/>
    <w:rsid w:val="00940236"/>
    <w:rsid w:val="0094325E"/>
    <w:rsid w:val="00943444"/>
    <w:rsid w:val="009513F9"/>
    <w:rsid w:val="0095460B"/>
    <w:rsid w:val="00955AD1"/>
    <w:rsid w:val="0096391C"/>
    <w:rsid w:val="00967473"/>
    <w:rsid w:val="0097085A"/>
    <w:rsid w:val="0097182D"/>
    <w:rsid w:val="00973E66"/>
    <w:rsid w:val="009761BF"/>
    <w:rsid w:val="00985CD8"/>
    <w:rsid w:val="00987A68"/>
    <w:rsid w:val="00987EDC"/>
    <w:rsid w:val="00990D8F"/>
    <w:rsid w:val="00991BA0"/>
    <w:rsid w:val="00995E87"/>
    <w:rsid w:val="009A6ACD"/>
    <w:rsid w:val="009C128F"/>
    <w:rsid w:val="009C1A68"/>
    <w:rsid w:val="009C736C"/>
    <w:rsid w:val="009D276A"/>
    <w:rsid w:val="009E3E6B"/>
    <w:rsid w:val="009F0F77"/>
    <w:rsid w:val="009F1FC7"/>
    <w:rsid w:val="00A02F51"/>
    <w:rsid w:val="00A03A91"/>
    <w:rsid w:val="00A067A7"/>
    <w:rsid w:val="00A15A15"/>
    <w:rsid w:val="00A21575"/>
    <w:rsid w:val="00A22959"/>
    <w:rsid w:val="00A24EE5"/>
    <w:rsid w:val="00A32BE6"/>
    <w:rsid w:val="00A33922"/>
    <w:rsid w:val="00A34246"/>
    <w:rsid w:val="00A369D9"/>
    <w:rsid w:val="00A418FF"/>
    <w:rsid w:val="00A442AA"/>
    <w:rsid w:val="00A44636"/>
    <w:rsid w:val="00A455A2"/>
    <w:rsid w:val="00A50900"/>
    <w:rsid w:val="00A643D6"/>
    <w:rsid w:val="00A65EAF"/>
    <w:rsid w:val="00A7003F"/>
    <w:rsid w:val="00A731C0"/>
    <w:rsid w:val="00A816F6"/>
    <w:rsid w:val="00A84A80"/>
    <w:rsid w:val="00A87703"/>
    <w:rsid w:val="00A975C6"/>
    <w:rsid w:val="00A97D65"/>
    <w:rsid w:val="00AA19F5"/>
    <w:rsid w:val="00AA41CC"/>
    <w:rsid w:val="00AB02F8"/>
    <w:rsid w:val="00AB285F"/>
    <w:rsid w:val="00AB3545"/>
    <w:rsid w:val="00AB426C"/>
    <w:rsid w:val="00AC06CC"/>
    <w:rsid w:val="00AC3CA2"/>
    <w:rsid w:val="00AC44D1"/>
    <w:rsid w:val="00AC632E"/>
    <w:rsid w:val="00AC6375"/>
    <w:rsid w:val="00AD14B4"/>
    <w:rsid w:val="00AD2EF4"/>
    <w:rsid w:val="00AD41DD"/>
    <w:rsid w:val="00AD5430"/>
    <w:rsid w:val="00AD5A1E"/>
    <w:rsid w:val="00AE0392"/>
    <w:rsid w:val="00AE27A3"/>
    <w:rsid w:val="00AE459A"/>
    <w:rsid w:val="00AE7B73"/>
    <w:rsid w:val="00AF0F9C"/>
    <w:rsid w:val="00AF5210"/>
    <w:rsid w:val="00AF6393"/>
    <w:rsid w:val="00AF6679"/>
    <w:rsid w:val="00B00C86"/>
    <w:rsid w:val="00B03A19"/>
    <w:rsid w:val="00B046DD"/>
    <w:rsid w:val="00B11DCC"/>
    <w:rsid w:val="00B138C8"/>
    <w:rsid w:val="00B20851"/>
    <w:rsid w:val="00B21513"/>
    <w:rsid w:val="00B245B7"/>
    <w:rsid w:val="00B25A49"/>
    <w:rsid w:val="00B30203"/>
    <w:rsid w:val="00B36919"/>
    <w:rsid w:val="00B40ABD"/>
    <w:rsid w:val="00B41A80"/>
    <w:rsid w:val="00B4272B"/>
    <w:rsid w:val="00B42FA0"/>
    <w:rsid w:val="00B51914"/>
    <w:rsid w:val="00B56B84"/>
    <w:rsid w:val="00B61375"/>
    <w:rsid w:val="00B64339"/>
    <w:rsid w:val="00B6446F"/>
    <w:rsid w:val="00B646F6"/>
    <w:rsid w:val="00B77DD5"/>
    <w:rsid w:val="00B80098"/>
    <w:rsid w:val="00B812F7"/>
    <w:rsid w:val="00B82BF4"/>
    <w:rsid w:val="00B9191A"/>
    <w:rsid w:val="00B95F52"/>
    <w:rsid w:val="00BA60E8"/>
    <w:rsid w:val="00BA71BB"/>
    <w:rsid w:val="00BB2737"/>
    <w:rsid w:val="00BB304E"/>
    <w:rsid w:val="00BB4A3C"/>
    <w:rsid w:val="00BB699B"/>
    <w:rsid w:val="00BC1A92"/>
    <w:rsid w:val="00BC1CA3"/>
    <w:rsid w:val="00BC1EB4"/>
    <w:rsid w:val="00BD3633"/>
    <w:rsid w:val="00BD7376"/>
    <w:rsid w:val="00BE077C"/>
    <w:rsid w:val="00BE185D"/>
    <w:rsid w:val="00BE272B"/>
    <w:rsid w:val="00BE3676"/>
    <w:rsid w:val="00BF1E38"/>
    <w:rsid w:val="00BF6582"/>
    <w:rsid w:val="00C01DE1"/>
    <w:rsid w:val="00C037D3"/>
    <w:rsid w:val="00C04838"/>
    <w:rsid w:val="00C121CA"/>
    <w:rsid w:val="00C16375"/>
    <w:rsid w:val="00C17DFB"/>
    <w:rsid w:val="00C33AC8"/>
    <w:rsid w:val="00C3429A"/>
    <w:rsid w:val="00C44B17"/>
    <w:rsid w:val="00C50F96"/>
    <w:rsid w:val="00C54AEF"/>
    <w:rsid w:val="00C55675"/>
    <w:rsid w:val="00C60F3F"/>
    <w:rsid w:val="00C65153"/>
    <w:rsid w:val="00C66886"/>
    <w:rsid w:val="00C66E7B"/>
    <w:rsid w:val="00C71131"/>
    <w:rsid w:val="00C71C5F"/>
    <w:rsid w:val="00C772FB"/>
    <w:rsid w:val="00C911DC"/>
    <w:rsid w:val="00C96BE2"/>
    <w:rsid w:val="00C971C7"/>
    <w:rsid w:val="00CA36F2"/>
    <w:rsid w:val="00CB170B"/>
    <w:rsid w:val="00CB55DD"/>
    <w:rsid w:val="00CC3BFA"/>
    <w:rsid w:val="00CD2341"/>
    <w:rsid w:val="00CE289D"/>
    <w:rsid w:val="00CE30EA"/>
    <w:rsid w:val="00CE738D"/>
    <w:rsid w:val="00CF1FAF"/>
    <w:rsid w:val="00CF4A3C"/>
    <w:rsid w:val="00D03012"/>
    <w:rsid w:val="00D13B78"/>
    <w:rsid w:val="00D238D6"/>
    <w:rsid w:val="00D25C04"/>
    <w:rsid w:val="00D34115"/>
    <w:rsid w:val="00D36612"/>
    <w:rsid w:val="00D3794D"/>
    <w:rsid w:val="00D40EA1"/>
    <w:rsid w:val="00D43148"/>
    <w:rsid w:val="00D44A73"/>
    <w:rsid w:val="00D46E58"/>
    <w:rsid w:val="00D50B43"/>
    <w:rsid w:val="00D56ED0"/>
    <w:rsid w:val="00D57968"/>
    <w:rsid w:val="00D6284B"/>
    <w:rsid w:val="00D7028D"/>
    <w:rsid w:val="00D8253A"/>
    <w:rsid w:val="00D90938"/>
    <w:rsid w:val="00DA067C"/>
    <w:rsid w:val="00DA24D4"/>
    <w:rsid w:val="00DA6666"/>
    <w:rsid w:val="00DC1ABA"/>
    <w:rsid w:val="00DC20AB"/>
    <w:rsid w:val="00DC44C8"/>
    <w:rsid w:val="00DE0EF1"/>
    <w:rsid w:val="00DF2599"/>
    <w:rsid w:val="00DF297A"/>
    <w:rsid w:val="00DF2C1A"/>
    <w:rsid w:val="00DF3DFD"/>
    <w:rsid w:val="00E010C5"/>
    <w:rsid w:val="00E015C2"/>
    <w:rsid w:val="00E03BF8"/>
    <w:rsid w:val="00E048B9"/>
    <w:rsid w:val="00E07310"/>
    <w:rsid w:val="00E106FD"/>
    <w:rsid w:val="00E11F59"/>
    <w:rsid w:val="00E17B92"/>
    <w:rsid w:val="00E20CE9"/>
    <w:rsid w:val="00E30F18"/>
    <w:rsid w:val="00E3389E"/>
    <w:rsid w:val="00E3474E"/>
    <w:rsid w:val="00E359CA"/>
    <w:rsid w:val="00E405EE"/>
    <w:rsid w:val="00E41EA1"/>
    <w:rsid w:val="00E46B47"/>
    <w:rsid w:val="00E47C0C"/>
    <w:rsid w:val="00E503EA"/>
    <w:rsid w:val="00E506FC"/>
    <w:rsid w:val="00E6171D"/>
    <w:rsid w:val="00E62161"/>
    <w:rsid w:val="00E66F59"/>
    <w:rsid w:val="00E7573E"/>
    <w:rsid w:val="00E77219"/>
    <w:rsid w:val="00E77D24"/>
    <w:rsid w:val="00E813C9"/>
    <w:rsid w:val="00E816BA"/>
    <w:rsid w:val="00E835F9"/>
    <w:rsid w:val="00E91634"/>
    <w:rsid w:val="00E94D05"/>
    <w:rsid w:val="00E9745E"/>
    <w:rsid w:val="00EA0024"/>
    <w:rsid w:val="00EA669D"/>
    <w:rsid w:val="00EA7DDC"/>
    <w:rsid w:val="00EB49A2"/>
    <w:rsid w:val="00EB4F80"/>
    <w:rsid w:val="00EB765E"/>
    <w:rsid w:val="00EC201D"/>
    <w:rsid w:val="00EC3602"/>
    <w:rsid w:val="00EC6150"/>
    <w:rsid w:val="00EE2FE4"/>
    <w:rsid w:val="00EE37DE"/>
    <w:rsid w:val="00EE53E1"/>
    <w:rsid w:val="00EE6021"/>
    <w:rsid w:val="00EF5CD5"/>
    <w:rsid w:val="00F01A2B"/>
    <w:rsid w:val="00F0413B"/>
    <w:rsid w:val="00F04D1C"/>
    <w:rsid w:val="00F07B4A"/>
    <w:rsid w:val="00F14E76"/>
    <w:rsid w:val="00F154E2"/>
    <w:rsid w:val="00F1565F"/>
    <w:rsid w:val="00F20FEF"/>
    <w:rsid w:val="00F253CD"/>
    <w:rsid w:val="00F3073D"/>
    <w:rsid w:val="00F36FF8"/>
    <w:rsid w:val="00F40D80"/>
    <w:rsid w:val="00F41F83"/>
    <w:rsid w:val="00F432A7"/>
    <w:rsid w:val="00F4461E"/>
    <w:rsid w:val="00F47288"/>
    <w:rsid w:val="00F47A9E"/>
    <w:rsid w:val="00F505B3"/>
    <w:rsid w:val="00F513AD"/>
    <w:rsid w:val="00F53BEF"/>
    <w:rsid w:val="00F564CF"/>
    <w:rsid w:val="00F57E55"/>
    <w:rsid w:val="00F643C7"/>
    <w:rsid w:val="00F66849"/>
    <w:rsid w:val="00F726DD"/>
    <w:rsid w:val="00F740A6"/>
    <w:rsid w:val="00F847EE"/>
    <w:rsid w:val="00F86897"/>
    <w:rsid w:val="00F96CC6"/>
    <w:rsid w:val="00FA1D5B"/>
    <w:rsid w:val="00FB0318"/>
    <w:rsid w:val="00FB2177"/>
    <w:rsid w:val="00FB3B71"/>
    <w:rsid w:val="00FB463A"/>
    <w:rsid w:val="00FB7CDD"/>
    <w:rsid w:val="00FC129F"/>
    <w:rsid w:val="00FC59A5"/>
    <w:rsid w:val="00FD0FCB"/>
    <w:rsid w:val="00FD2E08"/>
    <w:rsid w:val="00FD744D"/>
    <w:rsid w:val="00FD7EC6"/>
    <w:rsid w:val="00FE16DE"/>
    <w:rsid w:val="00FE2247"/>
    <w:rsid w:val="00FE410F"/>
    <w:rsid w:val="00FE4464"/>
    <w:rsid w:val="00FF0189"/>
    <w:rsid w:val="00FF0CA8"/>
    <w:rsid w:val="00FF16C9"/>
    <w:rsid w:val="00FF303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4301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semiHidden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2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7C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semiHidden/>
    <w:rsid w:val="004301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jud-text">
    <w:name w:val="jud-text"/>
    <w:basedOn w:val="Normal"/>
    <w:rsid w:val="004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ptexto">
    <w:name w:val="tptexto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E7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0A7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59"/>
    <w:unhideWhenUsed/>
    <w:rsid w:val="008F6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61BF"/>
    <w:rPr>
      <w:color w:val="800080" w:themeColor="followedHyperlink"/>
      <w:u w:val="single"/>
    </w:rPr>
  </w:style>
  <w:style w:type="paragraph" w:customStyle="1" w:styleId="LO-normal3">
    <w:name w:val="LO-normal3"/>
    <w:rsid w:val="00203CA1"/>
    <w:pPr>
      <w:suppressAutoHyphens/>
      <w:spacing w:before="120" w:after="120" w:line="360" w:lineRule="auto"/>
      <w:ind w:firstLine="2835"/>
      <w:jc w:val="both"/>
    </w:pPr>
    <w:rPr>
      <w:rFonts w:ascii="Arial" w:eastAsia="Arial" w:hAnsi="Arial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portal.stf.jus.br/processos/detalhe.asp?incidente=5883343" TargetMode="External" /><Relationship Id="rId7" Type="http://schemas.openxmlformats.org/officeDocument/2006/relationships/hyperlink" Target="http://www.planalto.gov.br/ccivil_03/Constituicao/Constituicao.htm" TargetMode="External" /><Relationship Id="rId8" Type="http://schemas.openxmlformats.org/officeDocument/2006/relationships/hyperlink" Target="http://www.planalto.gov.br/ccivil_03/leis/lcp/Lcp176.htm" TargetMode="External" /><Relationship Id="rId9" Type="http://schemas.openxmlformats.org/officeDocument/2006/relationships/header" Target="header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tse.jus.br/eleicoes/calendario-eleitoral/calendario-eleitoral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EC79-336D-449B-B248-518B1BB9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3554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15</cp:revision>
  <cp:lastPrinted>2021-05-27T14:59:00Z</cp:lastPrinted>
  <dcterms:created xsi:type="dcterms:W3CDTF">2024-04-03T19:27:00Z</dcterms:created>
  <dcterms:modified xsi:type="dcterms:W3CDTF">2024-04-03T20:09:00Z</dcterms:modified>
</cp:coreProperties>
</file>