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8C52E2" w:rsidP="00FB0318" w14:paraId="3612D339" w14:textId="2A5BA81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C52E2">
        <w:rPr>
          <w:rFonts w:asciiTheme="minorHAnsi" w:hAnsiTheme="minorHAnsi" w:cstheme="minorHAnsi"/>
          <w:b/>
          <w:color w:val="auto"/>
        </w:rPr>
        <w:t>Parecer J</w:t>
      </w:r>
      <w:r w:rsidRPr="008C52E2" w:rsidR="00E503EA">
        <w:rPr>
          <w:rFonts w:asciiTheme="minorHAnsi" w:hAnsiTheme="minorHAnsi" w:cstheme="minorHAnsi"/>
          <w:b/>
          <w:color w:val="auto"/>
        </w:rPr>
        <w:t>urídico</w:t>
      </w:r>
      <w:r w:rsidRPr="008C52E2">
        <w:rPr>
          <w:rFonts w:asciiTheme="minorHAnsi" w:hAnsiTheme="minorHAnsi" w:cstheme="minorHAnsi"/>
          <w:b/>
          <w:color w:val="auto"/>
        </w:rPr>
        <w:t xml:space="preserve"> nº </w:t>
      </w:r>
      <w:r w:rsidR="00ED6657">
        <w:rPr>
          <w:rFonts w:asciiTheme="minorHAnsi" w:hAnsiTheme="minorHAnsi" w:cstheme="minorHAnsi"/>
          <w:b/>
          <w:color w:val="auto"/>
        </w:rPr>
        <w:t>041</w:t>
      </w:r>
      <w:r w:rsidRPr="008C52E2" w:rsidR="00582F11">
        <w:rPr>
          <w:rFonts w:asciiTheme="minorHAnsi" w:hAnsiTheme="minorHAnsi" w:cstheme="minorHAnsi"/>
          <w:b/>
          <w:color w:val="auto"/>
        </w:rPr>
        <w:t>/</w:t>
      </w:r>
      <w:r w:rsidRPr="008C52E2">
        <w:rPr>
          <w:rFonts w:asciiTheme="minorHAnsi" w:hAnsiTheme="minorHAnsi" w:cstheme="minorHAnsi"/>
          <w:b/>
          <w:color w:val="auto"/>
        </w:rPr>
        <w:t>20</w:t>
      </w:r>
      <w:r w:rsidRPr="008C52E2" w:rsidR="00C65153">
        <w:rPr>
          <w:rFonts w:asciiTheme="minorHAnsi" w:hAnsiTheme="minorHAnsi" w:cstheme="minorHAnsi"/>
          <w:b/>
          <w:color w:val="auto"/>
        </w:rPr>
        <w:t>2</w:t>
      </w:r>
      <w:r w:rsidR="00763F8D">
        <w:rPr>
          <w:rFonts w:asciiTheme="minorHAnsi" w:hAnsiTheme="minorHAnsi" w:cstheme="minorHAnsi"/>
          <w:b/>
          <w:color w:val="auto"/>
        </w:rPr>
        <w:t>4</w:t>
      </w:r>
      <w:r w:rsidRPr="008C52E2" w:rsidR="00055A36">
        <w:rPr>
          <w:rFonts w:asciiTheme="minorHAnsi" w:hAnsiTheme="minorHAnsi" w:cstheme="minorHAnsi"/>
          <w:b/>
          <w:color w:val="auto"/>
        </w:rPr>
        <w:t xml:space="preserve"> </w:t>
      </w:r>
    </w:p>
    <w:p w:rsidR="00ED6657" w:rsidRPr="00ED6657" w:rsidP="0079319A" w14:paraId="28AF2BE0" w14:textId="35C9BBD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C52E2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763F8D">
        <w:rPr>
          <w:rFonts w:cstheme="minorHAnsi"/>
          <w:b/>
          <w:bCs/>
          <w:sz w:val="24"/>
          <w:szCs w:val="24"/>
        </w:rPr>
        <w:t>01</w:t>
      </w:r>
      <w:r>
        <w:rPr>
          <w:rFonts w:cstheme="minorHAnsi"/>
          <w:b/>
          <w:bCs/>
          <w:sz w:val="24"/>
          <w:szCs w:val="24"/>
        </w:rPr>
        <w:t>2</w:t>
      </w:r>
      <w:r w:rsidRPr="008C52E2">
        <w:rPr>
          <w:rFonts w:cstheme="minorHAnsi"/>
          <w:b/>
          <w:bCs/>
          <w:sz w:val="24"/>
          <w:szCs w:val="24"/>
        </w:rPr>
        <w:t>/20</w:t>
      </w:r>
      <w:r w:rsidRPr="008C52E2" w:rsidR="00C65153">
        <w:rPr>
          <w:rFonts w:cstheme="minorHAnsi"/>
          <w:b/>
          <w:bCs/>
          <w:sz w:val="24"/>
          <w:szCs w:val="24"/>
        </w:rPr>
        <w:t>2</w:t>
      </w:r>
      <w:r w:rsidR="00763F8D">
        <w:rPr>
          <w:rFonts w:cstheme="minorHAnsi"/>
          <w:b/>
          <w:bCs/>
          <w:sz w:val="24"/>
          <w:szCs w:val="24"/>
        </w:rPr>
        <w:t>4</w:t>
      </w:r>
      <w:r w:rsidRPr="008C52E2" w:rsidR="00055A36">
        <w:rPr>
          <w:rFonts w:cstheme="minorHAnsi"/>
          <w:b/>
          <w:bCs/>
          <w:sz w:val="24"/>
          <w:szCs w:val="24"/>
        </w:rPr>
        <w:t xml:space="preserve"> –</w:t>
      </w:r>
      <w:r w:rsidRPr="008C52E2" w:rsidR="008C52E2">
        <w:rPr>
          <w:rFonts w:cstheme="minorHAnsi"/>
          <w:b/>
          <w:bCs/>
          <w:sz w:val="24"/>
          <w:szCs w:val="24"/>
        </w:rPr>
        <w:t xml:space="preserve"> </w:t>
      </w:r>
      <w:r w:rsidRPr="00ED6657">
        <w:rPr>
          <w:rFonts w:cstheme="minorHAnsi"/>
          <w:sz w:val="24"/>
          <w:szCs w:val="24"/>
        </w:rPr>
  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</w:t>
      </w:r>
    </w:p>
    <w:p w:rsidR="005101D9" w:rsidRPr="008C52E2" w:rsidP="003B55E5" w14:paraId="3CE02196" w14:textId="67B814E1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C52E2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8C52E2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ED6657">
        <w:rPr>
          <w:rFonts w:cstheme="minorHAnsi"/>
          <w:b/>
          <w:bCs/>
          <w:sz w:val="24"/>
          <w:szCs w:val="24"/>
        </w:rPr>
        <w:t>5</w:t>
      </w:r>
      <w:r w:rsidRPr="008C52E2" w:rsidR="00840756">
        <w:rPr>
          <w:rFonts w:cstheme="minorHAnsi"/>
          <w:b/>
          <w:bCs/>
          <w:sz w:val="24"/>
          <w:szCs w:val="24"/>
        </w:rPr>
        <w:t>/202</w:t>
      </w:r>
      <w:r w:rsidR="00763F8D">
        <w:rPr>
          <w:rFonts w:cstheme="minorHAnsi"/>
          <w:b/>
          <w:bCs/>
          <w:sz w:val="24"/>
          <w:szCs w:val="24"/>
        </w:rPr>
        <w:t>4</w:t>
      </w:r>
      <w:r w:rsidRPr="008C52E2">
        <w:rPr>
          <w:rFonts w:cstheme="minorHAnsi"/>
          <w:b/>
          <w:bCs/>
          <w:sz w:val="24"/>
          <w:szCs w:val="24"/>
        </w:rPr>
        <w:t>.</w:t>
      </w:r>
    </w:p>
    <w:p w:rsidR="005101D9" w:rsidRPr="008C52E2" w:rsidP="00995E87" w14:paraId="0F01B010" w14:textId="7777777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C65153" w:rsidRPr="008C52E2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>À</w:t>
      </w:r>
      <w:r w:rsidRPr="008C52E2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8C52E2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8C52E2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8C52E2" w:rsidP="00053466" w14:paraId="4B40703B" w14:textId="56838828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8C52E2" w:rsidR="008C52E2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8C52E2">
        <w:rPr>
          <w:rFonts w:asciiTheme="minorHAnsi" w:hAnsiTheme="minorHAnsi" w:cstheme="minorHAnsi"/>
          <w:b/>
          <w:i/>
          <w:color w:val="auto"/>
        </w:rPr>
        <w:t>Vereador</w:t>
      </w:r>
      <w:r w:rsidRPr="008C52E2" w:rsidR="008C52E2">
        <w:rPr>
          <w:rFonts w:asciiTheme="minorHAnsi" w:hAnsiTheme="minorHAnsi" w:cstheme="minorHAnsi"/>
          <w:b/>
          <w:i/>
          <w:color w:val="auto"/>
        </w:rPr>
        <w:t xml:space="preserve"> Gabriel Bueno</w:t>
      </w:r>
      <w:r w:rsidRPr="008C52E2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C6150" w:rsidRPr="008C52E2" w:rsidP="00053466" w14:paraId="5BC2735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8C52E2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ab/>
      </w:r>
    </w:p>
    <w:p w:rsidR="00763F8D" w:rsidRPr="00ED6657" w:rsidP="00ED6657" w14:paraId="461B5850" w14:textId="4B928713">
      <w:pPr>
        <w:spacing w:after="240" w:line="360" w:lineRule="auto"/>
        <w:ind w:firstLine="1701"/>
        <w:jc w:val="both"/>
        <w:rPr>
          <w:rFonts w:cstheme="minorHAnsi"/>
          <w:i/>
          <w:sz w:val="24"/>
          <w:szCs w:val="24"/>
        </w:rPr>
      </w:pPr>
      <w:r w:rsidRPr="008C52E2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8C52E2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8C52E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C52E2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ED6657">
        <w:rPr>
          <w:rFonts w:cstheme="minorHAnsi"/>
          <w:i/>
          <w:sz w:val="24"/>
          <w:szCs w:val="24"/>
        </w:rPr>
        <w:t>“</w:t>
      </w:r>
      <w:r w:rsidRPr="00ED6657" w:rsidR="00ED6657">
        <w:rPr>
          <w:rFonts w:cstheme="minorHAnsi"/>
          <w:i/>
          <w:sz w:val="24"/>
          <w:szCs w:val="24"/>
        </w:rPr>
  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</w:t>
      </w:r>
      <w:r w:rsidRPr="00ED6657">
        <w:rPr>
          <w:rFonts w:cstheme="minorHAnsi"/>
          <w:i/>
          <w:sz w:val="24"/>
          <w:szCs w:val="24"/>
        </w:rPr>
        <w:t>”.</w:t>
      </w:r>
    </w:p>
    <w:p w:rsidR="00C65153" w:rsidRPr="008C52E2" w:rsidP="00053466" w14:paraId="71911B29" w14:textId="13E0745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i/>
          <w:sz w:val="24"/>
          <w:szCs w:val="24"/>
        </w:rPr>
        <w:t>Ab initio</w:t>
      </w:r>
      <w:r w:rsidRPr="008C52E2">
        <w:rPr>
          <w:rFonts w:cstheme="minorHAnsi"/>
          <w:sz w:val="24"/>
          <w:szCs w:val="24"/>
        </w:rPr>
        <w:t>, cumpre destacar a competência regimental</w:t>
      </w:r>
      <w:r w:rsidRPr="008C52E2" w:rsidR="00973E66">
        <w:rPr>
          <w:rFonts w:cstheme="minorHAnsi"/>
          <w:sz w:val="24"/>
          <w:szCs w:val="24"/>
        </w:rPr>
        <w:t xml:space="preserve"> da </w:t>
      </w:r>
      <w:r w:rsidRPr="008C52E2">
        <w:rPr>
          <w:rFonts w:cstheme="minorHAnsi"/>
          <w:sz w:val="24"/>
          <w:szCs w:val="24"/>
        </w:rPr>
        <w:t>Comissão de Justiça e Redação</w:t>
      </w:r>
      <w:r w:rsidRPr="008C52E2" w:rsidR="00973E66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8C52E2" w:rsidP="00055A36" w14:paraId="3996D272" w14:textId="4D01C1AA">
      <w:pPr>
        <w:spacing w:after="120" w:line="360" w:lineRule="auto"/>
        <w:ind w:firstLine="1701"/>
        <w:jc w:val="both"/>
        <w:rPr>
          <w:rFonts w:cstheme="minorHAnsi"/>
        </w:rPr>
      </w:pPr>
      <w:r w:rsidRPr="008C52E2">
        <w:rPr>
          <w:rFonts w:cstheme="minorHAnsi"/>
          <w:sz w:val="24"/>
          <w:szCs w:val="24"/>
        </w:rPr>
        <w:t>Outrossim</w:t>
      </w:r>
      <w:r w:rsidRPr="008C52E2">
        <w:rPr>
          <w:rFonts w:cstheme="minorHAnsi"/>
          <w:sz w:val="24"/>
          <w:szCs w:val="24"/>
        </w:rPr>
        <w:t>, ressalta-se que a opinião jurídica exarada nes</w:t>
      </w:r>
      <w:r w:rsidRPr="008C52E2" w:rsidR="00B20851">
        <w:rPr>
          <w:rFonts w:cstheme="minorHAnsi"/>
          <w:sz w:val="24"/>
          <w:szCs w:val="24"/>
        </w:rPr>
        <w:t>s</w:t>
      </w:r>
      <w:r w:rsidRPr="008C52E2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8C52E2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8C52E2" w:rsidR="00055A36">
        <w:rPr>
          <w:rFonts w:cstheme="minorHAnsi"/>
          <w:sz w:val="24"/>
          <w:szCs w:val="24"/>
        </w:rPr>
        <w:t xml:space="preserve"> </w:t>
      </w:r>
    </w:p>
    <w:p w:rsidR="00623AD7" w:rsidRPr="008C52E2" w:rsidP="00AA19F5" w14:paraId="26AE4FB9" w14:textId="73559669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8C52E2">
        <w:rPr>
          <w:rFonts w:asciiTheme="minorHAnsi" w:hAnsiTheme="minorHAnsi" w:cstheme="minorHAnsi"/>
          <w:color w:val="auto"/>
        </w:rPr>
        <w:t>Considerando-se o</w:t>
      </w:r>
      <w:r w:rsidRPr="008C52E2" w:rsidR="00F154E2">
        <w:rPr>
          <w:rFonts w:asciiTheme="minorHAnsi" w:hAnsiTheme="minorHAnsi" w:cstheme="minorHAnsi"/>
          <w:color w:val="auto"/>
        </w:rPr>
        <w:t>s</w:t>
      </w:r>
      <w:r w:rsidRPr="008C52E2" w:rsidR="00A32BE6">
        <w:rPr>
          <w:rFonts w:asciiTheme="minorHAnsi" w:hAnsiTheme="minorHAnsi" w:cstheme="minorHAnsi"/>
          <w:color w:val="auto"/>
        </w:rPr>
        <w:t xml:space="preserve"> aspecto</w:t>
      </w:r>
      <w:r w:rsidRPr="008C52E2" w:rsidR="00F154E2">
        <w:rPr>
          <w:rFonts w:asciiTheme="minorHAnsi" w:hAnsiTheme="minorHAnsi" w:cstheme="minorHAnsi"/>
          <w:color w:val="auto"/>
        </w:rPr>
        <w:t>s</w:t>
      </w:r>
      <w:r w:rsidRPr="008C52E2" w:rsidR="00A32BE6">
        <w:rPr>
          <w:rFonts w:asciiTheme="minorHAnsi" w:hAnsiTheme="minorHAnsi" w:cstheme="minorHAnsi"/>
          <w:color w:val="auto"/>
        </w:rPr>
        <w:t xml:space="preserve"> constitucional, legal e</w:t>
      </w:r>
      <w:r w:rsidRPr="008C52E2">
        <w:rPr>
          <w:rFonts w:asciiTheme="minorHAnsi" w:hAnsiTheme="minorHAnsi" w:cstheme="minorHAnsi"/>
          <w:color w:val="auto"/>
        </w:rPr>
        <w:t xml:space="preserve"> jurídico, passa-se </w:t>
      </w:r>
      <w:r w:rsidRPr="008C52E2" w:rsidR="002D1F88">
        <w:rPr>
          <w:rFonts w:asciiTheme="minorHAnsi" w:hAnsiTheme="minorHAnsi" w:cstheme="minorHAnsi"/>
          <w:color w:val="auto"/>
        </w:rPr>
        <w:t>a</w:t>
      </w:r>
      <w:r w:rsidRPr="008C52E2">
        <w:rPr>
          <w:rFonts w:asciiTheme="minorHAnsi" w:hAnsiTheme="minorHAnsi" w:cstheme="minorHAnsi"/>
          <w:color w:val="auto"/>
        </w:rPr>
        <w:t xml:space="preserve"> </w:t>
      </w:r>
      <w:r w:rsidRPr="008C52E2">
        <w:rPr>
          <w:rFonts w:asciiTheme="minorHAnsi" w:hAnsiTheme="minorHAnsi" w:cstheme="minorHAnsi"/>
          <w:b/>
          <w:color w:val="auto"/>
        </w:rPr>
        <w:t>análise técnica</w:t>
      </w:r>
      <w:r w:rsidRPr="008C52E2">
        <w:rPr>
          <w:rFonts w:asciiTheme="minorHAnsi" w:hAnsiTheme="minorHAnsi" w:cstheme="minorHAnsi"/>
          <w:color w:val="auto"/>
        </w:rPr>
        <w:t xml:space="preserve"> do projeto. </w:t>
      </w:r>
    </w:p>
    <w:p w:rsidR="003C2798" w:rsidP="008C52E2" w14:paraId="7B673169" w14:textId="31C1475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8C52E2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8C52E2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8C52E2">
        <w:rPr>
          <w:rFonts w:asciiTheme="minorHAnsi" w:hAnsiTheme="minorHAnsi" w:cstheme="minorHAnsi"/>
          <w:b/>
          <w:color w:val="auto"/>
        </w:rPr>
        <w:t>,</w:t>
      </w:r>
      <w:r w:rsidRPr="008C52E2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8C52E2" w:rsidR="006B1DD9">
        <w:rPr>
          <w:rFonts w:asciiTheme="minorHAnsi" w:hAnsiTheme="minorHAnsi" w:cstheme="minorHAnsi"/>
          <w:color w:val="auto"/>
        </w:rPr>
        <w:t xml:space="preserve">Federal </w:t>
      </w:r>
      <w:r w:rsidRPr="008C52E2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8C52E2" w:rsidR="008F1AFA">
        <w:rPr>
          <w:rFonts w:asciiTheme="minorHAnsi" w:hAnsiTheme="minorHAnsi" w:cstheme="minorHAnsi"/>
          <w:color w:val="auto"/>
        </w:rPr>
        <w:t xml:space="preserve">esse local </w:t>
      </w:r>
      <w:r w:rsidRPr="008C52E2" w:rsidR="000A2B7F">
        <w:rPr>
          <w:rFonts w:asciiTheme="minorHAnsi" w:hAnsiTheme="minorHAnsi" w:cstheme="minorHAnsi"/>
          <w:color w:val="auto"/>
        </w:rPr>
        <w:t>(art. 30, I</w:t>
      </w:r>
      <w:r w:rsidRPr="008C52E2" w:rsidR="008C52E2">
        <w:rPr>
          <w:rFonts w:asciiTheme="minorHAnsi" w:hAnsiTheme="minorHAnsi" w:cstheme="minorHAnsi"/>
          <w:color w:val="auto"/>
        </w:rPr>
        <w:t>, da CRFB)</w:t>
      </w:r>
      <w:r w:rsidR="0074436F">
        <w:rPr>
          <w:rFonts w:asciiTheme="minorHAnsi" w:hAnsiTheme="minorHAnsi" w:cstheme="minorHAnsi"/>
          <w:color w:val="auto"/>
        </w:rPr>
        <w:t>.</w:t>
      </w:r>
    </w:p>
    <w:p w:rsidR="00623AD7" w:rsidRPr="008C52E2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2E2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8C52E2" w:rsidP="006F7B51" w14:paraId="500D294B" w14:textId="77777777">
      <w:pPr>
        <w:spacing w:after="0" w:line="240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 xml:space="preserve">Art. 5º Compete ao Município, no exercício de sua autonomia, </w:t>
      </w:r>
      <w:r w:rsidRPr="008C52E2">
        <w:rPr>
          <w:rFonts w:cstheme="minorHAnsi"/>
          <w:b/>
          <w:i/>
          <w:u w:val="single"/>
        </w:rPr>
        <w:t>legislar sobre tudo quanto respeite ao interesse local,</w:t>
      </w:r>
      <w:r w:rsidRPr="008C52E2">
        <w:rPr>
          <w:rFonts w:cstheme="minorHAnsi"/>
          <w:b/>
          <w:i/>
        </w:rPr>
        <w:t xml:space="preserve"> </w:t>
      </w:r>
      <w:r w:rsidRPr="008C52E2">
        <w:rPr>
          <w:rFonts w:cstheme="minorHAnsi"/>
          <w:i/>
        </w:rPr>
        <w:t>tendo como objetivo o pleno desenvolvimento de suas funções sociais e garantir o bem-estar de seus habitantes, cabendo-lhe privativamente, entre outras, as seguintes atribuições:</w:t>
      </w:r>
    </w:p>
    <w:p w:rsidR="00623AD7" w:rsidRPr="008C52E2" w:rsidP="006F7B51" w14:paraId="23F5F8A4" w14:textId="1C57C6CF">
      <w:pPr>
        <w:spacing w:after="0" w:line="240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>(...)</w:t>
      </w:r>
    </w:p>
    <w:p w:rsidR="00623AD7" w:rsidRPr="008C52E2" w:rsidP="006F7B51" w14:paraId="2E506F9D" w14:textId="4F87796E">
      <w:pPr>
        <w:spacing w:after="0" w:line="240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>“</w:t>
      </w:r>
      <w:r w:rsidRPr="008C52E2">
        <w:rPr>
          <w:rFonts w:cstheme="minorHAnsi"/>
          <w:i/>
        </w:rPr>
        <w:t>Art.</w:t>
      </w:r>
      <w:r w:rsidRPr="008C52E2">
        <w:rPr>
          <w:rFonts w:cstheme="minorHAnsi"/>
          <w:i/>
        </w:rPr>
        <w:t xml:space="preserve"> 8º </w:t>
      </w:r>
      <w:r w:rsidRPr="008C52E2">
        <w:rPr>
          <w:rFonts w:cstheme="minorHAnsi"/>
          <w:b/>
          <w:i/>
        </w:rPr>
        <w:t>Cabe à Câmara</w:t>
      </w:r>
      <w:r w:rsidRPr="008C52E2">
        <w:rPr>
          <w:rFonts w:cstheme="minorHAnsi"/>
          <w:i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623AD7" w:rsidP="006F7B51" w14:paraId="6D57EEB3" w14:textId="03743BEC">
      <w:pPr>
        <w:spacing w:after="0" w:line="240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 xml:space="preserve">I - </w:t>
      </w:r>
      <w:r w:rsidRPr="008C52E2">
        <w:rPr>
          <w:rFonts w:cstheme="minorHAnsi"/>
          <w:b/>
          <w:i/>
        </w:rPr>
        <w:t>legislar sobre assuntos de interesse local;</w:t>
      </w:r>
      <w:r w:rsidRPr="008C52E2" w:rsidR="006E4468">
        <w:rPr>
          <w:rFonts w:cstheme="minorHAnsi"/>
          <w:i/>
        </w:rPr>
        <w:t xml:space="preserve"> </w:t>
      </w:r>
      <w:r w:rsidRPr="008C52E2" w:rsidR="006E4468">
        <w:rPr>
          <w:rFonts w:cstheme="minorHAnsi"/>
          <w:i/>
        </w:rPr>
        <w:t>“</w:t>
      </w:r>
    </w:p>
    <w:p w:rsidR="00CD3D40" w:rsidRPr="008C52E2" w:rsidP="00EA669D" w14:paraId="246FAF4B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8C52E2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ab/>
      </w:r>
      <w:r w:rsidRPr="008C52E2">
        <w:rPr>
          <w:rFonts w:cstheme="minorHAnsi"/>
          <w:sz w:val="24"/>
          <w:szCs w:val="24"/>
        </w:rPr>
        <w:tab/>
        <w:t xml:space="preserve">   </w:t>
      </w:r>
      <w:r w:rsidRPr="008C52E2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8C52E2" w:rsidP="008C52E2" w14:paraId="37CA77C0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b/>
          <w:i/>
          <w:color w:val="000000"/>
        </w:rPr>
      </w:pPr>
      <w:r w:rsidRPr="008C52E2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8C52E2">
        <w:rPr>
          <w:rFonts w:eastAsia="Calibri" w:cstheme="minorHAnsi"/>
          <w:i/>
          <w:color w:val="000000"/>
        </w:rPr>
        <w:t xml:space="preserve">essa </w:t>
      </w:r>
      <w:r w:rsidRPr="008C52E2">
        <w:rPr>
          <w:rFonts w:eastAsia="Calibri" w:cstheme="minorHAnsi"/>
          <w:i/>
          <w:color w:val="000000"/>
        </w:rPr>
        <w:t>privatividade</w:t>
      </w:r>
      <w:r w:rsidRPr="008C52E2">
        <w:rPr>
          <w:rFonts w:eastAsia="Calibri" w:cstheme="minorHAnsi"/>
          <w:i/>
          <w:color w:val="000000"/>
        </w:rPr>
        <w:t>, essa unicidade, bem reduzido</w:t>
      </w:r>
      <w:r w:rsidRPr="008C52E2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8C52E2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8C52E2">
        <w:rPr>
          <w:rFonts w:eastAsia="Calibri" w:cstheme="minorHAnsi"/>
          <w:b/>
          <w:i/>
          <w:color w:val="000000"/>
        </w:rPr>
        <w:t>gn</w:t>
      </w:r>
      <w:r w:rsidRPr="008C52E2">
        <w:rPr>
          <w:rFonts w:eastAsia="Calibri" w:cstheme="minorHAnsi"/>
          <w:b/>
          <w:i/>
          <w:color w:val="000000"/>
        </w:rPr>
        <w:t>)</w:t>
      </w:r>
    </w:p>
    <w:p w:rsidR="00995E87" w:rsidRPr="008C52E2" w:rsidP="008C52E2" w14:paraId="6D60DF28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  <w:color w:val="000000"/>
        </w:rPr>
      </w:pPr>
      <w:r w:rsidRPr="008C52E2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8C52E2">
        <w:rPr>
          <w:rFonts w:eastAsia="Calibri" w:cstheme="minorHAnsi"/>
          <w:i/>
          <w:color w:val="000000"/>
        </w:rPr>
        <w:t>98)</w:t>
      </w:r>
    </w:p>
    <w:p w:rsidR="00057AD0" w:rsidRPr="008C52E2" w:rsidP="00057AD0" w14:paraId="67461487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ab/>
      </w:r>
      <w:r w:rsidRPr="008C52E2">
        <w:rPr>
          <w:rFonts w:cstheme="minorHAnsi"/>
          <w:sz w:val="24"/>
          <w:szCs w:val="24"/>
        </w:rPr>
        <w:tab/>
      </w:r>
    </w:p>
    <w:p w:rsidR="003B55E5" w:rsidRPr="008C52E2" w:rsidP="003B55E5" w14:paraId="3E39C0E2" w14:textId="47F4AD64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="00423245">
        <w:rPr>
          <w:rFonts w:asciiTheme="minorHAnsi" w:hAnsiTheme="minorHAnsi" w:cstheme="minorHAnsi"/>
          <w:szCs w:val="24"/>
        </w:rPr>
        <w:t>o</w:t>
      </w:r>
      <w:r w:rsidR="006F7B51">
        <w:rPr>
          <w:rFonts w:asciiTheme="minorHAnsi" w:hAnsiTheme="minorHAnsi" w:cstheme="minorHAnsi"/>
          <w:szCs w:val="24"/>
        </w:rPr>
        <w:t xml:space="preserve"> que tange</w:t>
      </w:r>
      <w:r w:rsidR="0042324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à estruturação dos</w:t>
      </w:r>
      <w:r w:rsidR="00423245">
        <w:rPr>
          <w:rFonts w:asciiTheme="minorHAnsi" w:hAnsiTheme="minorHAnsi" w:cstheme="minorHAnsi"/>
          <w:szCs w:val="24"/>
        </w:rPr>
        <w:t xml:space="preserve"> órgãos municipais a</w:t>
      </w:r>
      <w:r w:rsidRPr="008C52E2">
        <w:rPr>
          <w:rFonts w:asciiTheme="minorHAnsi" w:hAnsiTheme="minorHAnsi" w:cstheme="minorHAnsi"/>
          <w:szCs w:val="24"/>
        </w:rPr>
        <w:t xml:space="preserve"> Lei Orgânica estabelece que </w:t>
      </w:r>
      <w:r w:rsidRPr="008C52E2" w:rsidR="00AE459A">
        <w:rPr>
          <w:rFonts w:asciiTheme="minorHAnsi" w:hAnsiTheme="minorHAnsi" w:cstheme="minorHAnsi"/>
          <w:szCs w:val="24"/>
        </w:rPr>
        <w:t>a matéria</w:t>
      </w:r>
      <w:r w:rsidRPr="008C52E2">
        <w:rPr>
          <w:rFonts w:asciiTheme="minorHAnsi" w:hAnsiTheme="minorHAnsi" w:cstheme="minorHAnsi"/>
          <w:szCs w:val="24"/>
        </w:rPr>
        <w:t xml:space="preserve"> </w:t>
      </w:r>
      <w:r w:rsidRPr="008C52E2">
        <w:rPr>
          <w:rFonts w:asciiTheme="minorHAnsi" w:hAnsiTheme="minorHAnsi" w:cstheme="minorHAnsi"/>
          <w:szCs w:val="24"/>
        </w:rPr>
        <w:t>deve</w:t>
      </w:r>
      <w:r w:rsidRPr="008C52E2">
        <w:rPr>
          <w:rFonts w:asciiTheme="minorHAnsi" w:hAnsiTheme="minorHAnsi" w:cstheme="minorHAnsi"/>
          <w:szCs w:val="24"/>
        </w:rPr>
        <w:t xml:space="preserve"> ser submetida à apreciação da Câmara:</w:t>
      </w:r>
    </w:p>
    <w:p w:rsidR="003B55E5" w:rsidRPr="008C52E2" w:rsidP="008C52E2" w14:paraId="36488C4C" w14:textId="213C36CC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52E2">
        <w:rPr>
          <w:rFonts w:asciiTheme="minorHAnsi" w:hAnsiTheme="minorHAns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3B55E5" w:rsidRPr="008C52E2" w:rsidP="008C52E2" w14:paraId="4F7FF05F" w14:textId="69567EBA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52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000DD6" w:rsidRPr="008C52E2" w:rsidP="008C52E2" w14:paraId="7FC7E0DF" w14:textId="6A77AB4D">
      <w:pPr>
        <w:pStyle w:val="BodyText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C52E2">
        <w:rPr>
          <w:rFonts w:asciiTheme="minorHAnsi" w:hAnsiTheme="minorHAnsi" w:cstheme="minorHAnsi"/>
          <w:b/>
          <w:i/>
          <w:sz w:val="22"/>
          <w:szCs w:val="22"/>
        </w:rPr>
        <w:t>XI - autorizar a criação, estruturação e atribuições das Secretarias e órgãos da Administração;</w:t>
      </w:r>
    </w:p>
    <w:p w:rsidR="003B55E5" w:rsidRPr="008C52E2" w:rsidP="008C52E2" w14:paraId="15181B4B" w14:textId="16BC43C1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52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43016F" w:rsidRPr="008C52E2" w:rsidP="003B55E5" w14:paraId="33E8A41B" w14:textId="578F5A7E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Quanto</w:t>
      </w:r>
      <w:r w:rsidRPr="008C52E2" w:rsidR="00F96CC6">
        <w:rPr>
          <w:rFonts w:asciiTheme="minorHAnsi" w:hAnsiTheme="minorHAnsi" w:cstheme="minorHAnsi"/>
          <w:szCs w:val="24"/>
        </w:rPr>
        <w:t xml:space="preserve"> à </w:t>
      </w:r>
      <w:r w:rsidRPr="008C52E2" w:rsidR="00F96CC6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8C52E2" w:rsidR="00F96CC6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8C52E2" w:rsidR="00F96CC6">
        <w:rPr>
          <w:rFonts w:asciiTheme="minorHAnsi" w:hAnsiTheme="minorHAnsi" w:cstheme="minorHAnsi"/>
          <w:szCs w:val="24"/>
        </w:rPr>
        <w:t>trata-se</w:t>
      </w:r>
      <w:r w:rsidRPr="008C52E2" w:rsidR="00F96CC6">
        <w:rPr>
          <w:rFonts w:asciiTheme="minorHAnsi" w:hAnsiTheme="minorHAnsi" w:cstheme="minorHAnsi"/>
          <w:szCs w:val="24"/>
        </w:rPr>
        <w:t xml:space="preserve"> de iniciativa privativa do Executivo</w:t>
      </w:r>
      <w:r w:rsidRPr="008C52E2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8C52E2">
        <w:rPr>
          <w:rFonts w:asciiTheme="minorHAnsi" w:hAnsiTheme="minorHAnsi" w:cstheme="minorHAnsi"/>
          <w:i/>
          <w:szCs w:val="24"/>
        </w:rPr>
        <w:t>in verbis</w:t>
      </w:r>
      <w:r w:rsidRPr="008C52E2">
        <w:rPr>
          <w:rFonts w:asciiTheme="minorHAnsi" w:hAnsiTheme="minorHAnsi" w:cstheme="minorHAnsi"/>
          <w:szCs w:val="24"/>
        </w:rPr>
        <w:t>:</w:t>
      </w:r>
    </w:p>
    <w:p w:rsidR="0043016F" w:rsidRPr="008C52E2" w:rsidP="008C52E2" w14:paraId="71B87B58" w14:textId="1647C4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szCs w:val="24"/>
        </w:rPr>
        <w:t>Constituição Bandeirante</w:t>
      </w:r>
    </w:p>
    <w:p w:rsidR="0043016F" w:rsidRPr="008C52E2" w:rsidP="008C52E2" w14:paraId="60274E64" w14:textId="22535389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Artigo 24</w:t>
      </w:r>
      <w:r w:rsidRPr="008C52E2">
        <w:rPr>
          <w:rFonts w:cstheme="minorHAnsi"/>
          <w:i/>
        </w:rPr>
        <w:t> </w:t>
      </w:r>
      <w:r w:rsidRPr="008C52E2">
        <w:rPr>
          <w:rFonts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8C52E2" w:rsidP="008C52E2" w14:paraId="5EF72905" w14:textId="77777777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[...]</w:t>
      </w:r>
    </w:p>
    <w:p w:rsidR="0043016F" w:rsidRPr="008C52E2" w:rsidP="008C52E2" w14:paraId="4AED84B9" w14:textId="77777777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8C52E2" w:rsidP="008C52E2" w14:paraId="15099A3B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CESP_ART_024_2_1"/>
      <w:bookmarkEnd w:id="0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 criação e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extinção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8C52E2" w:rsidP="008C52E2" w14:paraId="2C6E87ED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1" w:name="CESP_ART_024_2_2"/>
      <w:bookmarkEnd w:id="1"/>
      <w:r w:rsidRPr="008C52E2">
        <w:rPr>
          <w:rFonts w:asciiTheme="minorHAnsi" w:hAnsiTheme="minorHAnsi" w:cstheme="minorHAnsi"/>
          <w:b/>
          <w:i/>
          <w:color w:val="000000"/>
          <w:sz w:val="22"/>
          <w:szCs w:val="22"/>
        </w:rPr>
        <w:t>2</w:t>
      </w:r>
      <w:r w:rsidRPr="008C52E2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b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8C52E2" w:rsidP="008C52E2" w14:paraId="2761554F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CESP_ART_024_2_3"/>
      <w:bookmarkEnd w:id="2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8C52E2" w:rsidP="008C52E2" w14:paraId="5C1272BE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4"/>
      <w:bookmarkEnd w:id="3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8C52E2" w:rsidP="008C52E2" w14:paraId="4AC8C1F5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RPr="008C52E2" w:rsidP="008C52E2" w14:paraId="12C5B32A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7E6E69" w:rsidRPr="008C52E2" w:rsidP="008C52E2" w14:paraId="3C0743E4" w14:textId="77777777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43016F" w:rsidRPr="008C52E2" w:rsidP="008C52E2" w14:paraId="33E85CB5" w14:textId="762BC3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szCs w:val="24"/>
        </w:rPr>
        <w:t>Lei Orgânica de Valinhos</w:t>
      </w:r>
    </w:p>
    <w:p w:rsidR="0043016F" w:rsidRPr="008C52E2" w:rsidP="008C52E2" w14:paraId="16B2E199" w14:textId="77777777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8C52E2" w:rsidP="008C52E2" w14:paraId="6785750F" w14:textId="77777777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I - criação e extinção de cargos, funções ou empregos públicos na administração direta e autárquica, bem como a fixação da respectiva remuneração;</w:t>
      </w:r>
    </w:p>
    <w:p w:rsidR="0043016F" w:rsidRPr="008C52E2" w:rsidP="008C52E2" w14:paraId="05E8AF6C" w14:textId="77777777">
      <w:pPr>
        <w:spacing w:after="0" w:line="240" w:lineRule="auto"/>
        <w:ind w:left="2268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8C52E2" w:rsidP="008C52E2" w14:paraId="4A9E7616" w14:textId="77777777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 xml:space="preserve">III - servidores públicos do Município, seu regime jurídico, provimento de cargos, estabilidade e aposentadoria; </w:t>
      </w:r>
    </w:p>
    <w:p w:rsidR="0043016F" w:rsidRPr="008C52E2" w:rsidP="008C52E2" w14:paraId="3C24F825" w14:textId="77777777">
      <w:pPr>
        <w:spacing w:after="0" w:line="240" w:lineRule="auto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IV - abertura de créditos adicionais.</w:t>
      </w:r>
    </w:p>
    <w:p w:rsidR="007E6E69" w:rsidRPr="008C52E2" w:rsidP="0043016F" w14:paraId="717F4F04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</w:p>
    <w:p w:rsidR="00A86A47" w:rsidP="00A86A47" w14:paraId="299A166D" w14:textId="6829889D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A86A47">
        <w:rPr>
          <w:rFonts w:asciiTheme="minorHAnsi" w:hAnsiTheme="minorHAnsi" w:cstheme="minorHAnsi"/>
          <w:szCs w:val="24"/>
        </w:rPr>
        <w:t>Noutro aspecto,</w:t>
      </w:r>
      <w:r w:rsidRPr="00A86A47">
        <w:rPr>
          <w:rFonts w:asciiTheme="minorHAnsi" w:hAnsiTheme="minorHAnsi" w:cstheme="minorHAnsi"/>
          <w:szCs w:val="24"/>
        </w:rPr>
        <w:t xml:space="preserve"> </w:t>
      </w:r>
      <w:r w:rsidRPr="00404D83">
        <w:rPr>
          <w:rFonts w:asciiTheme="minorHAnsi" w:hAnsiTheme="minorHAnsi" w:cstheme="minorHAnsi"/>
          <w:i/>
          <w:szCs w:val="24"/>
        </w:rPr>
        <w:t>data maxima venia</w:t>
      </w:r>
      <w:r w:rsidRPr="00A86A47">
        <w:rPr>
          <w:rFonts w:asciiTheme="minorHAnsi" w:hAnsiTheme="minorHAnsi" w:cstheme="minorHAnsi"/>
          <w:szCs w:val="24"/>
        </w:rPr>
        <w:t xml:space="preserve"> sugerimos a supressão da expressão “...</w:t>
      </w:r>
      <w:r>
        <w:rPr>
          <w:rFonts w:asciiTheme="minorHAnsi" w:hAnsiTheme="minorHAnsi" w:cstheme="minorHAnsi"/>
          <w:szCs w:val="24"/>
        </w:rPr>
        <w:t xml:space="preserve"> </w:t>
      </w:r>
      <w:r w:rsidRPr="00404D83">
        <w:rPr>
          <w:rFonts w:asciiTheme="minorHAnsi" w:hAnsiTheme="minorHAnsi" w:cstheme="minorHAnsi"/>
          <w:i/>
          <w:szCs w:val="24"/>
        </w:rPr>
        <w:t xml:space="preserve">assegurado o exercício do controle externo dessa atividade pelo Ministério Público” </w:t>
      </w:r>
      <w:r w:rsidR="00404D83">
        <w:rPr>
          <w:rFonts w:asciiTheme="minorHAnsi" w:hAnsiTheme="minorHAnsi" w:cstheme="minorHAnsi"/>
          <w:szCs w:val="24"/>
        </w:rPr>
        <w:t>constante</w:t>
      </w:r>
      <w:r w:rsidRPr="00A86A47">
        <w:rPr>
          <w:rFonts w:asciiTheme="minorHAnsi" w:hAnsiTheme="minorHAnsi" w:cstheme="minorHAnsi"/>
          <w:szCs w:val="24"/>
        </w:rPr>
        <w:t xml:space="preserve"> do </w:t>
      </w:r>
      <w:r w:rsidRPr="00404D83">
        <w:rPr>
          <w:rFonts w:asciiTheme="minorHAnsi" w:hAnsiTheme="minorHAnsi" w:cstheme="minorHAnsi"/>
          <w:i/>
          <w:szCs w:val="24"/>
        </w:rPr>
        <w:t>caput</w:t>
      </w:r>
      <w:r w:rsidRPr="00A86A47">
        <w:rPr>
          <w:rFonts w:asciiTheme="minorHAnsi" w:hAnsiTheme="minorHAnsi" w:cstheme="minorHAnsi"/>
          <w:szCs w:val="24"/>
        </w:rPr>
        <w:t xml:space="preserve"> do art. 11, bem como do parágrafo único do art. 16, por</w:t>
      </w:r>
      <w:r>
        <w:rPr>
          <w:rFonts w:asciiTheme="minorHAnsi" w:hAnsiTheme="minorHAnsi" w:cstheme="minorHAnsi"/>
          <w:szCs w:val="24"/>
        </w:rPr>
        <w:t xml:space="preserve">quanto </w:t>
      </w:r>
      <w:r w:rsidRPr="00216FC3">
        <w:rPr>
          <w:rFonts w:asciiTheme="minorHAnsi" w:hAnsiTheme="minorHAnsi" w:cstheme="minorHAnsi"/>
          <w:szCs w:val="24"/>
        </w:rPr>
        <w:t>confere</w:t>
      </w:r>
      <w:r w:rsidR="00404D83">
        <w:rPr>
          <w:rFonts w:asciiTheme="minorHAnsi" w:hAnsiTheme="minorHAnsi" w:cstheme="minorHAnsi"/>
          <w:szCs w:val="24"/>
        </w:rPr>
        <w:t>m atribuições</w:t>
      </w:r>
      <w:r w:rsidRPr="00216FC3">
        <w:rPr>
          <w:rFonts w:asciiTheme="minorHAnsi" w:hAnsiTheme="minorHAnsi" w:cstheme="minorHAnsi"/>
          <w:szCs w:val="24"/>
        </w:rPr>
        <w:t xml:space="preserve"> a órgãos estaduais.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1900C3" w:rsidRPr="0057520E" w:rsidP="00207998" w14:paraId="41CB1687" w14:textId="3F48080B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A86A47">
        <w:rPr>
          <w:rFonts w:asciiTheme="minorHAnsi" w:hAnsiTheme="minorHAnsi" w:cstheme="minorHAnsi"/>
          <w:szCs w:val="24"/>
        </w:rPr>
        <w:t xml:space="preserve"> </w:t>
      </w:r>
      <w:r w:rsidRPr="00C877A8">
        <w:rPr>
          <w:rFonts w:asciiTheme="minorHAnsi" w:hAnsiTheme="minorHAnsi" w:cstheme="minorHAnsi"/>
          <w:szCs w:val="24"/>
        </w:rPr>
        <w:t xml:space="preserve">Por fim, quanto ao aspecto gramatical e lógico </w:t>
      </w:r>
      <w:r w:rsidR="0074436F">
        <w:rPr>
          <w:rFonts w:asciiTheme="minorHAnsi" w:hAnsiTheme="minorHAnsi" w:cstheme="minorHAnsi"/>
          <w:szCs w:val="24"/>
        </w:rPr>
        <w:t xml:space="preserve">o projeto </w:t>
      </w:r>
      <w:r w:rsidR="00012954">
        <w:rPr>
          <w:rFonts w:asciiTheme="minorHAnsi" w:hAnsiTheme="minorHAnsi" w:cstheme="minorHAnsi"/>
          <w:szCs w:val="24"/>
        </w:rPr>
        <w:t>em atenção</w:t>
      </w:r>
      <w:r w:rsidR="0074436F">
        <w:rPr>
          <w:rFonts w:asciiTheme="minorHAnsi" w:hAnsiTheme="minorHAnsi" w:cstheme="minorHAnsi"/>
          <w:szCs w:val="24"/>
        </w:rPr>
        <w:t xml:space="preserve"> </w:t>
      </w:r>
      <w:r w:rsidRPr="00C877A8">
        <w:rPr>
          <w:rFonts w:asciiTheme="minorHAnsi" w:hAnsiTheme="minorHAnsi" w:cstheme="minorHAnsi"/>
          <w:szCs w:val="24"/>
        </w:rPr>
        <w:t>aos preceitos da Lei Complementar nº 95 de 1998</w:t>
      </w:r>
      <w:r w:rsidR="00012954">
        <w:rPr>
          <w:rFonts w:asciiTheme="minorHAnsi" w:hAnsiTheme="minorHAnsi" w:cstheme="minorHAnsi"/>
          <w:szCs w:val="24"/>
        </w:rPr>
        <w:t>,</w:t>
      </w:r>
      <w:r w:rsidRPr="00C877A8">
        <w:rPr>
          <w:rFonts w:asciiTheme="minorHAnsi" w:hAnsiTheme="minorHAnsi" w:cstheme="minorHAnsi"/>
          <w:szCs w:val="24"/>
        </w:rPr>
        <w:t xml:space="preserve"> que dispõe sobre a elaboração, redação, alteração e</w:t>
      </w:r>
      <w:r w:rsidR="0074436F">
        <w:rPr>
          <w:rFonts w:asciiTheme="minorHAnsi" w:hAnsiTheme="minorHAnsi" w:cstheme="minorHAnsi"/>
          <w:szCs w:val="24"/>
        </w:rPr>
        <w:t xml:space="preserve"> consolidação das leis</w:t>
      </w:r>
      <w:r w:rsidRPr="00012954" w:rsidR="00012954">
        <w:rPr>
          <w:rFonts w:asciiTheme="minorHAnsi" w:hAnsiTheme="minorHAnsi" w:cstheme="minorHAnsi"/>
          <w:szCs w:val="24"/>
        </w:rPr>
        <w:t>, pedimos vênia para sugerir a supressão do art. 20, porquanto</w:t>
      </w:r>
      <w:r w:rsidR="00012954">
        <w:rPr>
          <w:rFonts w:asciiTheme="minorHAnsi" w:hAnsiTheme="minorHAnsi" w:cstheme="minorHAnsi"/>
          <w:szCs w:val="24"/>
        </w:rPr>
        <w:t xml:space="preserve"> já consta do art. 19 a possibilidade de expedição de normas complementares.</w:t>
      </w:r>
      <w:r w:rsidR="00012954">
        <w:t xml:space="preserve"> </w:t>
      </w:r>
    </w:p>
    <w:p w:rsidR="00C911DC" w:rsidRPr="008C52E2" w:rsidP="00207998" w14:paraId="43A7A701" w14:textId="1C38F4EA">
      <w:pPr>
        <w:pStyle w:val="corpodapea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57520E">
        <w:rPr>
          <w:rFonts w:asciiTheme="minorHAnsi" w:hAnsiTheme="minorHAnsi" w:cs="Calibri"/>
        </w:rPr>
        <w:t xml:space="preserve">Ante todo o exposto, </w:t>
      </w:r>
      <w:r w:rsidRPr="0057520E" w:rsidR="00D36612">
        <w:rPr>
          <w:rFonts w:asciiTheme="minorHAnsi" w:hAnsiTheme="minorHAnsi" w:cs="Calibri"/>
        </w:rPr>
        <w:t>opinamos pela constitucionalidade e legalidade do projeto</w:t>
      </w:r>
      <w:r w:rsidR="00CF0188">
        <w:rPr>
          <w:rFonts w:asciiTheme="minorHAnsi" w:hAnsiTheme="minorHAnsi" w:cs="Calibri"/>
        </w:rPr>
        <w:t>, ressal</w:t>
      </w:r>
      <w:r w:rsidR="00A86A47">
        <w:rPr>
          <w:rFonts w:asciiTheme="minorHAnsi" w:hAnsiTheme="minorHAnsi" w:cs="Calibri"/>
        </w:rPr>
        <w:t xml:space="preserve">vadas observações acima atinentes aos artigos 11, </w:t>
      </w:r>
      <w:r w:rsidR="005A2BAE">
        <w:rPr>
          <w:rFonts w:asciiTheme="minorHAnsi" w:hAnsiTheme="minorHAnsi" w:cs="Calibri"/>
        </w:rPr>
        <w:t xml:space="preserve">16, parágrafo único </w:t>
      </w:r>
      <w:bookmarkStart w:id="4" w:name="_GoBack"/>
      <w:bookmarkEnd w:id="4"/>
      <w:r w:rsidR="00A86A47">
        <w:rPr>
          <w:rFonts w:asciiTheme="minorHAnsi" w:hAnsiTheme="minorHAnsi" w:cs="Calibri"/>
        </w:rPr>
        <w:t>e 20</w:t>
      </w:r>
      <w:r w:rsidRPr="0057520E" w:rsidR="0074436F">
        <w:rPr>
          <w:rFonts w:asciiTheme="minorHAnsi" w:hAnsiTheme="minorHAnsi" w:cs="Calibri"/>
        </w:rPr>
        <w:t xml:space="preserve">. </w:t>
      </w:r>
      <w:r w:rsidRPr="0057520E" w:rsidR="0061442B">
        <w:rPr>
          <w:rFonts w:eastAsia="Calibri" w:asciiTheme="minorHAnsi" w:hAnsiTheme="minorHAnsi" w:cstheme="minorHAnsi"/>
        </w:rPr>
        <w:t>Sobre o mérito, manifestar-se</w:t>
      </w:r>
      <w:r w:rsidRPr="008C52E2" w:rsidR="0061442B">
        <w:rPr>
          <w:rFonts w:eastAsia="Calibri" w:asciiTheme="minorHAnsi" w:hAnsiTheme="minorHAnsi" w:cstheme="minorHAnsi"/>
        </w:rPr>
        <w:t>-á o Plenário de forma soberana.</w:t>
      </w:r>
    </w:p>
    <w:p w:rsidR="001900C3" w:rsidRPr="008C52E2" w:rsidP="00207998" w14:paraId="57845D3A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>É o parecer</w:t>
      </w:r>
      <w:r w:rsidRPr="008C52E2" w:rsidR="00C911DC">
        <w:rPr>
          <w:rFonts w:cstheme="minorHAnsi"/>
          <w:sz w:val="24"/>
          <w:szCs w:val="24"/>
        </w:rPr>
        <w:t>.</w:t>
      </w:r>
    </w:p>
    <w:p w:rsidR="00623AD7" w:rsidP="00207998" w14:paraId="263D6D57" w14:textId="24AFA9B0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>Procuradoria</w:t>
      </w:r>
      <w:r w:rsidRPr="008C52E2">
        <w:rPr>
          <w:rFonts w:cstheme="minorHAnsi"/>
          <w:sz w:val="24"/>
          <w:szCs w:val="24"/>
        </w:rPr>
        <w:t xml:space="preserve">, aos </w:t>
      </w:r>
      <w:r w:rsidRPr="008C52E2" w:rsidR="008C52E2">
        <w:rPr>
          <w:rFonts w:cstheme="minorHAnsi"/>
          <w:sz w:val="24"/>
          <w:szCs w:val="24"/>
        </w:rPr>
        <w:t>2</w:t>
      </w:r>
      <w:r w:rsidR="00AD2788">
        <w:rPr>
          <w:rFonts w:cstheme="minorHAnsi"/>
          <w:sz w:val="24"/>
          <w:szCs w:val="24"/>
        </w:rPr>
        <w:t>6</w:t>
      </w:r>
      <w:r w:rsidRPr="008C52E2" w:rsidR="007479A7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 xml:space="preserve">de </w:t>
      </w:r>
      <w:r w:rsidR="00763F8D">
        <w:rPr>
          <w:rFonts w:cstheme="minorHAnsi"/>
          <w:sz w:val="24"/>
          <w:szCs w:val="24"/>
        </w:rPr>
        <w:t>fevereiro</w:t>
      </w:r>
      <w:r w:rsidRPr="008C52E2">
        <w:rPr>
          <w:rFonts w:cstheme="minorHAnsi"/>
          <w:sz w:val="24"/>
          <w:szCs w:val="24"/>
        </w:rPr>
        <w:t xml:space="preserve"> de 20</w:t>
      </w:r>
      <w:r w:rsidRPr="008C52E2" w:rsidR="00F66849">
        <w:rPr>
          <w:rFonts w:cstheme="minorHAnsi"/>
          <w:sz w:val="24"/>
          <w:szCs w:val="24"/>
        </w:rPr>
        <w:t>2</w:t>
      </w:r>
      <w:r w:rsidR="00763F8D">
        <w:rPr>
          <w:rFonts w:cstheme="minorHAnsi"/>
          <w:sz w:val="24"/>
          <w:szCs w:val="24"/>
        </w:rPr>
        <w:t>4</w:t>
      </w:r>
      <w:r w:rsidRPr="008C52E2">
        <w:rPr>
          <w:rFonts w:cstheme="minorHAnsi"/>
          <w:sz w:val="24"/>
          <w:szCs w:val="24"/>
        </w:rPr>
        <w:t>.</w:t>
      </w:r>
    </w:p>
    <w:p w:rsidR="008C52E2" w:rsidRPr="008C52E2" w:rsidP="00207998" w14:paraId="7C743C77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763F8D" w:rsidRPr="00BC24F1" w:rsidP="00763F8D" w14:paraId="10F1BFB6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24F1">
        <w:rPr>
          <w:rFonts w:cstheme="minorHAnsi"/>
          <w:b/>
          <w:sz w:val="24"/>
          <w:szCs w:val="24"/>
        </w:rPr>
        <w:t>Rosemeire de Souza Cardoso Barbosa                          Tiago Fadel Malghosian</w:t>
      </w:r>
    </w:p>
    <w:p w:rsidR="00763F8D" w:rsidRPr="00BC24F1" w:rsidP="00763F8D" w14:paraId="255464D6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24F1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     </w:t>
      </w:r>
      <w:r w:rsidRPr="00BC24F1">
        <w:rPr>
          <w:rFonts w:cstheme="minorHAnsi"/>
          <w:b/>
          <w:sz w:val="24"/>
          <w:szCs w:val="24"/>
        </w:rPr>
        <w:t>Procuradora - OAB/SP 308.298                               Procurador - OAB/SP 319.159</w:t>
      </w:r>
    </w:p>
    <w:p w:rsidR="00763F8D" w:rsidRPr="00BC24F1" w:rsidP="00763F8D" w14:paraId="31AD36AA" w14:textId="77777777">
      <w:pPr>
        <w:spacing w:after="0" w:line="240" w:lineRule="auto"/>
        <w:jc w:val="center"/>
        <w:sectPr w:rsidSect="00ED6657">
          <w:headerReference w:type="default" r:id="rId6"/>
          <w:footerReference w:type="default" r:id="rId7"/>
          <w:type w:val="continuous"/>
          <w:pgSz w:w="11906" w:h="16838"/>
          <w:pgMar w:top="2373" w:right="1701" w:bottom="1418" w:left="1701" w:header="709" w:footer="709" w:gutter="0"/>
          <w:cols w:space="708"/>
          <w:docGrid w:linePitch="360"/>
        </w:sectPr>
      </w:pPr>
      <w:r>
        <w:rPr>
          <w:rFonts w:cstheme="minorHAnsi"/>
          <w:b/>
          <w:sz w:val="24"/>
          <w:szCs w:val="24"/>
        </w:rPr>
        <w:t xml:space="preserve">    </w:t>
      </w:r>
      <w:r w:rsidRPr="00BC24F1">
        <w:rPr>
          <w:rFonts w:cstheme="minorHAnsi"/>
          <w:b/>
          <w:sz w:val="24"/>
          <w:szCs w:val="24"/>
        </w:rPr>
        <w:t xml:space="preserve"> Assinatura eletrônica             </w:t>
      </w:r>
      <w:r>
        <w:rPr>
          <w:rFonts w:cstheme="minorHAnsi"/>
          <w:b/>
          <w:sz w:val="24"/>
          <w:szCs w:val="24"/>
        </w:rPr>
        <w:t xml:space="preserve">                                </w:t>
      </w:r>
      <w:r w:rsidRPr="00BC24F1">
        <w:rPr>
          <w:rFonts w:cstheme="minorHAnsi"/>
          <w:b/>
          <w:sz w:val="24"/>
          <w:szCs w:val="24"/>
        </w:rPr>
        <w:t xml:space="preserve"> Assinatura eletrônica</w:t>
      </w:r>
    </w:p>
    <w:p w:rsidR="00055A36" w:rsidRPr="008C52E2" w:rsidP="00763F8D" w14:paraId="5C0E6357" w14:textId="057FBFE7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</w:p>
    <w:sectPr w:rsidSect="00106ADB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4163373"/>
      <w:docPartObj>
        <w:docPartGallery w:val="Page Numbers (Bottom of Page)"/>
        <w:docPartUnique/>
      </w:docPartObj>
    </w:sdtPr>
    <w:sdtContent>
      <w:sdt>
        <w:sdtPr>
          <w:id w:val="-647664518"/>
          <w:docPartObj>
            <w:docPartGallery w:val="Page Numbers (Top of Page)"/>
            <w:docPartUnique/>
          </w:docPartObj>
        </w:sdtPr>
        <w:sdtContent>
          <w:p w:rsidR="009464CA" w:rsidP="009464CA" w14:paraId="32E1B316" w14:textId="47979ACA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464CA" w:rsidP="009464CA" w14:paraId="17A0312E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9464CA" w:rsidP="009464CA" w14:paraId="778B718C" w14:textId="77777777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9464CA" w:rsidP="009464CA" w14:paraId="3B8FFEC5" w14:textId="602001D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A2BAE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A2BAE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E459A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E459A" w:rsidP="003C2F5F" w14:paraId="5D442BCC" w14:textId="3A50FBA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E459A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E459A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04D83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04D83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E459A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AE459A" w14:paraId="1F8DB62B" w14:textId="77777777">
      <w:pPr>
        <w:spacing w:after="0" w:line="240" w:lineRule="auto"/>
      </w:pPr>
      <w:r>
        <w:continuationSeparator/>
      </w:r>
    </w:p>
  </w:footnote>
  <w:footnote w:id="2">
    <w:p w:rsidR="00AE459A" w:rsidRPr="00F154E2" w:rsidP="008C52E2" w14:paraId="24DCC816" w14:textId="55A21B3A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8C52E2" w:rsidRPr="00A369D9" w:rsidP="008C52E2" w14:paraId="72D1B856" w14:textId="5A86877B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C52E2">
        <w:rPr>
          <w:rFonts w:asciiTheme="minorHAnsi" w:hAnsiTheme="minorHAnsi" w:cstheme="minorHAnsi"/>
          <w:i/>
          <w:sz w:val="20"/>
          <w:szCs w:val="20"/>
        </w:rPr>
        <w:t xml:space="preserve">Nesse sentido é o entendimento do Supremo Tribunal Federal: </w:t>
      </w:r>
      <w:r w:rsidRPr="00A369D9">
        <w:rPr>
          <w:rFonts w:asciiTheme="minorHAnsi" w:hAnsiTheme="minorHAnsi" w:cstheme="minorHAnsi"/>
          <w:i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369D9">
        <w:rPr>
          <w:rFonts w:asciiTheme="minorHAnsi" w:hAnsiTheme="minorHAnsi" w:cstheme="minorHAnsi"/>
          <w:i/>
          <w:sz w:val="20"/>
          <w:szCs w:val="20"/>
        </w:rPr>
        <w:t>ex</w:t>
      </w:r>
      <w:r w:rsidRPr="00A369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369D9">
        <w:rPr>
          <w:rFonts w:asciiTheme="minorHAnsi" w:hAnsiTheme="minorHAnsi" w:cstheme="minorHAnsi"/>
          <w:i/>
          <w:sz w:val="20"/>
          <w:szCs w:val="20"/>
        </w:rPr>
        <w:t>oficio</w:t>
      </w:r>
      <w:r w:rsidRPr="00A369D9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  <w:r w:rsidRPr="008C52E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C52E2" w14:paraId="50CABA58" w14:textId="576F72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4CA" w:rsidP="009464CA" w14:paraId="4364259F" w14:textId="77777777">
    <w:pPr>
      <w:pStyle w:val="Header"/>
      <w:jc w:val="center"/>
      <w:rPr>
        <w:b/>
        <w:sz w:val="26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4CA" w:rsidP="009464CA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48239318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742587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080141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9464CA" w:rsidP="009464CA" w14:paraId="42635EB5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66114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79988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464CA" w:rsidP="009464CA" w14:paraId="7404202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464CA" w:rsidP="009464CA" w14:paraId="5D5328E6" w14:textId="77777777">
    <w:pPr>
      <w:pStyle w:val="Header"/>
      <w:jc w:val="center"/>
    </w:pPr>
    <w:r>
      <w:rPr>
        <w:lang w:val="pt-PT"/>
      </w:rPr>
      <w:t>ESTADO DE SÃO PAULO</w:t>
    </w:r>
  </w:p>
  <w:p w:rsidR="009464CA" w14:paraId="4348AC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59A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AE459A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59A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9665890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526152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4" DrawAspect="Content" ObjectID="_177080141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E459A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027820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8.25pt" o:oleicon="f" o:ole="">
                        <v:imagedata r:id="rId2" o:title=""/>
                      </v:shape>
                      <o:OLEObject Type="Embed" ProgID="MSPhotoEd.3" ShapeID="_x0000_i2053" DrawAspect="Content" ObjectID="_17707998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E459A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459A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E459A" w:rsidP="003C2F5F" w14:paraId="6FE38094" w14:textId="77777777">
    <w:pPr>
      <w:pStyle w:val="Header"/>
    </w:pPr>
  </w:p>
  <w:p w:rsidR="00AE459A" w:rsidP="003C2F5F" w14:paraId="05C8AF9F" w14:textId="77777777">
    <w:pPr>
      <w:pStyle w:val="Header"/>
    </w:pPr>
  </w:p>
  <w:p w:rsidR="00AE459A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28BAD22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12954"/>
    <w:rsid w:val="00036801"/>
    <w:rsid w:val="00052F54"/>
    <w:rsid w:val="00053466"/>
    <w:rsid w:val="00054297"/>
    <w:rsid w:val="00054BC9"/>
    <w:rsid w:val="00055A36"/>
    <w:rsid w:val="00055CC4"/>
    <w:rsid w:val="00057AD0"/>
    <w:rsid w:val="000854D9"/>
    <w:rsid w:val="000856DA"/>
    <w:rsid w:val="000863AF"/>
    <w:rsid w:val="00093998"/>
    <w:rsid w:val="000A1978"/>
    <w:rsid w:val="000A2B7F"/>
    <w:rsid w:val="000B17B5"/>
    <w:rsid w:val="000B3E72"/>
    <w:rsid w:val="000C04E8"/>
    <w:rsid w:val="000C3D08"/>
    <w:rsid w:val="000C4719"/>
    <w:rsid w:val="000C4960"/>
    <w:rsid w:val="000D25D9"/>
    <w:rsid w:val="000E0541"/>
    <w:rsid w:val="000F53FD"/>
    <w:rsid w:val="000F7DF6"/>
    <w:rsid w:val="00100254"/>
    <w:rsid w:val="0010042C"/>
    <w:rsid w:val="001056EF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55922"/>
    <w:rsid w:val="00171311"/>
    <w:rsid w:val="00186563"/>
    <w:rsid w:val="00186BFA"/>
    <w:rsid w:val="001900C3"/>
    <w:rsid w:val="001B2556"/>
    <w:rsid w:val="001B380C"/>
    <w:rsid w:val="001B39B0"/>
    <w:rsid w:val="001D010E"/>
    <w:rsid w:val="00201853"/>
    <w:rsid w:val="00207998"/>
    <w:rsid w:val="00216FC3"/>
    <w:rsid w:val="00220653"/>
    <w:rsid w:val="00253D01"/>
    <w:rsid w:val="00264F4E"/>
    <w:rsid w:val="00267416"/>
    <w:rsid w:val="00277FC6"/>
    <w:rsid w:val="00290799"/>
    <w:rsid w:val="0029742D"/>
    <w:rsid w:val="002A0294"/>
    <w:rsid w:val="002A0BF9"/>
    <w:rsid w:val="002B1B24"/>
    <w:rsid w:val="002B3EF9"/>
    <w:rsid w:val="002B6DD7"/>
    <w:rsid w:val="002B7553"/>
    <w:rsid w:val="002C174B"/>
    <w:rsid w:val="002C4D6D"/>
    <w:rsid w:val="002D0400"/>
    <w:rsid w:val="002D0AA2"/>
    <w:rsid w:val="002D1F88"/>
    <w:rsid w:val="002D79EB"/>
    <w:rsid w:val="002E06DC"/>
    <w:rsid w:val="002E0B93"/>
    <w:rsid w:val="002E7C07"/>
    <w:rsid w:val="002E7CF0"/>
    <w:rsid w:val="002F1549"/>
    <w:rsid w:val="002F1B66"/>
    <w:rsid w:val="002F5795"/>
    <w:rsid w:val="003037DF"/>
    <w:rsid w:val="00303EC8"/>
    <w:rsid w:val="003118F2"/>
    <w:rsid w:val="003128C1"/>
    <w:rsid w:val="003132A3"/>
    <w:rsid w:val="003210F0"/>
    <w:rsid w:val="00324E75"/>
    <w:rsid w:val="00350F60"/>
    <w:rsid w:val="00352BB8"/>
    <w:rsid w:val="00356DF8"/>
    <w:rsid w:val="00360974"/>
    <w:rsid w:val="00360C8E"/>
    <w:rsid w:val="00365201"/>
    <w:rsid w:val="003856D7"/>
    <w:rsid w:val="00391CD8"/>
    <w:rsid w:val="003A5BDC"/>
    <w:rsid w:val="003A5E27"/>
    <w:rsid w:val="003A6461"/>
    <w:rsid w:val="003B4ED0"/>
    <w:rsid w:val="003B55E5"/>
    <w:rsid w:val="003C2798"/>
    <w:rsid w:val="003C2F5F"/>
    <w:rsid w:val="003C4DB0"/>
    <w:rsid w:val="003C6555"/>
    <w:rsid w:val="003C7A13"/>
    <w:rsid w:val="003D1F6A"/>
    <w:rsid w:val="003D3D50"/>
    <w:rsid w:val="003D6EE3"/>
    <w:rsid w:val="003E371A"/>
    <w:rsid w:val="003F0920"/>
    <w:rsid w:val="003F610A"/>
    <w:rsid w:val="003F6ED2"/>
    <w:rsid w:val="0040409A"/>
    <w:rsid w:val="00404D83"/>
    <w:rsid w:val="00407A33"/>
    <w:rsid w:val="00415C7A"/>
    <w:rsid w:val="00417BC0"/>
    <w:rsid w:val="00423245"/>
    <w:rsid w:val="00427BE6"/>
    <w:rsid w:val="0043016F"/>
    <w:rsid w:val="00430B0D"/>
    <w:rsid w:val="0043108C"/>
    <w:rsid w:val="00433A4C"/>
    <w:rsid w:val="0045236F"/>
    <w:rsid w:val="00455BA7"/>
    <w:rsid w:val="00465FE0"/>
    <w:rsid w:val="00470E91"/>
    <w:rsid w:val="00483544"/>
    <w:rsid w:val="00487927"/>
    <w:rsid w:val="004D0DB1"/>
    <w:rsid w:val="004D4714"/>
    <w:rsid w:val="004D6EED"/>
    <w:rsid w:val="004E16AE"/>
    <w:rsid w:val="004F2361"/>
    <w:rsid w:val="0050495F"/>
    <w:rsid w:val="005056F7"/>
    <w:rsid w:val="005101D9"/>
    <w:rsid w:val="00531B48"/>
    <w:rsid w:val="005332DC"/>
    <w:rsid w:val="00540EC4"/>
    <w:rsid w:val="0054429B"/>
    <w:rsid w:val="00553C12"/>
    <w:rsid w:val="005640D4"/>
    <w:rsid w:val="005660DC"/>
    <w:rsid w:val="00570CE3"/>
    <w:rsid w:val="00572C26"/>
    <w:rsid w:val="0057520E"/>
    <w:rsid w:val="0058062A"/>
    <w:rsid w:val="00582F11"/>
    <w:rsid w:val="00585C59"/>
    <w:rsid w:val="00591032"/>
    <w:rsid w:val="00593369"/>
    <w:rsid w:val="00596241"/>
    <w:rsid w:val="005A1CB4"/>
    <w:rsid w:val="005A2BAE"/>
    <w:rsid w:val="005B29D5"/>
    <w:rsid w:val="005B66AE"/>
    <w:rsid w:val="005C097C"/>
    <w:rsid w:val="005C3000"/>
    <w:rsid w:val="005E0BB6"/>
    <w:rsid w:val="005E2A7A"/>
    <w:rsid w:val="005F696D"/>
    <w:rsid w:val="00613C31"/>
    <w:rsid w:val="0061442B"/>
    <w:rsid w:val="00622C7C"/>
    <w:rsid w:val="00622D40"/>
    <w:rsid w:val="00623AD7"/>
    <w:rsid w:val="00625539"/>
    <w:rsid w:val="0063663D"/>
    <w:rsid w:val="00644ED3"/>
    <w:rsid w:val="006504F4"/>
    <w:rsid w:val="0065692D"/>
    <w:rsid w:val="006703EB"/>
    <w:rsid w:val="0067562F"/>
    <w:rsid w:val="00676D5A"/>
    <w:rsid w:val="00686242"/>
    <w:rsid w:val="00687B41"/>
    <w:rsid w:val="00690B9F"/>
    <w:rsid w:val="006A1A17"/>
    <w:rsid w:val="006A3B61"/>
    <w:rsid w:val="006A5B5D"/>
    <w:rsid w:val="006B0996"/>
    <w:rsid w:val="006B1DD9"/>
    <w:rsid w:val="006D1203"/>
    <w:rsid w:val="006D2C7B"/>
    <w:rsid w:val="006D2F36"/>
    <w:rsid w:val="006E00C4"/>
    <w:rsid w:val="006E43B0"/>
    <w:rsid w:val="006E4468"/>
    <w:rsid w:val="006E4F1C"/>
    <w:rsid w:val="006F0642"/>
    <w:rsid w:val="006F4A4E"/>
    <w:rsid w:val="006F6EBB"/>
    <w:rsid w:val="006F7B51"/>
    <w:rsid w:val="0070570A"/>
    <w:rsid w:val="007111F6"/>
    <w:rsid w:val="0071405C"/>
    <w:rsid w:val="007249CE"/>
    <w:rsid w:val="007277F2"/>
    <w:rsid w:val="00742CBA"/>
    <w:rsid w:val="00743338"/>
    <w:rsid w:val="0074436F"/>
    <w:rsid w:val="007479A7"/>
    <w:rsid w:val="00753377"/>
    <w:rsid w:val="007533C6"/>
    <w:rsid w:val="00763F8D"/>
    <w:rsid w:val="00764FED"/>
    <w:rsid w:val="007665F7"/>
    <w:rsid w:val="007711FB"/>
    <w:rsid w:val="007769E7"/>
    <w:rsid w:val="0079319A"/>
    <w:rsid w:val="007A3684"/>
    <w:rsid w:val="007A3E43"/>
    <w:rsid w:val="007B3689"/>
    <w:rsid w:val="007C16EB"/>
    <w:rsid w:val="007C7735"/>
    <w:rsid w:val="007D24E4"/>
    <w:rsid w:val="007D6467"/>
    <w:rsid w:val="007E1938"/>
    <w:rsid w:val="007E1F99"/>
    <w:rsid w:val="007E684E"/>
    <w:rsid w:val="007E6E69"/>
    <w:rsid w:val="007F74E9"/>
    <w:rsid w:val="00805484"/>
    <w:rsid w:val="0081192C"/>
    <w:rsid w:val="00815A68"/>
    <w:rsid w:val="00824D2E"/>
    <w:rsid w:val="00833548"/>
    <w:rsid w:val="00840756"/>
    <w:rsid w:val="00842A1D"/>
    <w:rsid w:val="00843AF6"/>
    <w:rsid w:val="00844F2A"/>
    <w:rsid w:val="0086425E"/>
    <w:rsid w:val="00864A15"/>
    <w:rsid w:val="00866252"/>
    <w:rsid w:val="00867EC0"/>
    <w:rsid w:val="008706BC"/>
    <w:rsid w:val="008743BF"/>
    <w:rsid w:val="00880BEF"/>
    <w:rsid w:val="00880E5C"/>
    <w:rsid w:val="008955D0"/>
    <w:rsid w:val="008B446B"/>
    <w:rsid w:val="008B6D80"/>
    <w:rsid w:val="008C29F0"/>
    <w:rsid w:val="008C52E2"/>
    <w:rsid w:val="008D48C2"/>
    <w:rsid w:val="008D545A"/>
    <w:rsid w:val="008D64E8"/>
    <w:rsid w:val="008D67BD"/>
    <w:rsid w:val="008E3C0D"/>
    <w:rsid w:val="008E7C91"/>
    <w:rsid w:val="008F1AFA"/>
    <w:rsid w:val="008F5FCA"/>
    <w:rsid w:val="00901CF2"/>
    <w:rsid w:val="0092151D"/>
    <w:rsid w:val="00924DE9"/>
    <w:rsid w:val="0094325E"/>
    <w:rsid w:val="00943F71"/>
    <w:rsid w:val="009464CA"/>
    <w:rsid w:val="009513F9"/>
    <w:rsid w:val="0096189C"/>
    <w:rsid w:val="0097085A"/>
    <w:rsid w:val="00973E66"/>
    <w:rsid w:val="00985CD8"/>
    <w:rsid w:val="00985DAD"/>
    <w:rsid w:val="00986355"/>
    <w:rsid w:val="00987EDC"/>
    <w:rsid w:val="00990D8F"/>
    <w:rsid w:val="00995E87"/>
    <w:rsid w:val="009A6ACD"/>
    <w:rsid w:val="009D22ED"/>
    <w:rsid w:val="009D4B8B"/>
    <w:rsid w:val="009F0F77"/>
    <w:rsid w:val="009F1FC7"/>
    <w:rsid w:val="00A21575"/>
    <w:rsid w:val="00A32BE6"/>
    <w:rsid w:val="00A33922"/>
    <w:rsid w:val="00A369D9"/>
    <w:rsid w:val="00A44636"/>
    <w:rsid w:val="00A455A2"/>
    <w:rsid w:val="00A602F2"/>
    <w:rsid w:val="00A65EAF"/>
    <w:rsid w:val="00A7003F"/>
    <w:rsid w:val="00A731C0"/>
    <w:rsid w:val="00A816F6"/>
    <w:rsid w:val="00A84A80"/>
    <w:rsid w:val="00A86A47"/>
    <w:rsid w:val="00A86CDF"/>
    <w:rsid w:val="00A90A50"/>
    <w:rsid w:val="00A96521"/>
    <w:rsid w:val="00AA19F5"/>
    <w:rsid w:val="00AA3D38"/>
    <w:rsid w:val="00AB02F8"/>
    <w:rsid w:val="00AC632E"/>
    <w:rsid w:val="00AC6375"/>
    <w:rsid w:val="00AD2788"/>
    <w:rsid w:val="00AD2EF4"/>
    <w:rsid w:val="00AD41DD"/>
    <w:rsid w:val="00AE0392"/>
    <w:rsid w:val="00AE459A"/>
    <w:rsid w:val="00B20851"/>
    <w:rsid w:val="00B21513"/>
    <w:rsid w:val="00B4272B"/>
    <w:rsid w:val="00B51914"/>
    <w:rsid w:val="00B6446F"/>
    <w:rsid w:val="00B75B70"/>
    <w:rsid w:val="00B77DD5"/>
    <w:rsid w:val="00B808C5"/>
    <w:rsid w:val="00B845DB"/>
    <w:rsid w:val="00B9191A"/>
    <w:rsid w:val="00B95538"/>
    <w:rsid w:val="00BA60E8"/>
    <w:rsid w:val="00BA71BB"/>
    <w:rsid w:val="00BB2737"/>
    <w:rsid w:val="00BB4A3C"/>
    <w:rsid w:val="00BB699B"/>
    <w:rsid w:val="00BC1CA3"/>
    <w:rsid w:val="00BC24F1"/>
    <w:rsid w:val="00BE272B"/>
    <w:rsid w:val="00BF0A3A"/>
    <w:rsid w:val="00BF1E38"/>
    <w:rsid w:val="00BF6582"/>
    <w:rsid w:val="00C037D3"/>
    <w:rsid w:val="00C062C5"/>
    <w:rsid w:val="00C16375"/>
    <w:rsid w:val="00C16EFC"/>
    <w:rsid w:val="00C50F96"/>
    <w:rsid w:val="00C54AEF"/>
    <w:rsid w:val="00C65153"/>
    <w:rsid w:val="00C67CF2"/>
    <w:rsid w:val="00C772FB"/>
    <w:rsid w:val="00C877A8"/>
    <w:rsid w:val="00C911DC"/>
    <w:rsid w:val="00C94922"/>
    <w:rsid w:val="00C96BE2"/>
    <w:rsid w:val="00CA36F2"/>
    <w:rsid w:val="00CB55DD"/>
    <w:rsid w:val="00CC3BFA"/>
    <w:rsid w:val="00CD2341"/>
    <w:rsid w:val="00CD3D40"/>
    <w:rsid w:val="00CD472B"/>
    <w:rsid w:val="00CF0188"/>
    <w:rsid w:val="00CF4A3C"/>
    <w:rsid w:val="00CF4CC8"/>
    <w:rsid w:val="00D237AB"/>
    <w:rsid w:val="00D36612"/>
    <w:rsid w:val="00D3794D"/>
    <w:rsid w:val="00D42C6B"/>
    <w:rsid w:val="00D43148"/>
    <w:rsid w:val="00D50B43"/>
    <w:rsid w:val="00D51D3F"/>
    <w:rsid w:val="00D56ED0"/>
    <w:rsid w:val="00D57968"/>
    <w:rsid w:val="00D7028D"/>
    <w:rsid w:val="00D816FA"/>
    <w:rsid w:val="00D8253A"/>
    <w:rsid w:val="00DA067C"/>
    <w:rsid w:val="00DA2B21"/>
    <w:rsid w:val="00DA6666"/>
    <w:rsid w:val="00DC00AD"/>
    <w:rsid w:val="00DF2C1A"/>
    <w:rsid w:val="00E010C5"/>
    <w:rsid w:val="00E07310"/>
    <w:rsid w:val="00E17B92"/>
    <w:rsid w:val="00E3389E"/>
    <w:rsid w:val="00E34324"/>
    <w:rsid w:val="00E3474E"/>
    <w:rsid w:val="00E405EE"/>
    <w:rsid w:val="00E41EA1"/>
    <w:rsid w:val="00E503EA"/>
    <w:rsid w:val="00E545D0"/>
    <w:rsid w:val="00E6171D"/>
    <w:rsid w:val="00E66F59"/>
    <w:rsid w:val="00E7573E"/>
    <w:rsid w:val="00E77219"/>
    <w:rsid w:val="00E813C9"/>
    <w:rsid w:val="00E853EA"/>
    <w:rsid w:val="00E86342"/>
    <w:rsid w:val="00E91634"/>
    <w:rsid w:val="00E9745E"/>
    <w:rsid w:val="00EA669D"/>
    <w:rsid w:val="00EB49A2"/>
    <w:rsid w:val="00EB4F80"/>
    <w:rsid w:val="00EC1928"/>
    <w:rsid w:val="00EC6150"/>
    <w:rsid w:val="00ED6657"/>
    <w:rsid w:val="00EE2FE4"/>
    <w:rsid w:val="00EE6021"/>
    <w:rsid w:val="00F06D37"/>
    <w:rsid w:val="00F10146"/>
    <w:rsid w:val="00F10347"/>
    <w:rsid w:val="00F154E2"/>
    <w:rsid w:val="00F1565F"/>
    <w:rsid w:val="00F253CD"/>
    <w:rsid w:val="00F3073D"/>
    <w:rsid w:val="00F36FF8"/>
    <w:rsid w:val="00F505B3"/>
    <w:rsid w:val="00F53BEF"/>
    <w:rsid w:val="00F564CF"/>
    <w:rsid w:val="00F60A9C"/>
    <w:rsid w:val="00F66849"/>
    <w:rsid w:val="00F726DD"/>
    <w:rsid w:val="00F740A6"/>
    <w:rsid w:val="00F806BF"/>
    <w:rsid w:val="00F847EE"/>
    <w:rsid w:val="00F96CC6"/>
    <w:rsid w:val="00FA1D5B"/>
    <w:rsid w:val="00FB0318"/>
    <w:rsid w:val="00FB7CDD"/>
    <w:rsid w:val="00FC0FAA"/>
    <w:rsid w:val="00FC59A5"/>
    <w:rsid w:val="00FD4E2B"/>
    <w:rsid w:val="00FD744D"/>
    <w:rsid w:val="00FE410F"/>
    <w:rsid w:val="00FF0189"/>
    <w:rsid w:val="00FF12A3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1F8E-AC19-4778-AFF0-276049FE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14</cp:revision>
  <cp:lastPrinted>2021-05-27T14:59:00Z</cp:lastPrinted>
  <dcterms:created xsi:type="dcterms:W3CDTF">2024-02-26T18:59:00Z</dcterms:created>
  <dcterms:modified xsi:type="dcterms:W3CDTF">2024-03-01T15:30:00Z</dcterms:modified>
</cp:coreProperties>
</file>