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A564E" w:rsidRPr="008F1266" w:rsidP="000A564E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8F1266">
        <w:rPr>
          <w:rFonts w:asciiTheme="minorHAnsi" w:hAnsiTheme="minorHAnsi" w:cstheme="minorHAnsi"/>
          <w:b/>
          <w:color w:val="auto"/>
        </w:rPr>
        <w:t xml:space="preserve">Parecer </w:t>
      </w:r>
      <w:r w:rsidRPr="008F1266">
        <w:rPr>
          <w:rFonts w:asciiTheme="minorHAnsi" w:hAnsiTheme="minorHAnsi" w:cstheme="minorHAnsi"/>
          <w:b/>
          <w:color w:val="auto"/>
        </w:rPr>
        <w:t>J</w:t>
      </w:r>
      <w:r w:rsidRPr="008F1266">
        <w:rPr>
          <w:rFonts w:asciiTheme="minorHAnsi" w:hAnsiTheme="minorHAnsi" w:cstheme="minorHAnsi"/>
          <w:b/>
          <w:color w:val="auto"/>
        </w:rPr>
        <w:t>urídico</w:t>
      </w:r>
      <w:r w:rsidRPr="008F1266">
        <w:rPr>
          <w:rFonts w:asciiTheme="minorHAnsi" w:hAnsiTheme="minorHAnsi" w:cstheme="minorHAnsi"/>
          <w:b/>
          <w:color w:val="auto"/>
        </w:rPr>
        <w:t xml:space="preserve"> nº </w:t>
      </w:r>
      <w:r w:rsidRPr="008F1266" w:rsidR="008F1266">
        <w:rPr>
          <w:rFonts w:asciiTheme="minorHAnsi" w:hAnsiTheme="minorHAnsi" w:cstheme="minorHAnsi"/>
          <w:b/>
          <w:color w:val="auto"/>
        </w:rPr>
        <w:t>019</w:t>
      </w:r>
      <w:r w:rsidRPr="008F1266">
        <w:rPr>
          <w:rFonts w:asciiTheme="minorHAnsi" w:hAnsiTheme="minorHAnsi" w:cstheme="minorHAnsi"/>
          <w:b/>
          <w:color w:val="auto"/>
        </w:rPr>
        <w:t>/20</w:t>
      </w:r>
      <w:r w:rsidRPr="008F1266" w:rsidR="004C24C7">
        <w:rPr>
          <w:rFonts w:asciiTheme="minorHAnsi" w:hAnsiTheme="minorHAnsi" w:cstheme="minorHAnsi"/>
          <w:b/>
          <w:color w:val="auto"/>
        </w:rPr>
        <w:t>2</w:t>
      </w:r>
      <w:r w:rsidRPr="008F1266" w:rsidR="00D51ECB">
        <w:rPr>
          <w:rFonts w:asciiTheme="minorHAnsi" w:hAnsiTheme="minorHAnsi" w:cstheme="minorHAnsi"/>
          <w:b/>
          <w:color w:val="auto"/>
        </w:rPr>
        <w:t>4.</w:t>
      </w:r>
    </w:p>
    <w:p w:rsidR="009A626C" w:rsidRPr="00D51ECB" w:rsidP="0084738E">
      <w:pPr>
        <w:shd w:val="clear" w:color="auto" w:fill="FFFFFF"/>
        <w:jc w:val="both"/>
        <w:rPr>
          <w:rFonts w:eastAsia="Calibri" w:asciiTheme="minorHAnsi" w:hAnsiTheme="minorHAnsi" w:cstheme="minorHAnsi"/>
          <w:szCs w:val="24"/>
        </w:rPr>
      </w:pPr>
      <w:r w:rsidRPr="00D51ECB">
        <w:rPr>
          <w:rFonts w:asciiTheme="minorHAnsi" w:hAnsiTheme="minorHAnsi" w:cstheme="minorHAnsi"/>
          <w:b/>
          <w:bCs/>
          <w:szCs w:val="24"/>
        </w:rPr>
        <w:t xml:space="preserve">Assunto: Projeto de Lei nº </w:t>
      </w:r>
      <w:r w:rsidRPr="00D51ECB" w:rsidR="00D51ECB">
        <w:rPr>
          <w:rFonts w:asciiTheme="minorHAnsi" w:hAnsiTheme="minorHAnsi" w:cstheme="minorHAnsi"/>
          <w:b/>
          <w:bCs/>
          <w:szCs w:val="24"/>
        </w:rPr>
        <w:t>04</w:t>
      </w:r>
      <w:r w:rsidRPr="00D51ECB">
        <w:rPr>
          <w:rFonts w:asciiTheme="minorHAnsi" w:hAnsiTheme="minorHAnsi" w:cstheme="minorHAnsi"/>
          <w:b/>
          <w:bCs/>
          <w:szCs w:val="24"/>
        </w:rPr>
        <w:t>/20</w:t>
      </w:r>
      <w:r w:rsidRPr="00D51ECB" w:rsidR="004C24C7">
        <w:rPr>
          <w:rFonts w:asciiTheme="minorHAnsi" w:hAnsiTheme="minorHAnsi" w:cstheme="minorHAnsi"/>
          <w:b/>
          <w:bCs/>
          <w:szCs w:val="24"/>
        </w:rPr>
        <w:t>2</w:t>
      </w:r>
      <w:r w:rsidRPr="00D51ECB" w:rsidR="00567EA7">
        <w:rPr>
          <w:rFonts w:asciiTheme="minorHAnsi" w:hAnsiTheme="minorHAnsi" w:cstheme="minorHAnsi"/>
          <w:b/>
          <w:bCs/>
          <w:szCs w:val="24"/>
        </w:rPr>
        <w:t>3</w:t>
      </w:r>
      <w:r w:rsidRPr="00D51ECB" w:rsidR="004C24C7">
        <w:rPr>
          <w:rFonts w:asciiTheme="minorHAnsi" w:hAnsiTheme="minorHAnsi" w:cstheme="minorHAnsi"/>
          <w:b/>
          <w:bCs/>
          <w:szCs w:val="24"/>
        </w:rPr>
        <w:t xml:space="preserve"> –</w:t>
      </w:r>
      <w:r w:rsidRPr="00D51ECB">
        <w:rPr>
          <w:rFonts w:asciiTheme="minorHAnsi" w:hAnsiTheme="minorHAnsi" w:cstheme="minorHAnsi"/>
          <w:b/>
          <w:bCs/>
          <w:szCs w:val="24"/>
        </w:rPr>
        <w:t xml:space="preserve"> </w:t>
      </w:r>
      <w:r w:rsidRPr="00D51ECB" w:rsidR="00D51ECB">
        <w:rPr>
          <w:rFonts w:asciiTheme="minorHAnsi" w:hAnsiTheme="minorHAnsi" w:cstheme="minorHAnsi"/>
          <w:b/>
          <w:bCs/>
          <w:szCs w:val="24"/>
        </w:rPr>
        <w:t>“</w:t>
      </w:r>
      <w:r w:rsidRPr="00D51ECB" w:rsidR="00D51ECB">
        <w:rPr>
          <w:rFonts w:eastAsia="Calibri" w:asciiTheme="minorHAnsi" w:hAnsiTheme="minorHAnsi" w:cstheme="minorHAnsi"/>
          <w:i/>
          <w:szCs w:val="24"/>
        </w:rPr>
        <w:t>Institui o programa municipal de equoterapia como método terapêutico de tratamento para reabilitação de pessoas com deficiência ou necessidades especiais em geral</w:t>
      </w:r>
      <w:r w:rsidRPr="00D51ECB" w:rsidR="00D51ECB">
        <w:rPr>
          <w:rFonts w:eastAsia="Calibri" w:asciiTheme="minorHAnsi" w:hAnsiTheme="minorHAnsi" w:cstheme="minorHAnsi"/>
          <w:szCs w:val="24"/>
        </w:rPr>
        <w:t xml:space="preserve">”. </w:t>
      </w:r>
    </w:p>
    <w:p w:rsidR="0084738E" w:rsidRPr="00D51ECB" w:rsidP="0084738E">
      <w:pPr>
        <w:shd w:val="clear" w:color="auto" w:fill="FFFFFF"/>
        <w:jc w:val="both"/>
        <w:rPr>
          <w:rFonts w:asciiTheme="minorHAnsi" w:hAnsiTheme="minorHAnsi" w:cstheme="minorHAnsi"/>
          <w:b/>
          <w:bCs/>
          <w:szCs w:val="24"/>
        </w:rPr>
      </w:pPr>
      <w:r w:rsidRPr="00D51ECB">
        <w:rPr>
          <w:rFonts w:asciiTheme="minorHAnsi" w:hAnsiTheme="minorHAnsi" w:cstheme="minorHAnsi"/>
          <w:b/>
          <w:bCs/>
          <w:szCs w:val="24"/>
        </w:rPr>
        <w:t xml:space="preserve">Autoria da Vereadora Mônica Morandi. </w:t>
      </w:r>
    </w:p>
    <w:p w:rsidR="00BC67F2" w:rsidRPr="004C0159" w:rsidP="009A626C">
      <w:pPr>
        <w:tabs>
          <w:tab w:val="left" w:pos="2010"/>
        </w:tabs>
        <w:jc w:val="both"/>
        <w:rPr>
          <w:rFonts w:asciiTheme="minorHAnsi" w:hAnsiTheme="minorHAnsi" w:cstheme="minorHAnsi"/>
          <w:b/>
          <w:bCs/>
          <w:color w:val="FF0000"/>
          <w:szCs w:val="24"/>
        </w:rPr>
      </w:pPr>
      <w:r w:rsidRPr="004C0159">
        <w:rPr>
          <w:rFonts w:asciiTheme="minorHAnsi" w:hAnsiTheme="minorHAnsi" w:cstheme="minorHAnsi"/>
          <w:b/>
          <w:bCs/>
          <w:color w:val="FF0000"/>
          <w:szCs w:val="24"/>
        </w:rPr>
        <w:tab/>
      </w:r>
    </w:p>
    <w:p w:rsidR="00FE51A5" w:rsidRPr="004C0159" w:rsidP="00D40CAB">
      <w:pPr>
        <w:pStyle w:val="Default"/>
        <w:jc w:val="both"/>
        <w:rPr>
          <w:rFonts w:asciiTheme="minorHAnsi" w:hAnsiTheme="minorHAnsi" w:cstheme="minorHAnsi"/>
          <w:b/>
          <w:i/>
          <w:color w:val="FF0000"/>
        </w:rPr>
      </w:pPr>
    </w:p>
    <w:p w:rsidR="009A626C" w:rsidRPr="004C0159" w:rsidP="00D40CAB">
      <w:pPr>
        <w:pStyle w:val="Default"/>
        <w:jc w:val="both"/>
        <w:rPr>
          <w:rFonts w:asciiTheme="minorHAnsi" w:hAnsiTheme="minorHAnsi" w:cstheme="minorHAnsi"/>
          <w:b/>
          <w:i/>
          <w:color w:val="FF0000"/>
          <w:sz w:val="12"/>
          <w:szCs w:val="12"/>
        </w:rPr>
      </w:pPr>
    </w:p>
    <w:p w:rsidR="000A564E" w:rsidRPr="00D51ECB" w:rsidP="00E4285B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 w:rsidRPr="00D51ECB">
        <w:rPr>
          <w:rFonts w:asciiTheme="minorHAnsi" w:hAnsiTheme="minorHAnsi" w:cstheme="minorHAnsi"/>
          <w:b/>
          <w:i/>
          <w:color w:val="auto"/>
        </w:rPr>
        <w:t xml:space="preserve">À </w:t>
      </w:r>
      <w:r w:rsidRPr="00D51ECB" w:rsidR="00D40CAB">
        <w:rPr>
          <w:rFonts w:asciiTheme="minorHAnsi" w:hAnsiTheme="minorHAnsi" w:cstheme="minorHAnsi"/>
          <w:b/>
          <w:i/>
          <w:color w:val="auto"/>
        </w:rPr>
        <w:t>Comissão de Justiça e Redação</w:t>
      </w:r>
      <w:r w:rsidRPr="00D51ECB" w:rsidR="00D51ECB">
        <w:rPr>
          <w:rFonts w:asciiTheme="minorHAnsi" w:hAnsiTheme="minorHAnsi" w:cstheme="minorHAnsi"/>
          <w:b/>
          <w:i/>
          <w:color w:val="auto"/>
        </w:rPr>
        <w:t>,</w:t>
      </w:r>
    </w:p>
    <w:p w:rsidR="00383ADA" w:rsidRPr="00D51ECB" w:rsidP="00E4285B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 w:rsidRPr="00D51ECB">
        <w:rPr>
          <w:rFonts w:asciiTheme="minorHAnsi" w:hAnsiTheme="minorHAnsi" w:cstheme="minorHAnsi"/>
          <w:b/>
          <w:i/>
          <w:color w:val="auto"/>
        </w:rPr>
        <w:t xml:space="preserve">Exmo. </w:t>
      </w:r>
      <w:r w:rsidRPr="00D51ECB" w:rsidR="001B0294">
        <w:rPr>
          <w:rFonts w:asciiTheme="minorHAnsi" w:hAnsiTheme="minorHAnsi" w:cstheme="minorHAnsi"/>
          <w:b/>
          <w:i/>
          <w:color w:val="auto"/>
        </w:rPr>
        <w:t xml:space="preserve">Presidente </w:t>
      </w:r>
      <w:r w:rsidRPr="00D51ECB">
        <w:rPr>
          <w:rFonts w:asciiTheme="minorHAnsi" w:hAnsiTheme="minorHAnsi" w:cstheme="minorHAnsi"/>
          <w:b/>
          <w:i/>
          <w:color w:val="auto"/>
        </w:rPr>
        <w:t>Vereador</w:t>
      </w:r>
      <w:r w:rsidRPr="00D51ECB" w:rsidR="001B0294">
        <w:rPr>
          <w:rFonts w:asciiTheme="minorHAnsi" w:hAnsiTheme="minorHAnsi" w:cstheme="minorHAnsi"/>
          <w:b/>
          <w:i/>
          <w:color w:val="auto"/>
        </w:rPr>
        <w:t xml:space="preserve"> Gabriel Bueno</w:t>
      </w:r>
      <w:r w:rsidRPr="00D51ECB" w:rsidR="00D51ECB">
        <w:rPr>
          <w:rFonts w:asciiTheme="minorHAnsi" w:hAnsiTheme="minorHAnsi" w:cstheme="minorHAnsi"/>
          <w:b/>
          <w:i/>
          <w:color w:val="auto"/>
        </w:rPr>
        <w:t>.</w:t>
      </w:r>
    </w:p>
    <w:p w:rsidR="00134650" w:rsidRPr="004C0159" w:rsidP="000A564E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FF0000"/>
          <w:sz w:val="36"/>
          <w:szCs w:val="36"/>
        </w:rPr>
      </w:pPr>
    </w:p>
    <w:p w:rsidR="00ED5F89" w:rsidRPr="00640F4A" w:rsidP="009A626C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640F4A">
        <w:rPr>
          <w:rFonts w:asciiTheme="minorHAnsi" w:hAnsiTheme="minorHAnsi" w:cstheme="minorHAnsi"/>
          <w:color w:val="auto"/>
        </w:rPr>
        <w:t>Trata-se de parecer jurídico relativo ao projeto em epígrafe</w:t>
      </w:r>
      <w:r w:rsidRPr="00640F4A" w:rsidR="002C5EAF">
        <w:rPr>
          <w:rFonts w:asciiTheme="minorHAnsi" w:hAnsiTheme="minorHAnsi" w:cstheme="minorHAnsi"/>
          <w:color w:val="auto"/>
        </w:rPr>
        <w:t xml:space="preserve"> que</w:t>
      </w:r>
      <w:r w:rsidRPr="00640F4A" w:rsidR="00FE51A5">
        <w:rPr>
          <w:rFonts w:asciiTheme="minorHAnsi" w:hAnsiTheme="minorHAnsi" w:cstheme="minorHAnsi"/>
          <w:color w:val="auto"/>
        </w:rPr>
        <w:t xml:space="preserve"> </w:t>
      </w:r>
      <w:r w:rsidRPr="00640F4A">
        <w:rPr>
          <w:rFonts w:asciiTheme="minorHAnsi" w:hAnsiTheme="minorHAnsi" w:cstheme="minorHAnsi"/>
          <w:color w:val="auto"/>
        </w:rPr>
        <w:t>“</w:t>
      </w:r>
      <w:r w:rsidRPr="00640F4A" w:rsidR="00640F4A">
        <w:rPr>
          <w:rFonts w:eastAsia="Times New Roman" w:asciiTheme="minorHAnsi" w:hAnsiTheme="minorHAnsi" w:cstheme="minorHAnsi"/>
          <w:i/>
          <w:color w:val="auto"/>
        </w:rPr>
        <w:t>Institui o programa municipal de equoterapia como método terapêutico d</w:t>
      </w:r>
      <w:r w:rsidR="008F1266">
        <w:rPr>
          <w:rFonts w:eastAsia="Times New Roman" w:asciiTheme="minorHAnsi" w:hAnsiTheme="minorHAnsi" w:cstheme="minorHAnsi"/>
          <w:i/>
          <w:color w:val="auto"/>
        </w:rPr>
        <w:t xml:space="preserve">e tratamento para reabilitação </w:t>
      </w:r>
      <w:r w:rsidRPr="00640F4A" w:rsidR="00640F4A">
        <w:rPr>
          <w:rFonts w:eastAsia="Times New Roman" w:asciiTheme="minorHAnsi" w:hAnsiTheme="minorHAnsi" w:cstheme="minorHAnsi"/>
          <w:i/>
          <w:color w:val="auto"/>
        </w:rPr>
        <w:t>de pessoas com deficiência ou necessidades especiais em geral</w:t>
      </w:r>
      <w:r w:rsidRPr="00640F4A">
        <w:rPr>
          <w:rFonts w:asciiTheme="minorHAnsi" w:hAnsiTheme="minorHAnsi" w:cstheme="minorHAnsi"/>
          <w:i/>
          <w:color w:val="auto"/>
        </w:rPr>
        <w:t>”.</w:t>
      </w:r>
    </w:p>
    <w:p w:rsidR="002E0C51" w:rsidRPr="00640F4A" w:rsidP="005273EF">
      <w:pPr>
        <w:tabs>
          <w:tab w:val="left" w:pos="1701"/>
        </w:tabs>
        <w:spacing w:after="120" w:line="360" w:lineRule="auto"/>
        <w:jc w:val="both"/>
        <w:rPr>
          <w:rFonts w:asciiTheme="minorHAnsi" w:hAnsiTheme="minorHAnsi" w:cstheme="minorHAnsi"/>
          <w:szCs w:val="24"/>
        </w:rPr>
      </w:pPr>
      <w:r w:rsidRPr="00640F4A">
        <w:rPr>
          <w:rFonts w:asciiTheme="minorHAnsi" w:hAnsiTheme="minorHAnsi" w:cstheme="minorHAnsi"/>
          <w:i/>
          <w:szCs w:val="24"/>
        </w:rPr>
        <w:t xml:space="preserve"> </w:t>
      </w:r>
      <w:r w:rsidRPr="00640F4A">
        <w:rPr>
          <w:rFonts w:asciiTheme="minorHAnsi" w:hAnsiTheme="minorHAnsi" w:cstheme="minorHAnsi"/>
          <w:i/>
          <w:szCs w:val="24"/>
        </w:rPr>
        <w:tab/>
        <w:t>Ab initio</w:t>
      </w:r>
      <w:r w:rsidRPr="00640F4A">
        <w:rPr>
          <w:rFonts w:asciiTheme="minorHAnsi" w:hAnsiTheme="minorHAnsi" w:cstheme="minorHAnsi"/>
          <w:szCs w:val="24"/>
        </w:rPr>
        <w:t xml:space="preserve">, cumpre destacar a </w:t>
      </w:r>
      <w:r w:rsidRPr="00640F4A" w:rsidR="003609CB">
        <w:rPr>
          <w:rFonts w:asciiTheme="minorHAnsi" w:hAnsiTheme="minorHAnsi" w:cstheme="minorHAnsi"/>
          <w:szCs w:val="24"/>
        </w:rPr>
        <w:t>atribuição</w:t>
      </w:r>
      <w:r w:rsidRPr="00640F4A">
        <w:rPr>
          <w:rFonts w:asciiTheme="minorHAnsi" w:hAnsiTheme="minorHAnsi" w:cstheme="minorHAnsi"/>
          <w:szCs w:val="24"/>
        </w:rPr>
        <w:t xml:space="preserve"> regimental </w:t>
      </w:r>
      <w:r w:rsidRPr="00640F4A" w:rsidR="003609CB">
        <w:rPr>
          <w:rFonts w:asciiTheme="minorHAnsi" w:hAnsiTheme="minorHAnsi" w:cstheme="minorHAnsi"/>
          <w:szCs w:val="24"/>
        </w:rPr>
        <w:t xml:space="preserve">à </w:t>
      </w:r>
      <w:r w:rsidRPr="00640F4A">
        <w:rPr>
          <w:rFonts w:asciiTheme="minorHAnsi" w:hAnsiTheme="minorHAnsi" w:cstheme="minorHAnsi"/>
          <w:szCs w:val="24"/>
        </w:rPr>
        <w:t>Comissão de Justiça e Red</w:t>
      </w:r>
      <w:r w:rsidRPr="00640F4A" w:rsidR="003609CB">
        <w:rPr>
          <w:rFonts w:asciiTheme="minorHAnsi" w:hAnsiTheme="minorHAnsi" w:cstheme="minorHAnsi"/>
          <w:szCs w:val="24"/>
        </w:rPr>
        <w:t>ação estabelecida no artigo 38</w:t>
      </w:r>
      <w:r>
        <w:rPr>
          <w:rStyle w:val="FootnoteReference"/>
          <w:rFonts w:asciiTheme="minorHAnsi" w:hAnsiTheme="minorHAnsi" w:cstheme="minorHAnsi"/>
          <w:szCs w:val="24"/>
        </w:rPr>
        <w:footnoteReference w:id="2"/>
      </w:r>
      <w:r w:rsidRPr="00640F4A" w:rsidR="003609CB">
        <w:rPr>
          <w:rFonts w:asciiTheme="minorHAnsi" w:hAnsiTheme="minorHAnsi" w:cstheme="minorHAnsi"/>
          <w:szCs w:val="24"/>
        </w:rPr>
        <w:t>.</w:t>
      </w:r>
      <w:r w:rsidRPr="00640F4A" w:rsidR="00433B18">
        <w:rPr>
          <w:rFonts w:asciiTheme="minorHAnsi" w:hAnsiTheme="minorHAnsi" w:cstheme="minorHAnsi"/>
          <w:szCs w:val="24"/>
        </w:rPr>
        <w:t xml:space="preserve"> </w:t>
      </w:r>
    </w:p>
    <w:p w:rsidR="002E0C51" w:rsidRPr="00640F4A" w:rsidP="002E0C51">
      <w:pPr>
        <w:tabs>
          <w:tab w:val="left" w:pos="1701"/>
        </w:tabs>
        <w:spacing w:after="12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</w:t>
      </w:r>
      <w:r w:rsidRPr="00640F4A" w:rsidR="005273EF">
        <w:rPr>
          <w:rFonts w:asciiTheme="minorHAnsi" w:hAnsiTheme="minorHAnsi" w:cstheme="minorHAnsi"/>
          <w:szCs w:val="24"/>
        </w:rPr>
        <w:t xml:space="preserve">essalta-se que a opinião jurídica </w:t>
      </w:r>
      <w:r w:rsidRPr="0037353A" w:rsidR="005273EF">
        <w:rPr>
          <w:rFonts w:asciiTheme="minorHAnsi" w:hAnsiTheme="minorHAnsi" w:cstheme="minorHAnsi"/>
          <w:b/>
          <w:szCs w:val="24"/>
        </w:rPr>
        <w:t xml:space="preserve">não </w:t>
      </w:r>
      <w:r w:rsidRPr="0037353A" w:rsidR="00C50FBC">
        <w:rPr>
          <w:rFonts w:asciiTheme="minorHAnsi" w:hAnsiTheme="minorHAnsi" w:cstheme="minorHAnsi"/>
          <w:b/>
          <w:szCs w:val="24"/>
        </w:rPr>
        <w:t>possui</w:t>
      </w:r>
      <w:r w:rsidRPr="0037353A" w:rsidR="005273EF">
        <w:rPr>
          <w:rFonts w:asciiTheme="minorHAnsi" w:hAnsiTheme="minorHAnsi" w:cstheme="minorHAnsi"/>
          <w:b/>
          <w:szCs w:val="24"/>
        </w:rPr>
        <w:t xml:space="preserve"> força vinculante</w:t>
      </w:r>
      <w:r w:rsidRPr="00640F4A" w:rsidR="005273EF">
        <w:rPr>
          <w:rFonts w:asciiTheme="minorHAnsi" w:hAnsiTheme="minorHAnsi" w:cstheme="minorHAnsi"/>
          <w:szCs w:val="24"/>
        </w:rPr>
        <w:t>, sendo meramente opinativo</w:t>
      </w:r>
      <w:r>
        <w:rPr>
          <w:rStyle w:val="FootnoteReference"/>
          <w:rFonts w:asciiTheme="minorHAnsi" w:hAnsiTheme="minorHAnsi" w:cstheme="minorHAnsi"/>
          <w:szCs w:val="24"/>
        </w:rPr>
        <w:footnoteReference w:id="3"/>
      </w:r>
      <w:r w:rsidRPr="00640F4A" w:rsidR="00A842D6">
        <w:rPr>
          <w:rFonts w:asciiTheme="minorHAnsi" w:hAnsiTheme="minorHAnsi" w:cstheme="minorHAnsi"/>
          <w:szCs w:val="24"/>
        </w:rPr>
        <w:t>,</w:t>
      </w:r>
      <w:r w:rsidRPr="00640F4A" w:rsidR="005273EF">
        <w:rPr>
          <w:rFonts w:asciiTheme="minorHAnsi" w:hAnsiTheme="minorHAnsi" w:cstheme="minorHAnsi"/>
          <w:szCs w:val="24"/>
        </w:rPr>
        <w:t xml:space="preserve"> não fundamentando decisão proferida pelas Comissões.</w:t>
      </w:r>
      <w:r w:rsidRPr="00640F4A">
        <w:rPr>
          <w:rFonts w:asciiTheme="minorHAnsi" w:hAnsiTheme="minorHAnsi" w:cstheme="minorHAnsi"/>
          <w:szCs w:val="24"/>
        </w:rPr>
        <w:t xml:space="preserve"> </w:t>
      </w:r>
    </w:p>
    <w:p w:rsidR="00084468" w:rsidRPr="00640F4A" w:rsidP="00084468">
      <w:pPr>
        <w:pStyle w:val="Default"/>
        <w:spacing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640F4A">
        <w:rPr>
          <w:rFonts w:asciiTheme="minorHAnsi" w:hAnsiTheme="minorHAnsi" w:cstheme="minorHAnsi"/>
          <w:color w:val="auto"/>
        </w:rPr>
        <w:t>Considerando-se o</w:t>
      </w:r>
      <w:r w:rsidRPr="00640F4A" w:rsidR="00BC67F2">
        <w:rPr>
          <w:rFonts w:asciiTheme="minorHAnsi" w:hAnsiTheme="minorHAnsi" w:cstheme="minorHAnsi"/>
          <w:color w:val="auto"/>
        </w:rPr>
        <w:t>s</w:t>
      </w:r>
      <w:r w:rsidRPr="00640F4A">
        <w:rPr>
          <w:rFonts w:asciiTheme="minorHAnsi" w:hAnsiTheme="minorHAnsi" w:cstheme="minorHAnsi"/>
          <w:color w:val="auto"/>
        </w:rPr>
        <w:t xml:space="preserve"> aspecto</w:t>
      </w:r>
      <w:r w:rsidRPr="00640F4A" w:rsidR="00BC67F2">
        <w:rPr>
          <w:rFonts w:asciiTheme="minorHAnsi" w:hAnsiTheme="minorHAnsi" w:cstheme="minorHAnsi"/>
          <w:color w:val="auto"/>
        </w:rPr>
        <w:t>s jurídicos</w:t>
      </w:r>
      <w:r w:rsidRPr="00640F4A">
        <w:rPr>
          <w:rFonts w:asciiTheme="minorHAnsi" w:hAnsiTheme="minorHAnsi" w:cstheme="minorHAnsi"/>
          <w:color w:val="auto"/>
        </w:rPr>
        <w:t xml:space="preserve"> passa-se a </w:t>
      </w:r>
      <w:r w:rsidRPr="00640F4A">
        <w:rPr>
          <w:rFonts w:asciiTheme="minorHAnsi" w:hAnsiTheme="minorHAnsi" w:cstheme="minorHAnsi"/>
          <w:b/>
          <w:color w:val="auto"/>
        </w:rPr>
        <w:t>análise técnica</w:t>
      </w:r>
      <w:r w:rsidRPr="00640F4A">
        <w:rPr>
          <w:rFonts w:asciiTheme="minorHAnsi" w:hAnsiTheme="minorHAnsi" w:cstheme="minorHAnsi"/>
          <w:color w:val="auto"/>
        </w:rPr>
        <w:t xml:space="preserve"> do projeto. </w:t>
      </w:r>
    </w:p>
    <w:p w:rsidR="009A626C" w:rsidRPr="00640F4A" w:rsidP="009A626C">
      <w:pPr>
        <w:pStyle w:val="Default"/>
        <w:spacing w:after="240" w:line="360" w:lineRule="auto"/>
        <w:ind w:firstLine="1701"/>
        <w:jc w:val="both"/>
        <w:rPr>
          <w:rFonts w:asciiTheme="minorHAnsi" w:hAnsiTheme="minorHAnsi" w:cs="Calibri"/>
          <w:color w:val="auto"/>
        </w:rPr>
      </w:pPr>
      <w:r w:rsidRPr="00640F4A">
        <w:rPr>
          <w:rFonts w:asciiTheme="minorHAnsi" w:hAnsiTheme="minorHAnsi" w:cs="Calibri"/>
          <w:color w:val="auto"/>
        </w:rPr>
        <w:t xml:space="preserve">A proposta em exame, no que tange à </w:t>
      </w:r>
      <w:r w:rsidRPr="00640F4A">
        <w:rPr>
          <w:rFonts w:asciiTheme="minorHAnsi" w:hAnsiTheme="minorHAnsi" w:cs="Calibri"/>
          <w:b/>
          <w:color w:val="auto"/>
        </w:rPr>
        <w:t>competência municipal</w:t>
      </w:r>
      <w:r w:rsidRPr="00640F4A">
        <w:rPr>
          <w:rFonts w:asciiTheme="minorHAnsi" w:hAnsiTheme="minorHAnsi" w:cs="Calibri"/>
          <w:color w:val="auto"/>
        </w:rPr>
        <w:t xml:space="preserve"> afigura-se revestida de constitucionalidade, pois por força da Constituição os Municípios foram dotados de autonomia legislativa, que vem consubstanciada na capacidade de legislar sobre assuntos de interesse local (art. 30, I da CRFB). </w:t>
      </w:r>
    </w:p>
    <w:p w:rsidR="00067AC8" w:rsidRPr="00640F4A" w:rsidP="009A626C">
      <w:pPr>
        <w:spacing w:before="120" w:after="12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640F4A">
        <w:rPr>
          <w:rFonts w:asciiTheme="minorHAnsi" w:hAnsiTheme="minorHAnsi" w:cstheme="minorHAnsi"/>
          <w:szCs w:val="24"/>
        </w:rPr>
        <w:t>No mesmo sentido a Lei Orgânica do Município</w:t>
      </w:r>
      <w:r w:rsidRPr="00640F4A" w:rsidR="001B0294">
        <w:rPr>
          <w:rFonts w:asciiTheme="minorHAnsi" w:hAnsiTheme="minorHAnsi" w:cstheme="minorHAnsi"/>
          <w:szCs w:val="24"/>
        </w:rPr>
        <w:t xml:space="preserve"> estabelece</w:t>
      </w:r>
      <w:r w:rsidRPr="00640F4A">
        <w:rPr>
          <w:rFonts w:asciiTheme="minorHAnsi" w:hAnsiTheme="minorHAnsi" w:cstheme="minorHAnsi"/>
          <w:szCs w:val="24"/>
        </w:rPr>
        <w:t>:</w:t>
      </w:r>
    </w:p>
    <w:p w:rsidR="00067AC8" w:rsidRPr="00640F4A" w:rsidP="009A626C">
      <w:pPr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40F4A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Artigo 5º </w:t>
      </w:r>
      <w:r w:rsidRPr="00640F4A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 xml:space="preserve">- </w:t>
      </w:r>
      <w:r w:rsidRPr="00640F4A">
        <w:rPr>
          <w:rFonts w:asciiTheme="minorHAnsi" w:hAnsiTheme="minorHAnsi" w:cstheme="minorHAnsi"/>
          <w:i/>
          <w:sz w:val="22"/>
          <w:szCs w:val="22"/>
          <w:u w:val="single"/>
        </w:rPr>
        <w:t>Compete ao Município</w:t>
      </w:r>
      <w:r w:rsidRPr="00640F4A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640F4A">
        <w:rPr>
          <w:rFonts w:asciiTheme="minorHAnsi" w:hAnsiTheme="minorHAnsi" w:cstheme="minorHAnsi"/>
          <w:b/>
          <w:i/>
          <w:sz w:val="22"/>
          <w:szCs w:val="22"/>
        </w:rPr>
        <w:t>no exercício de sua autonomia legislar sobre tudo quanto respeite ao interesse local, tendo como objetivo o pleno desenvolvimento de suas funções sociais e garantir o bem-estar de seus habitantes</w:t>
      </w:r>
      <w:r w:rsidRPr="00640F4A">
        <w:rPr>
          <w:rFonts w:asciiTheme="minorHAnsi" w:hAnsiTheme="minorHAnsi" w:cstheme="minorHAnsi"/>
          <w:i/>
          <w:sz w:val="22"/>
          <w:szCs w:val="22"/>
        </w:rPr>
        <w:t>, cabendo-lhe privativamente entre outras, as seguintes atribuições:</w:t>
      </w:r>
    </w:p>
    <w:p w:rsidR="00067AC8" w:rsidRPr="00640F4A" w:rsidP="009A626C">
      <w:pPr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40F4A">
        <w:rPr>
          <w:rFonts w:asciiTheme="minorHAnsi" w:hAnsiTheme="minorHAnsi" w:cstheme="minorHAnsi"/>
          <w:i/>
          <w:sz w:val="22"/>
          <w:szCs w:val="22"/>
        </w:rPr>
        <w:t>[...]</w:t>
      </w:r>
    </w:p>
    <w:p w:rsidR="00067AC8" w:rsidRPr="00640F4A" w:rsidP="009A626C">
      <w:pPr>
        <w:pStyle w:val="Default"/>
        <w:ind w:left="2268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640F4A">
        <w:rPr>
          <w:rFonts w:asciiTheme="minorHAnsi" w:hAnsiTheme="minorHAnsi" w:cstheme="minorHAnsi"/>
          <w:b/>
          <w:bCs/>
          <w:i/>
          <w:color w:val="auto"/>
          <w:sz w:val="22"/>
          <w:szCs w:val="22"/>
        </w:rPr>
        <w:t xml:space="preserve">Artigo 8º - </w:t>
      </w:r>
      <w:r w:rsidRPr="00640F4A">
        <w:rPr>
          <w:rFonts w:asciiTheme="minorHAnsi" w:hAnsiTheme="minorHAnsi" w:cstheme="minorHAnsi"/>
          <w:b/>
          <w:i/>
          <w:color w:val="auto"/>
          <w:sz w:val="22"/>
          <w:szCs w:val="22"/>
        </w:rPr>
        <w:t>Cabe à Câmara</w:t>
      </w:r>
      <w:r w:rsidRPr="00640F4A">
        <w:rPr>
          <w:rFonts w:asciiTheme="minorHAnsi" w:hAnsiTheme="minorHAnsi" w:cstheme="minorHAnsi"/>
          <w:i/>
          <w:color w:val="auto"/>
          <w:sz w:val="22"/>
          <w:szCs w:val="22"/>
        </w:rPr>
        <w:t>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</w:t>
      </w:r>
    </w:p>
    <w:p w:rsidR="00067AC8" w:rsidRPr="00640F4A" w:rsidP="009A626C">
      <w:pPr>
        <w:pStyle w:val="Default"/>
        <w:ind w:left="2268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640F4A">
        <w:rPr>
          <w:rFonts w:asciiTheme="minorHAnsi" w:hAnsiTheme="minorHAnsi" w:cstheme="minorHAnsi"/>
          <w:b/>
          <w:i/>
          <w:color w:val="auto"/>
          <w:sz w:val="22"/>
          <w:szCs w:val="22"/>
        </w:rPr>
        <w:t>I - legislar sobre assuntos de interesse local;</w:t>
      </w:r>
    </w:p>
    <w:p w:rsidR="00067AC8" w:rsidRPr="00640F4A" w:rsidP="009A626C">
      <w:pPr>
        <w:pStyle w:val="Default"/>
        <w:ind w:left="2268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640F4A">
        <w:rPr>
          <w:rFonts w:asciiTheme="minorHAnsi" w:hAnsiTheme="minorHAnsi" w:cstheme="minorHAnsi"/>
          <w:i/>
          <w:color w:val="auto"/>
          <w:sz w:val="22"/>
          <w:szCs w:val="22"/>
        </w:rPr>
        <w:t>[...]</w:t>
      </w:r>
    </w:p>
    <w:p w:rsidR="00FE51A5" w:rsidRPr="00640F4A" w:rsidP="00866E5A">
      <w:pPr>
        <w:pStyle w:val="BodyText"/>
        <w:spacing w:line="360" w:lineRule="auto"/>
        <w:ind w:firstLine="1701"/>
        <w:jc w:val="both"/>
        <w:rPr>
          <w:rFonts w:asciiTheme="minorHAnsi" w:hAnsiTheme="minorHAnsi" w:cstheme="minorHAnsi"/>
          <w:sz w:val="4"/>
          <w:szCs w:val="4"/>
        </w:rPr>
      </w:pPr>
    </w:p>
    <w:p w:rsidR="00067AC8" w:rsidRPr="00640F4A" w:rsidP="00067AC8">
      <w:pPr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640F4A">
        <w:rPr>
          <w:rFonts w:asciiTheme="minorHAnsi" w:hAnsiTheme="minorHAnsi" w:cstheme="minorHAnsi"/>
          <w:szCs w:val="24"/>
        </w:rPr>
        <w:t>Acerca do interesse local, a doutrina obtempera</w:t>
      </w:r>
      <w:r w:rsidRPr="00640F4A">
        <w:rPr>
          <w:rFonts w:asciiTheme="minorHAnsi" w:hAnsiTheme="minorHAnsi" w:cstheme="minorHAnsi"/>
          <w:szCs w:val="24"/>
        </w:rPr>
        <w:t xml:space="preserve">: </w:t>
      </w:r>
    </w:p>
    <w:p w:rsidR="001B0294" w:rsidRPr="00640F4A" w:rsidP="001B0294">
      <w:pPr>
        <w:tabs>
          <w:tab w:val="left" w:pos="2268"/>
        </w:tabs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40F4A">
        <w:rPr>
          <w:rFonts w:asciiTheme="minorHAnsi" w:hAnsiTheme="minorHAnsi" w:cstheme="minorHAnsi"/>
          <w:i/>
          <w:sz w:val="22"/>
          <w:szCs w:val="22"/>
        </w:rPr>
        <w:t xml:space="preserve">“Interesse local não é interesse exclusivo do Município; não é interesse privativo da localidade; não é interesse único dos munícipes. Se se exigisse essa exclusividade, </w:t>
      </w:r>
      <w:r w:rsidRPr="00640F4A">
        <w:rPr>
          <w:rFonts w:asciiTheme="minorHAnsi" w:hAnsiTheme="minorHAnsi" w:cstheme="minorHAnsi"/>
          <w:i/>
          <w:sz w:val="22"/>
          <w:szCs w:val="22"/>
        </w:rPr>
        <w:t xml:space="preserve">essa </w:t>
      </w:r>
      <w:r w:rsidRPr="00640F4A">
        <w:rPr>
          <w:rFonts w:asciiTheme="minorHAnsi" w:hAnsiTheme="minorHAnsi" w:cstheme="minorHAnsi"/>
          <w:i/>
          <w:sz w:val="22"/>
          <w:szCs w:val="22"/>
        </w:rPr>
        <w:t>privatividade</w:t>
      </w:r>
      <w:r w:rsidRPr="00640F4A">
        <w:rPr>
          <w:rFonts w:asciiTheme="minorHAnsi" w:hAnsiTheme="minorHAnsi" w:cstheme="minorHAnsi"/>
          <w:i/>
          <w:sz w:val="22"/>
          <w:szCs w:val="22"/>
        </w:rPr>
        <w:t>, essa unicidade, bem reduzido</w:t>
      </w:r>
      <w:r w:rsidRPr="00640F4A">
        <w:rPr>
          <w:rFonts w:asciiTheme="minorHAnsi" w:hAnsiTheme="minorHAnsi" w:cstheme="minorHAnsi"/>
          <w:i/>
          <w:sz w:val="22"/>
          <w:szCs w:val="22"/>
        </w:rPr>
        <w:t xml:space="preserve"> ficaria o âmbito da Administração local, aniquilando-se a autonomia de que faz praça a Constituição. Mesmo porque não há interesse municipal que não o seja reflexamente da União e do Estado-membro, como, também, não há interesse regional ou nacional que não ressoe nos Municípios, como partes integrantes da Federação Brasileira. </w:t>
      </w:r>
      <w:r w:rsidRPr="00640F4A">
        <w:rPr>
          <w:rFonts w:asciiTheme="minorHAnsi" w:hAnsiTheme="minorHAnsi" w:cstheme="minorHAnsi"/>
          <w:b/>
          <w:i/>
          <w:sz w:val="22"/>
          <w:szCs w:val="22"/>
        </w:rPr>
        <w:t>O que define e caracteriza o ‘interesse local’, inscrito como dogma constitucional, é a predominância do interesse do Município sobre o do Estado ou da União.</w:t>
      </w:r>
      <w:r w:rsidRPr="00640F4A">
        <w:rPr>
          <w:rFonts w:asciiTheme="minorHAnsi" w:hAnsiTheme="minorHAnsi" w:cstheme="minorHAnsi"/>
          <w:i/>
          <w:sz w:val="22"/>
          <w:szCs w:val="22"/>
        </w:rPr>
        <w:t xml:space="preserve"> (...) Concluindo, podemos dizer que tudo quanto repercutir direta e indiretamente na vida municipal é de interesse peculiar do Município, embora possa interessar também indireta e mediatamente ao Estado-membro e à União. O provimento de tais negócios cabe exclusivamente Município </w:t>
      </w:r>
      <w:r w:rsidRPr="00640F4A">
        <w:rPr>
          <w:rFonts w:asciiTheme="minorHAnsi" w:hAnsiTheme="minorHAnsi" w:cstheme="minorHAnsi"/>
          <w:i/>
          <w:sz w:val="22"/>
          <w:szCs w:val="22"/>
        </w:rPr>
        <w:t xml:space="preserve">interessado, não sendo lícita a ingerência de poderes estranhos sem ofensa à autonomia local.” </w:t>
      </w:r>
    </w:p>
    <w:p w:rsidR="00067AC8" w:rsidRPr="00640F4A" w:rsidP="001B0294">
      <w:pPr>
        <w:tabs>
          <w:tab w:val="left" w:pos="2268"/>
        </w:tabs>
        <w:ind w:left="2268"/>
        <w:jc w:val="both"/>
        <w:rPr>
          <w:rFonts w:asciiTheme="minorHAnsi" w:hAnsiTheme="minorHAnsi" w:cstheme="minorHAnsi"/>
          <w:sz w:val="22"/>
          <w:szCs w:val="22"/>
        </w:rPr>
      </w:pPr>
      <w:r w:rsidRPr="00640F4A">
        <w:rPr>
          <w:rFonts w:asciiTheme="minorHAnsi" w:hAnsiTheme="minorHAnsi" w:cstheme="minorHAnsi"/>
          <w:sz w:val="22"/>
          <w:szCs w:val="22"/>
        </w:rPr>
        <w:t xml:space="preserve">(MEIRELLES, Hely Lopes, Direito Municipal Brasileiro, 16ª </w:t>
      </w:r>
      <w:r w:rsidRPr="00640F4A">
        <w:rPr>
          <w:rFonts w:asciiTheme="minorHAnsi" w:hAnsiTheme="minorHAnsi" w:cstheme="minorHAnsi"/>
          <w:sz w:val="22"/>
          <w:szCs w:val="22"/>
        </w:rPr>
        <w:t>ed</w:t>
      </w:r>
      <w:r w:rsidRPr="00640F4A">
        <w:rPr>
          <w:rFonts w:asciiTheme="minorHAnsi" w:hAnsiTheme="minorHAnsi" w:cstheme="minorHAnsi"/>
          <w:sz w:val="22"/>
          <w:szCs w:val="22"/>
        </w:rPr>
        <w:t>, Malheiros Editores, p. 111)</w:t>
      </w:r>
    </w:p>
    <w:p w:rsidR="001B0294" w:rsidRPr="00640F4A" w:rsidP="001B0294">
      <w:pPr>
        <w:tabs>
          <w:tab w:val="left" w:pos="2268"/>
        </w:tabs>
        <w:ind w:left="2268"/>
        <w:jc w:val="both"/>
        <w:rPr>
          <w:rFonts w:asciiTheme="minorHAnsi" w:hAnsiTheme="minorHAnsi" w:cstheme="minorHAnsi"/>
          <w:sz w:val="22"/>
          <w:szCs w:val="22"/>
        </w:rPr>
      </w:pPr>
    </w:p>
    <w:p w:rsidR="0084738E" w:rsidRPr="00640F4A" w:rsidP="004639D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640F4A">
        <w:rPr>
          <w:rFonts w:asciiTheme="minorHAnsi" w:hAnsiTheme="minorHAnsi" w:cstheme="minorHAnsi"/>
          <w:szCs w:val="24"/>
        </w:rPr>
        <w:tab/>
      </w:r>
      <w:r w:rsidRPr="00640F4A">
        <w:rPr>
          <w:rFonts w:asciiTheme="minorHAnsi" w:hAnsiTheme="minorHAnsi" w:cstheme="minorHAnsi"/>
          <w:szCs w:val="24"/>
        </w:rPr>
        <w:tab/>
        <w:t xml:space="preserve">No que tange à competência para deflagrar o processo legislativo </w:t>
      </w:r>
      <w:r w:rsidRPr="00640F4A" w:rsidR="004639D3">
        <w:rPr>
          <w:rFonts w:asciiTheme="minorHAnsi" w:hAnsiTheme="minorHAnsi" w:cstheme="minorHAnsi"/>
          <w:szCs w:val="24"/>
        </w:rPr>
        <w:t>a Constituição do Estado de São Paulo, no artigo 24, § 2º em simetria com o artigo 61, § 1º d</w:t>
      </w:r>
      <w:r w:rsidRPr="00640F4A">
        <w:rPr>
          <w:rFonts w:asciiTheme="minorHAnsi" w:hAnsiTheme="minorHAnsi" w:cstheme="minorHAnsi"/>
          <w:szCs w:val="24"/>
        </w:rPr>
        <w:t>a Constituição Federal, no estabelece o rol de hipóteses de iniciativa privativa do Chefe do Poder Executivo:</w:t>
      </w:r>
    </w:p>
    <w:p w:rsidR="0084738E" w:rsidRPr="00640F4A" w:rsidP="001B0294">
      <w:pPr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40F4A">
        <w:rPr>
          <w:rFonts w:asciiTheme="minorHAnsi" w:hAnsiTheme="minorHAnsi" w:cstheme="minorHAnsi"/>
          <w:i/>
          <w:sz w:val="22"/>
          <w:szCs w:val="22"/>
        </w:rPr>
        <w:t>Artigo 24 - A iniciativa das leis complementares e ordinárias cabe a qualquer membro ou comissão da Assembleia (sic) Legislativa, ao Governador do Estado, ao Tribunal de Justiça, ao Procurador-Geral de Justiça e aos cidadãos, na forma e nos casos previstos nesta Constituição.</w:t>
      </w:r>
    </w:p>
    <w:p w:rsidR="0084738E" w:rsidRPr="00640F4A" w:rsidP="001B0294">
      <w:pPr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40F4A">
        <w:rPr>
          <w:rFonts w:asciiTheme="minorHAnsi" w:hAnsiTheme="minorHAnsi" w:cstheme="minorHAnsi"/>
          <w:i/>
          <w:sz w:val="22"/>
          <w:szCs w:val="22"/>
        </w:rPr>
        <w:t>[...]</w:t>
      </w:r>
    </w:p>
    <w:p w:rsidR="0084738E" w:rsidRPr="00640F4A" w:rsidP="001B0294">
      <w:pPr>
        <w:pStyle w:val="paragrafo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40F4A">
        <w:rPr>
          <w:rFonts w:asciiTheme="minorHAnsi" w:hAnsiTheme="minorHAnsi" w:cstheme="minorHAnsi"/>
          <w:i/>
          <w:sz w:val="22"/>
          <w:szCs w:val="22"/>
        </w:rPr>
        <w:t>§ 2º - Compete, exclusivamente, ao Governador do Estado a iniciativa das leis que disponham sobre:</w:t>
      </w:r>
    </w:p>
    <w:p w:rsidR="0084738E" w:rsidRPr="00640F4A" w:rsidP="001B0294">
      <w:pPr>
        <w:pStyle w:val="item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0" w:name="CESP_ART_024_2_1"/>
      <w:bookmarkEnd w:id="0"/>
      <w:r w:rsidRPr="00640F4A">
        <w:rPr>
          <w:rFonts w:asciiTheme="minorHAnsi" w:hAnsiTheme="minorHAnsi" w:cstheme="minorHAnsi"/>
          <w:i/>
          <w:sz w:val="22"/>
          <w:szCs w:val="22"/>
        </w:rPr>
        <w:t>1 - criação e extinção de cargos, funções ou empregos públicos na administração direta e autárquica, bem como a fixação da respectiva remuneração;</w:t>
      </w:r>
    </w:p>
    <w:p w:rsidR="0084738E" w:rsidRPr="00640F4A" w:rsidP="001B0294">
      <w:pPr>
        <w:pStyle w:val="item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1" w:name="CESP_ART_024_2_2"/>
      <w:bookmarkEnd w:id="1"/>
      <w:r w:rsidRPr="00640F4A">
        <w:rPr>
          <w:rFonts w:asciiTheme="minorHAnsi" w:hAnsiTheme="minorHAnsi" w:cstheme="minorHAnsi"/>
          <w:i/>
          <w:sz w:val="22"/>
          <w:szCs w:val="22"/>
        </w:rPr>
        <w:t>2 - criação e extinção das Secretarias de Estado e órgãos da administração pública, observado o disposto no art. 47, XIX; (NR)- Redação dada pela Emenda Constitucional nº 21, de 14/2/2006.</w:t>
      </w:r>
    </w:p>
    <w:p w:rsidR="0084738E" w:rsidRPr="00640F4A" w:rsidP="001B0294">
      <w:pPr>
        <w:pStyle w:val="item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2" w:name="CESP_ART_024_2_3"/>
      <w:bookmarkEnd w:id="2"/>
      <w:r w:rsidRPr="00640F4A">
        <w:rPr>
          <w:rFonts w:asciiTheme="minorHAnsi" w:hAnsiTheme="minorHAnsi" w:cstheme="minorHAnsi"/>
          <w:i/>
          <w:sz w:val="22"/>
          <w:szCs w:val="22"/>
        </w:rPr>
        <w:t>3 - organização da Procuradoria Geral do Estado e da Defensoria Pública do Estado, observadas as normas gerais da União;</w:t>
      </w:r>
    </w:p>
    <w:p w:rsidR="0084738E" w:rsidRPr="00640F4A" w:rsidP="001B0294">
      <w:pPr>
        <w:pStyle w:val="item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bookmarkStart w:id="3" w:name="CESP_ART_024_2_4"/>
      <w:bookmarkEnd w:id="3"/>
      <w:r w:rsidRPr="00640F4A">
        <w:rPr>
          <w:rFonts w:asciiTheme="minorHAnsi" w:hAnsiTheme="minorHAnsi" w:cstheme="minorHAnsi"/>
          <w:i/>
          <w:sz w:val="22"/>
          <w:szCs w:val="22"/>
        </w:rPr>
        <w:t xml:space="preserve">4 - servidores públicos do Estado, seu regime jurídico, provimento de cargos, estabilidade e aposentadoria; </w:t>
      </w:r>
    </w:p>
    <w:p w:rsidR="0084738E" w:rsidRPr="00640F4A" w:rsidP="001B0294">
      <w:pPr>
        <w:pStyle w:val="item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40F4A">
        <w:rPr>
          <w:rFonts w:asciiTheme="minorHAnsi" w:hAnsiTheme="minorHAnsi" w:cstheme="minorHAnsi"/>
          <w:i/>
          <w:sz w:val="22"/>
          <w:szCs w:val="22"/>
        </w:rPr>
        <w:t xml:space="preserve">5 - militares, seu regime jurídico, provimento de cargos, promoções, estabilidade, remuneração, reforma e transferência para inatividade, bem como fixação ou alteração do efetivo da Polícia Militar; </w:t>
      </w:r>
    </w:p>
    <w:p w:rsidR="0084738E" w:rsidRPr="00640F4A" w:rsidP="001B0294">
      <w:pPr>
        <w:pStyle w:val="item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40F4A">
        <w:rPr>
          <w:rFonts w:asciiTheme="minorHAnsi" w:hAnsiTheme="minorHAnsi" w:cstheme="minorHAnsi"/>
          <w:i/>
          <w:sz w:val="22"/>
          <w:szCs w:val="22"/>
        </w:rPr>
        <w:t>6 - criação, alteração ou supressão de cartórios notariais e de registros públicos.</w:t>
      </w:r>
    </w:p>
    <w:p w:rsidR="0084738E" w:rsidRPr="00640F4A" w:rsidP="0084738E">
      <w:pPr>
        <w:pStyle w:val="item"/>
        <w:spacing w:before="0" w:beforeAutospacing="0" w:after="12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84738E" w:rsidRPr="00640F4A" w:rsidP="009A626C">
      <w:pPr>
        <w:spacing w:after="12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640F4A">
        <w:rPr>
          <w:rFonts w:asciiTheme="minorHAnsi" w:hAnsiTheme="minorHAnsi" w:cstheme="minorHAnsi"/>
          <w:szCs w:val="24"/>
        </w:rPr>
        <w:t>Do mesmo modo, o art. 48, da Lei Orgânica do Município de Valinhos estabelece as matérias de deflagração exclusiva do Prefeito Municipal:</w:t>
      </w:r>
    </w:p>
    <w:p w:rsidR="0084738E" w:rsidRPr="00640F4A" w:rsidP="009A626C">
      <w:pPr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40F4A">
        <w:rPr>
          <w:rFonts w:asciiTheme="minorHAnsi" w:hAnsiTheme="minorHAnsi" w:cstheme="minorHAnsi"/>
          <w:i/>
          <w:sz w:val="22"/>
          <w:szCs w:val="22"/>
        </w:rPr>
        <w:t xml:space="preserve">Art. 48. Compete, exclusivamente, ao Prefeito a iniciativa dos projetos de lei que disponham sobre: </w:t>
      </w:r>
    </w:p>
    <w:p w:rsidR="0084738E" w:rsidRPr="00640F4A" w:rsidP="009A626C">
      <w:pPr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40F4A">
        <w:rPr>
          <w:rFonts w:asciiTheme="minorHAnsi" w:hAnsiTheme="minorHAnsi" w:cstheme="minorHAnsi"/>
          <w:i/>
          <w:sz w:val="22"/>
          <w:szCs w:val="22"/>
        </w:rPr>
        <w:t>I - criação e extinção de cargos, funções ou empregos públicos na administração direta e autárquica, bem como a fixação da respectiva remuneração;</w:t>
      </w:r>
    </w:p>
    <w:p w:rsidR="0084738E" w:rsidRPr="00640F4A" w:rsidP="009A626C">
      <w:pPr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40F4A">
        <w:rPr>
          <w:rFonts w:asciiTheme="minorHAnsi" w:hAnsiTheme="minorHAnsi" w:cstheme="minorHAnsi"/>
          <w:i/>
          <w:sz w:val="22"/>
          <w:szCs w:val="22"/>
        </w:rPr>
        <w:t xml:space="preserve"> II - criação, estruturação e atribuições das Secretarias Municipais e órgãos da administração pública; </w:t>
      </w:r>
    </w:p>
    <w:p w:rsidR="0084738E" w:rsidRPr="00640F4A" w:rsidP="009A626C">
      <w:pPr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40F4A">
        <w:rPr>
          <w:rFonts w:asciiTheme="minorHAnsi" w:hAnsiTheme="minorHAnsi" w:cstheme="minorHAnsi"/>
          <w:i/>
          <w:sz w:val="22"/>
          <w:szCs w:val="22"/>
        </w:rPr>
        <w:t xml:space="preserve">III - servidores públicos do Município, seu regime jurídico, provimento de cargos, estabilidade e aposentadoria; </w:t>
      </w:r>
    </w:p>
    <w:p w:rsidR="0084738E" w:rsidP="009A626C">
      <w:pPr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40F4A">
        <w:rPr>
          <w:rFonts w:asciiTheme="minorHAnsi" w:hAnsiTheme="minorHAnsi" w:cstheme="minorHAnsi"/>
          <w:i/>
          <w:sz w:val="22"/>
          <w:szCs w:val="22"/>
        </w:rPr>
        <w:t>IV - abertura de créditos adicionais.</w:t>
      </w:r>
    </w:p>
    <w:p w:rsidR="008F1266" w:rsidRPr="00640F4A" w:rsidP="009A626C">
      <w:pPr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84738E" w:rsidRPr="00640F4A" w:rsidP="0084738E">
      <w:pPr>
        <w:pStyle w:val="Default"/>
        <w:tabs>
          <w:tab w:val="left" w:pos="1701"/>
        </w:tabs>
        <w:spacing w:after="120" w:line="360" w:lineRule="auto"/>
        <w:ind w:firstLine="1701"/>
        <w:jc w:val="both"/>
        <w:rPr>
          <w:rFonts w:asciiTheme="minorHAnsi" w:hAnsiTheme="minorHAnsi" w:cstheme="minorHAnsi"/>
          <w:color w:val="auto"/>
          <w:u w:val="single"/>
        </w:rPr>
      </w:pPr>
      <w:r w:rsidRPr="00640F4A">
        <w:rPr>
          <w:rFonts w:asciiTheme="minorHAnsi" w:hAnsiTheme="minorHAnsi" w:cstheme="minorHAnsi"/>
          <w:color w:val="auto"/>
        </w:rPr>
        <w:t>Acerca dos limites da competência legislativa municipal dos membros do Poder Legislativo destacamos</w:t>
      </w:r>
      <w:r w:rsidRPr="00640F4A">
        <w:rPr>
          <w:rFonts w:asciiTheme="minorHAnsi" w:hAnsiTheme="minorHAnsi" w:cstheme="minorHAnsi"/>
          <w:b/>
          <w:color w:val="auto"/>
        </w:rPr>
        <w:t xml:space="preserve"> </w:t>
      </w:r>
      <w:r w:rsidRPr="00640F4A">
        <w:rPr>
          <w:rFonts w:asciiTheme="minorHAnsi" w:hAnsiTheme="minorHAnsi" w:cstheme="minorHAnsi"/>
          <w:color w:val="auto"/>
        </w:rPr>
        <w:t>decisão do Colendo Supremo Tribunal Federal que f</w:t>
      </w:r>
      <w:r w:rsidRPr="00640F4A" w:rsidR="001B0294">
        <w:rPr>
          <w:rFonts w:asciiTheme="minorHAnsi" w:hAnsiTheme="minorHAnsi" w:cstheme="minorHAnsi"/>
          <w:color w:val="auto"/>
        </w:rPr>
        <w:t>orneceu paradigma nesse sentido, t</w:t>
      </w:r>
      <w:r w:rsidRPr="00640F4A">
        <w:rPr>
          <w:rFonts w:asciiTheme="minorHAnsi" w:hAnsiTheme="minorHAnsi" w:cstheme="minorHAnsi"/>
          <w:color w:val="auto"/>
        </w:rPr>
        <w:t xml:space="preserve">rata-se do </w:t>
      </w:r>
      <w:r w:rsidRPr="00640F4A">
        <w:rPr>
          <w:rFonts w:asciiTheme="minorHAnsi" w:hAnsiTheme="minorHAnsi" w:cstheme="minorHAnsi"/>
          <w:b/>
          <w:color w:val="auto"/>
        </w:rPr>
        <w:t>Tema nº 917 de repercussão geral (Paradigma ARE 878911)</w:t>
      </w:r>
      <w:r w:rsidRPr="00640F4A">
        <w:rPr>
          <w:rFonts w:asciiTheme="minorHAnsi" w:hAnsiTheme="minorHAnsi" w:cstheme="minorHAnsi"/>
          <w:color w:val="auto"/>
        </w:rPr>
        <w:t xml:space="preserve"> que recebeu a seguinte redação:</w:t>
      </w:r>
    </w:p>
    <w:p w:rsidR="0084738E" w:rsidRPr="00640F4A" w:rsidP="001B0294">
      <w:pPr>
        <w:pStyle w:val="Default"/>
        <w:ind w:left="2268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640F4A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“Não usurpa competência privativa do Chefe do Poder </w:t>
      </w:r>
      <w:r w:rsidRPr="00640F4A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640F4A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Administração, não trata da sua estrutura ou da atribuição de seus órgãos nem do regime jurídico de servidores públicos (art. 61, § 1º, </w:t>
      </w:r>
      <w:r w:rsidRPr="00640F4A">
        <w:rPr>
          <w:rFonts w:asciiTheme="minorHAnsi" w:hAnsiTheme="minorHAnsi" w:cstheme="minorHAnsi"/>
          <w:b/>
          <w:i/>
          <w:color w:val="auto"/>
          <w:sz w:val="22"/>
          <w:szCs w:val="22"/>
        </w:rPr>
        <w:t>II,"a</w:t>
      </w:r>
      <w:r w:rsidRPr="00640F4A">
        <w:rPr>
          <w:rFonts w:asciiTheme="minorHAnsi" w:hAnsiTheme="minorHAnsi" w:cstheme="minorHAnsi"/>
          <w:b/>
          <w:i/>
          <w:color w:val="auto"/>
          <w:sz w:val="22"/>
          <w:szCs w:val="22"/>
        </w:rPr>
        <w:t>", "c" e "e", da Constituição Federal)”.</w:t>
      </w:r>
    </w:p>
    <w:p w:rsidR="0084738E" w:rsidRPr="00640F4A" w:rsidP="001B0294">
      <w:pPr>
        <w:pStyle w:val="Default"/>
        <w:ind w:left="2268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640F4A">
        <w:rPr>
          <w:rFonts w:asciiTheme="minorHAnsi" w:hAnsiTheme="minorHAnsi" w:cstheme="minorHAnsi"/>
          <w:i/>
          <w:color w:val="auto"/>
          <w:sz w:val="22"/>
          <w:szCs w:val="22"/>
        </w:rPr>
        <w:t xml:space="preserve">Recurso extraordinário com agravo. Repercussão geral. 2. Ação Direta de Inconstitucionalidade estadual. Lei 5.616/2013, do Município do Rio de Janeiro. Instalação de câmeras de monitoramento em escolas e cercanias. 3. Inconstitucionalidade formal. Vício de iniciativa. Competência privativa do Poder Executivo municipal. Não ocorrência. </w:t>
      </w:r>
      <w:r w:rsidRPr="00640F4A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Não usurpa a competência privativa do chefe do Poder </w:t>
      </w:r>
      <w:r w:rsidRPr="00640F4A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640F4A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 Pública, não trata da sua estrutura ou da atribuição de seus órgãos nem do regime jurídico de servidores públicos.</w:t>
      </w:r>
      <w:r w:rsidRPr="00640F4A">
        <w:rPr>
          <w:rFonts w:asciiTheme="minorHAnsi" w:hAnsiTheme="minorHAnsi" w:cstheme="minorHAnsi"/>
          <w:i/>
          <w:color w:val="auto"/>
          <w:sz w:val="22"/>
          <w:szCs w:val="22"/>
        </w:rPr>
        <w:t xml:space="preserve"> 4. Repercussão geral reconhecida com reafirmação da jurisprudência desta Corte. 5. Recurso extraordinário provido. (ARE 878911 RG, </w:t>
      </w:r>
      <w:r w:rsidRPr="00640F4A">
        <w:rPr>
          <w:rFonts w:asciiTheme="minorHAnsi" w:hAnsiTheme="minorHAnsi" w:cstheme="minorHAnsi"/>
          <w:i/>
          <w:color w:val="auto"/>
          <w:sz w:val="22"/>
          <w:szCs w:val="22"/>
        </w:rPr>
        <w:t>Relator(</w:t>
      </w:r>
      <w:r w:rsidRPr="00640F4A">
        <w:rPr>
          <w:rFonts w:asciiTheme="minorHAnsi" w:hAnsiTheme="minorHAnsi" w:cstheme="minorHAnsi"/>
          <w:i/>
          <w:color w:val="auto"/>
          <w:sz w:val="22"/>
          <w:szCs w:val="22"/>
        </w:rPr>
        <w:t xml:space="preserve">a): Min. GILMAR MENDES, julgado em 29/09/2016, PROCESSO ELETRÔNICO REPERCUSSÃO GERAL - MÉRITO DJe-217 DIVULG 10-10-2016 PUBLIC 11-10-2016 ) </w:t>
      </w:r>
    </w:p>
    <w:p w:rsidR="0084738E" w:rsidRPr="00640F4A" w:rsidP="0084738E">
      <w:pPr>
        <w:pStyle w:val="Default"/>
        <w:spacing w:after="120" w:line="360" w:lineRule="auto"/>
        <w:ind w:left="2268"/>
        <w:jc w:val="both"/>
        <w:rPr>
          <w:rFonts w:asciiTheme="minorHAnsi" w:hAnsiTheme="minorHAnsi" w:cstheme="minorHAnsi"/>
          <w:color w:val="auto"/>
          <w:sz w:val="12"/>
          <w:szCs w:val="12"/>
        </w:rPr>
      </w:pPr>
    </w:p>
    <w:p w:rsidR="0084738E" w:rsidRPr="00640F4A" w:rsidP="0084738E">
      <w:pPr>
        <w:pStyle w:val="Default"/>
        <w:spacing w:after="12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640F4A">
        <w:rPr>
          <w:rFonts w:asciiTheme="minorHAnsi" w:hAnsiTheme="minorHAnsi" w:cstheme="minorHAnsi"/>
          <w:color w:val="auto"/>
        </w:rPr>
        <w:t>Consoante entendimento da C. Suprema Corte (Tema de repercussão geral nº 917) extrai-se que a iniciativa dos vereadores encontra limites naqueles assuntos afetos diretamente ao Chefe do Poder Executivo, notadamente, a estruturação da Administração Pública, a atribuição de seus órgãos e o regime jurídico de servidores público.</w:t>
      </w:r>
    </w:p>
    <w:p w:rsidR="006F148C" w:rsidRPr="00783603" w:rsidP="006F148C">
      <w:pPr>
        <w:spacing w:before="120" w:after="240" w:line="360" w:lineRule="auto"/>
        <w:ind w:firstLine="1701"/>
        <w:jc w:val="both"/>
        <w:rPr>
          <w:rFonts w:eastAsia="Calibri" w:asciiTheme="minorHAnsi" w:hAnsiTheme="minorHAnsi" w:cstheme="minorHAnsi"/>
          <w:szCs w:val="24"/>
        </w:rPr>
      </w:pPr>
      <w:r w:rsidRPr="00783603">
        <w:rPr>
          <w:rFonts w:eastAsia="Calibri" w:asciiTheme="minorHAnsi" w:hAnsiTheme="minorHAnsi" w:cstheme="minorHAnsi"/>
          <w:szCs w:val="24"/>
        </w:rPr>
        <w:t>No caso em apreço verifica-se que a propo</w:t>
      </w:r>
      <w:r w:rsidRPr="00783603" w:rsidR="009A626C">
        <w:rPr>
          <w:rFonts w:eastAsia="Calibri" w:asciiTheme="minorHAnsi" w:hAnsiTheme="minorHAnsi" w:cstheme="minorHAnsi"/>
          <w:szCs w:val="24"/>
        </w:rPr>
        <w:t xml:space="preserve">situra tenciona criar programa </w:t>
      </w:r>
      <w:r w:rsidRPr="00783603" w:rsidR="007A70FB">
        <w:rPr>
          <w:rFonts w:eastAsia="Calibri" w:asciiTheme="minorHAnsi" w:hAnsiTheme="minorHAnsi" w:cstheme="minorHAnsi"/>
          <w:szCs w:val="24"/>
        </w:rPr>
        <w:t>de equoterapia como método terapêutico para reabilitação de pessoas com deficiência ou necessidades especiais em geral.</w:t>
      </w:r>
      <w:r w:rsidRPr="00783603" w:rsidR="00E146A5">
        <w:rPr>
          <w:rFonts w:eastAsia="Calibri" w:asciiTheme="minorHAnsi" w:hAnsiTheme="minorHAnsi" w:cstheme="minorHAnsi"/>
          <w:szCs w:val="24"/>
        </w:rPr>
        <w:t xml:space="preserve"> </w:t>
      </w:r>
      <w:r w:rsidRPr="00783603">
        <w:rPr>
          <w:rFonts w:eastAsia="Calibri" w:asciiTheme="minorHAnsi" w:hAnsiTheme="minorHAnsi" w:cstheme="minorHAnsi"/>
          <w:szCs w:val="24"/>
        </w:rPr>
        <w:t>Destarte, a princípio, no que tange à competência para deflagrar o proce</w:t>
      </w:r>
      <w:r w:rsidR="00783603">
        <w:rPr>
          <w:rFonts w:eastAsia="Calibri" w:asciiTheme="minorHAnsi" w:hAnsiTheme="minorHAnsi" w:cstheme="minorHAnsi"/>
          <w:szCs w:val="24"/>
        </w:rPr>
        <w:t xml:space="preserve">sso legislativo, a Lei Maior </w:t>
      </w:r>
      <w:r w:rsidRPr="00783603">
        <w:rPr>
          <w:rFonts w:eastAsia="Calibri" w:asciiTheme="minorHAnsi" w:hAnsiTheme="minorHAnsi" w:cstheme="minorHAnsi"/>
          <w:szCs w:val="24"/>
        </w:rPr>
        <w:t>não contém nenhuma disposição que</w:t>
      </w:r>
      <w:r w:rsidR="004633F8">
        <w:rPr>
          <w:rFonts w:eastAsia="Calibri" w:asciiTheme="minorHAnsi" w:hAnsiTheme="minorHAnsi" w:cstheme="minorHAnsi"/>
          <w:szCs w:val="24"/>
        </w:rPr>
        <w:t xml:space="preserve"> impeça a Câmara de Vereadores </w:t>
      </w:r>
      <w:r w:rsidRPr="00783603">
        <w:rPr>
          <w:rFonts w:eastAsia="Calibri" w:asciiTheme="minorHAnsi" w:hAnsiTheme="minorHAnsi" w:cstheme="minorHAnsi"/>
          <w:szCs w:val="24"/>
        </w:rPr>
        <w:t>dispor</w:t>
      </w:r>
      <w:r w:rsidRPr="00783603">
        <w:rPr>
          <w:rFonts w:eastAsia="Calibri" w:asciiTheme="minorHAnsi" w:hAnsiTheme="minorHAnsi" w:cstheme="minorHAnsi"/>
          <w:szCs w:val="24"/>
        </w:rPr>
        <w:t xml:space="preserve"> sobre a matéria.</w:t>
      </w:r>
    </w:p>
    <w:p w:rsidR="007D66E2" w:rsidRPr="00FC256E" w:rsidP="007D66E2">
      <w:pPr>
        <w:spacing w:before="120" w:after="240" w:line="360" w:lineRule="auto"/>
        <w:ind w:firstLine="1701"/>
        <w:jc w:val="both"/>
        <w:rPr>
          <w:rFonts w:eastAsia="Calibri" w:asciiTheme="minorHAnsi" w:hAnsiTheme="minorHAnsi" w:cstheme="minorHAnsi"/>
          <w:szCs w:val="24"/>
        </w:rPr>
      </w:pPr>
      <w:r w:rsidRPr="00FC256E">
        <w:rPr>
          <w:rFonts w:eastAsia="Calibri" w:asciiTheme="minorHAnsi" w:hAnsiTheme="minorHAnsi" w:cstheme="minorHAnsi"/>
          <w:szCs w:val="24"/>
        </w:rPr>
        <w:t xml:space="preserve">Em verdade, na essência, temos que a norma que possui </w:t>
      </w:r>
      <w:r w:rsidRPr="00783603">
        <w:rPr>
          <w:rFonts w:eastAsia="Calibri" w:asciiTheme="minorHAnsi" w:hAnsiTheme="minorHAnsi" w:cstheme="minorHAnsi"/>
          <w:b/>
          <w:szCs w:val="24"/>
        </w:rPr>
        <w:t>natureza programática</w:t>
      </w:r>
      <w:r w:rsidRPr="00FC256E">
        <w:rPr>
          <w:rFonts w:eastAsia="Calibri" w:asciiTheme="minorHAnsi" w:hAnsiTheme="minorHAnsi" w:cstheme="minorHAnsi"/>
          <w:szCs w:val="24"/>
        </w:rPr>
        <w:t xml:space="preserve"> na visão da E. Corte Estadual de Justiça é possível ser veiculada via lei de origem parlamentar, e.g.: </w:t>
      </w:r>
    </w:p>
    <w:p w:rsidR="00412D04" w:rsidRPr="00F546B8" w:rsidP="007D66E2">
      <w:pPr>
        <w:spacing w:before="120" w:after="120"/>
        <w:ind w:left="2268"/>
        <w:jc w:val="both"/>
        <w:rPr>
          <w:rFonts w:asciiTheme="minorHAnsi" w:hAnsiTheme="minorHAnsi"/>
          <w:i/>
          <w:sz w:val="20"/>
          <w:shd w:val="clear" w:color="auto" w:fill="FFFFFF"/>
        </w:rPr>
      </w:pPr>
      <w:r w:rsidRPr="00F546B8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AÇÃO DIRETA DE INCONSTITUCIONALIDADE – Lei nº 5.715, de 23 de maio de 2022, do Município de Caieiras, </w:t>
      </w:r>
      <w:r w:rsidRPr="00B57872">
        <w:rPr>
          <w:rFonts w:asciiTheme="minorHAnsi" w:hAnsiTheme="minorHAnsi"/>
          <w:i/>
          <w:sz w:val="22"/>
          <w:szCs w:val="22"/>
          <w:shd w:val="clear" w:color="auto" w:fill="FFFFFF"/>
        </w:rPr>
        <w:t>de iniciativa parlamentar, que instituiu o "Cinema Social Itinerante</w:t>
      </w:r>
      <w:r w:rsidRPr="00F546B8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" e deu outras providências – Vício de iniciativa NÃO CONFIGURADO – </w:t>
      </w:r>
      <w:r w:rsidRPr="00F546B8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 xml:space="preserve">Matéria de competência concorrente (art. 24, §1º, da Constituição Estadual), e não privativa do Chefe do Poder Executivo, conforme entendimento consolidado pelo C. Supremo Tribunal Federal, no julgamento do RE. </w:t>
      </w:r>
      <w:r w:rsidRPr="00F546B8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>nº</w:t>
      </w:r>
      <w:r w:rsidRPr="00F546B8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 xml:space="preserve"> 878.911/RJ, em sede de repercussão geral (Tema 917)</w:t>
      </w:r>
      <w:r w:rsidRPr="00F546B8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– Norma impugnada que institui verdadeira política pública no âmbito do Município de Caieiras, mediante a previsão de exibição gratuita de filmes em logradouros públicos, garantindo o acesso a relevante fonte de cultura à população, nos termos dos arts. 259 e 262, I, da Constituição Estadual – Ausência de intervenção em atos de gestão administrativa – </w:t>
      </w:r>
      <w:r w:rsidRPr="00F546B8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>Ato normativo que não estabelece qualquer regra acerca do modo de concretização do programa, inexistindo, portanto, afronta o princípio da Reserva de Administração</w:t>
      </w:r>
      <w:r w:rsidRPr="00F546B8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– Ação improcedente. (</w:t>
      </w:r>
      <w:r w:rsidRPr="00F546B8">
        <w:rPr>
          <w:rFonts w:asciiTheme="minorHAnsi" w:hAnsiTheme="minorHAnsi"/>
          <w:i/>
          <w:sz w:val="20"/>
          <w:shd w:val="clear" w:color="auto" w:fill="FFFFFF"/>
        </w:rPr>
        <w:t>TJSP;</w:t>
      </w:r>
      <w:r w:rsidRPr="00F546B8">
        <w:rPr>
          <w:rFonts w:asciiTheme="minorHAnsi" w:hAnsiTheme="minorHAnsi"/>
          <w:i/>
          <w:sz w:val="20"/>
          <w:shd w:val="clear" w:color="auto" w:fill="FFFFFF"/>
        </w:rPr>
        <w:t xml:space="preserve">  </w:t>
      </w:r>
      <w:r w:rsidRPr="00F546B8">
        <w:rPr>
          <w:rFonts w:asciiTheme="minorHAnsi" w:hAnsiTheme="minorHAnsi"/>
          <w:i/>
          <w:sz w:val="20"/>
          <w:shd w:val="clear" w:color="auto" w:fill="FFFFFF"/>
        </w:rPr>
        <w:t xml:space="preserve">Direta de Inconstitucionalidade 2235540-28.2022.8.26.0000; Relator (a): Luis Fernando </w:t>
      </w:r>
      <w:r w:rsidRPr="00F546B8">
        <w:rPr>
          <w:rFonts w:asciiTheme="minorHAnsi" w:hAnsiTheme="minorHAnsi"/>
          <w:i/>
          <w:sz w:val="20"/>
          <w:shd w:val="clear" w:color="auto" w:fill="FFFFFF"/>
        </w:rPr>
        <w:t>Nishi</w:t>
      </w:r>
      <w:r w:rsidRPr="00F546B8">
        <w:rPr>
          <w:rFonts w:asciiTheme="minorHAnsi" w:hAnsiTheme="minorHAnsi"/>
          <w:i/>
          <w:sz w:val="20"/>
          <w:shd w:val="clear" w:color="auto" w:fill="FFFFFF"/>
        </w:rPr>
        <w:t>; Órgão Julgador: Órgão Especial; Tribunal de Justiça de São Paulo - N/A; Data do Julgamento: 20/09/2023; Data de Registro: 26/09/2023)</w:t>
      </w:r>
    </w:p>
    <w:p w:rsidR="00FC256E" w:rsidRPr="008F1266" w:rsidP="007D66E2">
      <w:pPr>
        <w:pBdr>
          <w:top w:val="single" w:sz="12" w:space="1" w:color="auto"/>
          <w:bottom w:val="single" w:sz="12" w:space="1" w:color="auto"/>
        </w:pBdr>
        <w:spacing w:before="120" w:after="120"/>
        <w:ind w:left="2268"/>
        <w:jc w:val="both"/>
        <w:rPr>
          <w:rFonts w:asciiTheme="minorHAnsi" w:hAnsiTheme="minorHAnsi"/>
          <w:i/>
          <w:color w:val="FF0000"/>
          <w:sz w:val="4"/>
          <w:szCs w:val="4"/>
          <w:shd w:val="clear" w:color="auto" w:fill="FFFFFF"/>
        </w:rPr>
      </w:pPr>
    </w:p>
    <w:p w:rsidR="00412D04" w:rsidP="007D66E2">
      <w:pPr>
        <w:pBdr>
          <w:top w:val="single" w:sz="12" w:space="1" w:color="auto"/>
          <w:bottom w:val="single" w:sz="12" w:space="1" w:color="auto"/>
        </w:pBdr>
        <w:spacing w:before="120" w:after="120"/>
        <w:ind w:left="2268"/>
        <w:jc w:val="both"/>
        <w:rPr>
          <w:rFonts w:asciiTheme="minorHAnsi" w:hAnsiTheme="minorHAnsi"/>
          <w:i/>
          <w:sz w:val="20"/>
          <w:shd w:val="clear" w:color="auto" w:fill="FFFFFF"/>
        </w:rPr>
      </w:pPr>
      <w:r w:rsidRPr="00F546B8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Ação direta de inconstitucionalidade – Ação movida pelo Prefeito do Município de Gália objetivando a declaração de inconstitucionalidade da Lei nº 2.704/2022, de iniciativa parlamentar, que cria o </w:t>
      </w:r>
      <w:r w:rsidRPr="00F546B8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>Programa Esporte Social; Inexistência, em linhas gerais, de vício de iniciativa, à luz do Tema nº 917 de Repercussão Geral e da competência legislativa suplementar dos Municípios a respeito da matéria – Concretização de direitos sociais – Precedentes do E. STF</w:t>
      </w:r>
      <w:r w:rsidRPr="00F546B8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– Ausência, ainda em âmbito geral, de mácula aos arts. 25 da CE, 167, I, da CF e art. 113 do ADCT – Jurisprudência do E. STF assente no sentido de que a falta de indicação da fonte de custeio para realização das medidas preconizadas na norma não é causa de sua inconstitucionalidade, implicando tão somente que a eficácia da norma se dará apenas no exercício financeiro seguinte ao de sua promulgação – Política pública que, ao se sujeitar a disponibilidades financeiras e técnicas locais, possuindo certo grau de flexibilização, não se insere no conceito de despesa obrigatória – Inconstitucionalidade aferida, contudo, em relação a dispositivos específicos; Parágrafo único do art. 1º, art. 3º e art. 6º - Normas que autorizam o Poder Executivo a realizar parcerias e a regulamentar a lei mediante decreto – </w:t>
      </w:r>
      <w:r w:rsidRPr="00F546B8">
        <w:rPr>
          <w:rFonts w:asciiTheme="minorHAnsi" w:hAnsiTheme="minorHAnsi"/>
          <w:i/>
          <w:sz w:val="22"/>
          <w:szCs w:val="22"/>
          <w:shd w:val="clear" w:color="auto" w:fill="FFFFFF"/>
        </w:rPr>
        <w:t>Afronta</w:t>
      </w:r>
      <w:r w:rsidRPr="00F546B8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aos arts. 5º, 47, II, III e XIV, e 144 da CE – Caráter teoricamente autorizativo que não </w:t>
      </w:r>
      <w:r w:rsidRPr="00F546B8">
        <w:rPr>
          <w:rFonts w:asciiTheme="minorHAnsi" w:hAnsiTheme="minorHAnsi"/>
          <w:i/>
          <w:sz w:val="22"/>
          <w:szCs w:val="22"/>
          <w:shd w:val="clear" w:color="auto" w:fill="FFFFFF"/>
        </w:rPr>
        <w:t>afasta a inconstitucionalidade – Legislador local que predicou a respeito de temática própria do legislador constitucional, dele usurpando competência – Autorização que, ademais, implica a possibilidade de desautorização, evidenciando a mácula ao texto constitucional; Inciso I do art. 2º – Fixação de datas para realização dos eventos esportivos – Realização apenas nos finais de semana entre os meses de fevereiro e novembro – Estabelecimento de obrigação específica ao Executivo, que tolhe a opção deste pela via mais adequada à implantação da política pública – Dissonância quanto aos arts. 5º, 47, II e XIV, e 144 da CE; Demais dispositivos da lei local que genericamente balizam o projeto social em questão, não se observando excessiva imposição ao Executivo de determinada forma de implementação do programa; Pedido julgado parcialmente procedente.</w:t>
      </w:r>
      <w:r w:rsidRPr="00F546B8">
        <w:rPr>
          <w:rFonts w:ascii="Verdana" w:hAnsi="Verdana"/>
          <w:sz w:val="17"/>
          <w:szCs w:val="17"/>
          <w:shd w:val="clear" w:color="auto" w:fill="FFFFFF"/>
        </w:rPr>
        <w:t> </w:t>
      </w:r>
      <w:r w:rsidRPr="00F546B8">
        <w:rPr>
          <w:rFonts w:asciiTheme="minorHAnsi" w:hAnsiTheme="minorHAnsi"/>
          <w:i/>
          <w:sz w:val="20"/>
          <w:shd w:val="clear" w:color="auto" w:fill="FFFFFF"/>
        </w:rPr>
        <w:t>(TJSP;</w:t>
      </w:r>
      <w:r w:rsidRPr="00F546B8">
        <w:rPr>
          <w:rFonts w:asciiTheme="minorHAnsi" w:hAnsiTheme="minorHAnsi"/>
          <w:i/>
          <w:sz w:val="20"/>
          <w:shd w:val="clear" w:color="auto" w:fill="FFFFFF"/>
        </w:rPr>
        <w:t xml:space="preserve">  </w:t>
      </w:r>
      <w:r w:rsidRPr="00F546B8">
        <w:rPr>
          <w:rFonts w:asciiTheme="minorHAnsi" w:hAnsiTheme="minorHAnsi"/>
          <w:i/>
          <w:sz w:val="20"/>
          <w:shd w:val="clear" w:color="auto" w:fill="FFFFFF"/>
        </w:rPr>
        <w:t xml:space="preserve">Direta de Inconstitucionalidade 2273952-28.2022.8.26.0000; Relator (a): Luciana </w:t>
      </w:r>
      <w:r w:rsidRPr="00F546B8">
        <w:rPr>
          <w:rFonts w:asciiTheme="minorHAnsi" w:hAnsiTheme="minorHAnsi"/>
          <w:i/>
          <w:sz w:val="20"/>
          <w:shd w:val="clear" w:color="auto" w:fill="FFFFFF"/>
        </w:rPr>
        <w:t>Bresciani</w:t>
      </w:r>
      <w:r w:rsidRPr="00F546B8">
        <w:rPr>
          <w:rFonts w:asciiTheme="minorHAnsi" w:hAnsiTheme="minorHAnsi"/>
          <w:i/>
          <w:sz w:val="20"/>
          <w:shd w:val="clear" w:color="auto" w:fill="FFFFFF"/>
        </w:rPr>
        <w:t>; Órgão Julgador: Órgão Especial; Tribunal de Justiça de São Paulo - N/A; Data do Julgamento: 02/08/2023; Data de Registro: 03/08/2023)</w:t>
      </w:r>
    </w:p>
    <w:p w:rsidR="00B57872" w:rsidP="00B57872">
      <w:pPr>
        <w:ind w:left="2268"/>
        <w:jc w:val="both"/>
        <w:rPr>
          <w:rFonts w:ascii="Calibri" w:hAnsi="Calibri" w:eastAsiaTheme="minorHAnsi" w:cs="Calibri"/>
          <w:i/>
          <w:color w:val="000000"/>
          <w:sz w:val="22"/>
          <w:szCs w:val="22"/>
          <w:shd w:val="clear" w:color="auto" w:fill="FFFFFF"/>
          <w:lang w:eastAsia="en-US"/>
        </w:rPr>
      </w:pPr>
    </w:p>
    <w:p w:rsidR="00B57872" w:rsidP="00B57872">
      <w:pPr>
        <w:ind w:left="2268"/>
        <w:jc w:val="both"/>
        <w:rPr>
          <w:rFonts w:ascii="Calibri" w:hAnsi="Calibri" w:eastAsiaTheme="minorHAnsi" w:cs="Calibri"/>
          <w:i/>
          <w:color w:val="000000"/>
          <w:sz w:val="20"/>
          <w:shd w:val="clear" w:color="auto" w:fill="FFFFFF"/>
          <w:lang w:eastAsia="en-US"/>
        </w:rPr>
      </w:pPr>
      <w:r w:rsidRPr="00B57872">
        <w:rPr>
          <w:rFonts w:ascii="Calibri" w:hAnsi="Calibri" w:eastAsiaTheme="minorHAnsi" w:cs="Calibri"/>
          <w:i/>
          <w:color w:val="000000"/>
          <w:sz w:val="22"/>
          <w:szCs w:val="22"/>
          <w:shd w:val="clear" w:color="auto" w:fill="FFFFFF"/>
          <w:lang w:eastAsia="en-US"/>
        </w:rPr>
        <w:t xml:space="preserve">AÇÃO DIRETA DE INCONSTITUCIONALIDADE – LEI Nº 3.936, DE 18 DE AGOSTO DE 2020, DO MUNICÍPIO DE MAIRIPORÃ/SP, QUE 'DISPÕE SOBRE A </w:t>
      </w:r>
      <w:r w:rsidRPr="00B57872">
        <w:rPr>
          <w:rFonts w:ascii="Calibri" w:hAnsi="Calibri" w:eastAsiaTheme="minorHAnsi" w:cs="Calibri"/>
          <w:b/>
          <w:i/>
          <w:color w:val="000000"/>
          <w:sz w:val="22"/>
          <w:szCs w:val="22"/>
          <w:shd w:val="clear" w:color="auto" w:fill="FFFFFF"/>
          <w:lang w:eastAsia="en-US"/>
        </w:rPr>
        <w:t xml:space="preserve">CRIAÇÃO DO PROGRAMA DE INCENTIVO À CULTURA </w:t>
      </w:r>
      <w:r w:rsidRPr="00B57872">
        <w:rPr>
          <w:rFonts w:ascii="Calibri" w:hAnsi="Calibri" w:eastAsiaTheme="minorHAnsi" w:cs="Calibri"/>
          <w:i/>
          <w:color w:val="000000"/>
          <w:sz w:val="22"/>
          <w:szCs w:val="22"/>
          <w:shd w:val="clear" w:color="auto" w:fill="FFFFFF"/>
          <w:lang w:eastAsia="en-US"/>
        </w:rPr>
        <w:t xml:space="preserve">– CINEMA ITINERANTE EM BAIRROS E PRAÇAS DO MUNICÍPIO DE MAIRIPORÃ' – </w:t>
      </w:r>
      <w:r w:rsidRPr="00B57872">
        <w:rPr>
          <w:rFonts w:ascii="Calibri" w:hAnsi="Calibri" w:eastAsiaTheme="minorHAnsi" w:cs="Calibri"/>
          <w:b/>
          <w:i/>
          <w:color w:val="000000"/>
          <w:sz w:val="22"/>
          <w:szCs w:val="22"/>
          <w:shd w:val="clear" w:color="auto" w:fill="FFFFFF"/>
          <w:lang w:eastAsia="en-US"/>
        </w:rPr>
        <w:t xml:space="preserve">LEI DE INICIATIVA PARLAMENTAR – CONFORMIDADE, NA ESSÊNCIA, AOS ARTIGOS. 5º, 24, §2º, 47, INCISOS II, XI, XIV E XIX, ALÍNEA 'A', DA CONSTITUIÇÃO DO ESTADO DE SÃO PAULO – VÍCIO DE INICIATIVA NÃO CARACTERIZADO, POIS A NORMA IMPUGNADA NÃO VERSA SOBRE A ESTRUTURA OU ORGANIZAÇÃO DE ÓRGÃOS DO EXECUTIVO OU REGIME JURÍDICO DOS SERVIDORES PÚBLICOS – TESE FIXADA EM REPERCUSSÃO GERAL NO ÂMBITO DO C. STF – TEMA </w:t>
      </w:r>
      <w:r w:rsidRPr="00B57872">
        <w:rPr>
          <w:rFonts w:ascii="Calibri" w:hAnsi="Calibri" w:eastAsiaTheme="minorHAnsi" w:cs="Calibri"/>
          <w:b/>
          <w:i/>
          <w:color w:val="000000"/>
          <w:sz w:val="22"/>
          <w:szCs w:val="22"/>
          <w:shd w:val="clear" w:color="auto" w:fill="FFFFFF"/>
          <w:lang w:eastAsia="en-US"/>
        </w:rPr>
        <w:t>NO 917</w:t>
      </w:r>
      <w:r w:rsidRPr="00B57872">
        <w:rPr>
          <w:rFonts w:ascii="Calibri" w:hAnsi="Calibri" w:eastAsiaTheme="minorHAnsi" w:cs="Calibri"/>
          <w:b/>
          <w:i/>
          <w:color w:val="000000"/>
          <w:sz w:val="22"/>
          <w:szCs w:val="22"/>
          <w:shd w:val="clear" w:color="auto" w:fill="FFFFFF"/>
          <w:lang w:eastAsia="en-US"/>
        </w:rPr>
        <w:t xml:space="preserve"> –</w:t>
      </w:r>
      <w:r w:rsidRPr="00B57872">
        <w:rPr>
          <w:rFonts w:ascii="Calibri" w:hAnsi="Calibri" w:eastAsiaTheme="minorHAnsi" w:cs="Calibri"/>
          <w:i/>
          <w:color w:val="000000"/>
          <w:sz w:val="22"/>
          <w:szCs w:val="22"/>
          <w:shd w:val="clear" w:color="auto" w:fill="FFFFFF"/>
          <w:lang w:eastAsia="en-US"/>
        </w:rPr>
        <w:t xml:space="preserve"> ARE. 878.911/RJ – EXPRESSÃO 'COM ANTECEDÊNCIA MÍNIMA DE SETE DIAS', PREVISTA NO 'CAPUT' ARTIGO 2º, BEM COMO DISPOSIÇÕES CONTIDAS NO ARTIGO 3º E PARÁGRAFOS DA LEI IMPUGNADA, PORÉM, QUE INGRESSAM NO CAMPO DA RESERVA DA ADMINISTRAÇÃO – INVIÁVEL A INSTITUIÇÃO DA FORMA DE CUMPRIMENTO OU EXECUÇÃO DO PROGRAMA CRIADO – AUSÊNCIA DE PREVISÃO ORÇAMENTÁRIA QUE, POR SI SÓ, NÃO TEM O CONDÃO DE ATRIBUIR INCONSTITUCIONALIDADE À LEI – PRECEDENTES DO C. STF – PRETENSÃO PARCIALMENTE PROCEDENTE. (</w:t>
      </w:r>
      <w:r w:rsidRPr="00B57872">
        <w:rPr>
          <w:rFonts w:ascii="Calibri" w:hAnsi="Calibri" w:eastAsiaTheme="minorHAnsi" w:cs="Calibri"/>
          <w:i/>
          <w:color w:val="000000"/>
          <w:sz w:val="20"/>
          <w:shd w:val="clear" w:color="auto" w:fill="FFFFFF"/>
          <w:lang w:eastAsia="en-US"/>
        </w:rPr>
        <w:t>TJSP;</w:t>
      </w:r>
      <w:r w:rsidRPr="00B57872">
        <w:rPr>
          <w:rFonts w:ascii="Calibri" w:hAnsi="Calibri" w:eastAsiaTheme="minorHAnsi" w:cs="Calibri"/>
          <w:i/>
          <w:color w:val="000000"/>
          <w:sz w:val="20"/>
          <w:shd w:val="clear" w:color="auto" w:fill="FFFFFF"/>
          <w:lang w:eastAsia="en-US"/>
        </w:rPr>
        <w:t xml:space="preserve">  </w:t>
      </w:r>
      <w:r w:rsidRPr="00B57872">
        <w:rPr>
          <w:rFonts w:ascii="Calibri" w:hAnsi="Calibri" w:eastAsiaTheme="minorHAnsi" w:cs="Calibri"/>
          <w:i/>
          <w:color w:val="000000"/>
          <w:sz w:val="20"/>
          <w:shd w:val="clear" w:color="auto" w:fill="FFFFFF"/>
          <w:lang w:eastAsia="en-US"/>
        </w:rPr>
        <w:t>Direta de Inconstitucionalidade 2289675-58.2020.8.26.0000; Relator (a): Francisco Casconi; Órgão Julgador: Órgão Especial; Tribunal de Justiça de São Paulo - N/A; Data do Julgamento: 16/03/2022; Data de Registro: 21/03/2022)</w:t>
      </w:r>
    </w:p>
    <w:p w:rsidR="00B57872" w:rsidRPr="00B57872" w:rsidP="00B57872">
      <w:pPr>
        <w:pBdr>
          <w:bottom w:val="single" w:sz="12" w:space="1" w:color="auto"/>
        </w:pBdr>
        <w:ind w:left="2268"/>
        <w:jc w:val="both"/>
        <w:rPr>
          <w:rFonts w:ascii="Calibri" w:hAnsi="Calibri" w:eastAsiaTheme="minorHAnsi" w:cs="Calibri"/>
          <w:b/>
          <w:i/>
          <w:color w:val="000000"/>
          <w:sz w:val="22"/>
          <w:szCs w:val="22"/>
          <w:shd w:val="clear" w:color="auto" w:fill="FFFFFF"/>
          <w:lang w:eastAsia="en-US"/>
        </w:rPr>
      </w:pPr>
      <w:r w:rsidRPr="00B57872">
        <w:rPr>
          <w:rFonts w:ascii="Calibri" w:hAnsi="Calibri" w:eastAsiaTheme="minorHAnsi" w:cs="Calibri"/>
          <w:b/>
          <w:i/>
          <w:color w:val="000000"/>
          <w:sz w:val="22"/>
          <w:szCs w:val="22"/>
          <w:shd w:val="clear" w:color="auto" w:fill="FFFFFF"/>
          <w:lang w:eastAsia="en-US"/>
        </w:rPr>
        <w:t>Grifo nosso.</w:t>
      </w:r>
    </w:p>
    <w:p w:rsidR="00B57872" w:rsidRPr="00057E67" w:rsidP="00B57872">
      <w:pPr>
        <w:spacing w:before="120" w:after="240" w:line="276" w:lineRule="auto"/>
        <w:ind w:left="2268"/>
        <w:jc w:val="both"/>
        <w:rPr>
          <w:rFonts w:ascii="Calibri" w:hAnsi="Calibri" w:eastAsiaTheme="minorHAnsi" w:cs="Calibri"/>
          <w:i/>
          <w:color w:val="000000"/>
          <w:sz w:val="4"/>
          <w:szCs w:val="4"/>
          <w:shd w:val="clear" w:color="auto" w:fill="FFFFFF"/>
          <w:lang w:eastAsia="en-US"/>
        </w:rPr>
      </w:pPr>
    </w:p>
    <w:p w:rsidR="008F1266" w:rsidP="00057E67">
      <w:pPr>
        <w:spacing w:line="276" w:lineRule="auto"/>
        <w:ind w:left="2268"/>
        <w:jc w:val="both"/>
        <w:rPr>
          <w:rFonts w:ascii="Calibri" w:hAnsi="Calibri" w:eastAsiaTheme="minorHAnsi" w:cs="Calibri"/>
          <w:i/>
          <w:color w:val="000000"/>
          <w:sz w:val="22"/>
          <w:szCs w:val="22"/>
          <w:shd w:val="clear" w:color="auto" w:fill="FFFFFF"/>
          <w:lang w:eastAsia="en-US"/>
        </w:rPr>
      </w:pPr>
      <w:r w:rsidRPr="008F1266">
        <w:rPr>
          <w:rFonts w:ascii="Calibri" w:hAnsi="Calibri" w:eastAsiaTheme="minorHAnsi" w:cs="Calibri"/>
          <w:i/>
          <w:color w:val="000000"/>
          <w:sz w:val="22"/>
          <w:szCs w:val="22"/>
          <w:shd w:val="clear" w:color="auto" w:fill="FFFFFF"/>
          <w:lang w:eastAsia="en-US"/>
        </w:rPr>
        <w:t xml:space="preserve">Ação direta de inconstitucionalidade. Lei n. 1.361, de 03.04.2018, do Município de Nazaré Paulista, que </w:t>
      </w:r>
      <w:r w:rsidRPr="00057E67">
        <w:rPr>
          <w:rFonts w:ascii="Calibri" w:hAnsi="Calibri" w:eastAsiaTheme="minorHAnsi" w:cs="Calibri"/>
          <w:i/>
          <w:color w:val="000000"/>
          <w:sz w:val="22"/>
          <w:szCs w:val="22"/>
          <w:shd w:val="clear" w:color="auto" w:fill="FFFFFF"/>
          <w:lang w:eastAsia="en-US"/>
        </w:rPr>
        <w:t>"autoriza a instituição de</w:t>
      </w:r>
      <w:r w:rsidRPr="00057E67">
        <w:rPr>
          <w:rFonts w:ascii="Calibri" w:hAnsi="Calibri" w:eastAsiaTheme="minorHAnsi" w:cs="Calibri"/>
          <w:b/>
          <w:i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Pr="00057E67">
        <w:rPr>
          <w:rFonts w:ascii="Calibri" w:hAnsi="Calibri" w:eastAsiaTheme="minorHAnsi" w:cs="Calibri"/>
          <w:i/>
          <w:color w:val="000000"/>
          <w:sz w:val="22"/>
          <w:szCs w:val="22"/>
          <w:shd w:val="clear" w:color="auto" w:fill="FFFFFF"/>
          <w:lang w:eastAsia="en-US"/>
        </w:rPr>
        <w:t>equoterapia nas escolas de rede municipal de ensino como política de educação inclusiva</w:t>
      </w:r>
      <w:r w:rsidRPr="008F1266">
        <w:rPr>
          <w:rFonts w:ascii="Calibri" w:hAnsi="Calibri" w:eastAsiaTheme="minorHAnsi" w:cs="Calibri"/>
          <w:i/>
          <w:color w:val="000000"/>
          <w:sz w:val="22"/>
          <w:szCs w:val="22"/>
          <w:shd w:val="clear" w:color="auto" w:fill="FFFFFF"/>
          <w:lang w:eastAsia="en-US"/>
        </w:rPr>
        <w:t xml:space="preserve"> e dá outras providências". </w:t>
      </w:r>
      <w:r w:rsidRPr="00057E67">
        <w:rPr>
          <w:rFonts w:ascii="Calibri" w:hAnsi="Calibri" w:eastAsiaTheme="minorHAnsi" w:cs="Calibri"/>
          <w:b/>
          <w:i/>
          <w:color w:val="000000"/>
          <w:sz w:val="22"/>
          <w:szCs w:val="22"/>
          <w:u w:val="single"/>
          <w:shd w:val="clear" w:color="auto" w:fill="FFFFFF"/>
          <w:lang w:eastAsia="en-US"/>
        </w:rPr>
        <w:t>Instituição, em si, de programa de atendimento à saúde dos alunos da rede municipal, por disposições genéricas e abstratas, que não afronta o princípio da reserva da Administração</w:t>
      </w:r>
      <w:r w:rsidRPr="008F1266">
        <w:rPr>
          <w:rFonts w:ascii="Calibri" w:hAnsi="Calibri" w:eastAsiaTheme="minorHAnsi" w:cs="Calibri"/>
          <w:i/>
          <w:color w:val="000000"/>
          <w:sz w:val="22"/>
          <w:szCs w:val="22"/>
          <w:shd w:val="clear" w:color="auto" w:fill="FFFFFF"/>
          <w:lang w:eastAsia="en-US"/>
        </w:rPr>
        <w:t>. Ofensa que, porém, a este título se dá quando se cometem atribuições e obrigações específicas de gestão ao Executivo. Solução que se reserva ao feito na esteira de precedente recente do Colegiado, julgando hipótese análoga. Sanção que não afasta o vício, na parte da lei em que ele se verifica. Irregularidade reconhecida apenas em expressões dos artigos 1º e 3º, além do art. 4º. Ação julgada parcialmente procedente. </w:t>
      </w:r>
    </w:p>
    <w:p w:rsidR="008F1266" w:rsidP="00057E67">
      <w:pPr>
        <w:pBdr>
          <w:bottom w:val="single" w:sz="12" w:space="1" w:color="auto"/>
        </w:pBdr>
        <w:spacing w:line="276" w:lineRule="auto"/>
        <w:ind w:left="2268"/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  <w:r>
        <w:rPr>
          <w:rFonts w:ascii="Verdana" w:hAnsi="Verdana"/>
          <w:color w:val="000000"/>
          <w:sz w:val="17"/>
          <w:szCs w:val="17"/>
          <w:shd w:val="clear" w:color="auto" w:fill="FFFFFF"/>
        </w:rPr>
        <w:t>(TJSP;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 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Direta de Inconstitucionalidade 2132436-54.2021.8.26.0000; Relator (a): Claudio Godoy; Órgão Julgador: Órgão Especial; Tribunal de Justiça de São Paulo - N/A; Data do Julgamento: 23/02/2022; Data de Registro: 24/02/2022)</w:t>
      </w:r>
    </w:p>
    <w:p w:rsidR="00057E67" w:rsidP="00057E67">
      <w:pPr>
        <w:pBdr>
          <w:bottom w:val="single" w:sz="12" w:space="1" w:color="auto"/>
        </w:pBdr>
        <w:spacing w:line="276" w:lineRule="auto"/>
        <w:ind w:left="2268"/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057E67" w:rsidRPr="00057E67" w:rsidP="00B57872">
      <w:pPr>
        <w:spacing w:before="120" w:after="240" w:line="276" w:lineRule="auto"/>
        <w:ind w:left="2268"/>
        <w:jc w:val="both"/>
        <w:rPr>
          <w:rFonts w:ascii="Calibri" w:hAnsi="Calibri" w:eastAsiaTheme="minorHAnsi" w:cs="Calibri"/>
          <w:i/>
          <w:color w:val="000000"/>
          <w:sz w:val="20"/>
          <w:shd w:val="clear" w:color="auto" w:fill="FFFFFF"/>
          <w:lang w:eastAsia="en-US"/>
        </w:rPr>
      </w:pPr>
      <w:r w:rsidRPr="00057E67">
        <w:rPr>
          <w:rFonts w:ascii="Calibri" w:hAnsi="Calibri" w:eastAsiaTheme="minorHAnsi" w:cs="Calibri"/>
          <w:i/>
          <w:color w:val="000000"/>
          <w:sz w:val="22"/>
          <w:szCs w:val="22"/>
          <w:shd w:val="clear" w:color="auto" w:fill="FFFFFF"/>
          <w:lang w:eastAsia="en-US"/>
        </w:rPr>
        <w:t xml:space="preserve">AÇÃO DIRETA DE INCONSTITUCIONALIDADE – LEI Nº 5.995, DE 25 DE ABRIL DE 2019, DO MUNICÍPIO DE CATANDUVA/SP, QUE </w:t>
      </w:r>
      <w:r w:rsidRPr="00057E67">
        <w:rPr>
          <w:rFonts w:ascii="Calibri" w:hAnsi="Calibri" w:eastAsiaTheme="minorHAnsi" w:cs="Calibri"/>
          <w:b/>
          <w:i/>
          <w:color w:val="000000"/>
          <w:sz w:val="22"/>
          <w:szCs w:val="22"/>
          <w:shd w:val="clear" w:color="auto" w:fill="FFFFFF"/>
          <w:lang w:eastAsia="en-US"/>
        </w:rPr>
        <w:t>DISPÕE SOBRE A IMPLANTAÇÃO DOS PROGRAMAS MUNICIPAIS DE EQUOTERAPIA</w:t>
      </w:r>
      <w:r w:rsidRPr="00057E67">
        <w:rPr>
          <w:rFonts w:ascii="Calibri" w:hAnsi="Calibri" w:eastAsiaTheme="minorHAnsi" w:cs="Calibri"/>
          <w:b/>
          <w:i/>
          <w:color w:val="000000"/>
          <w:sz w:val="22"/>
          <w:szCs w:val="22"/>
          <w:shd w:val="clear" w:color="auto" w:fill="FFFFFF"/>
          <w:lang w:eastAsia="en-US"/>
        </w:rPr>
        <w:t>, HIDROTERAPIA, E FOTOTERAPIA NO MUNICÍPIO DE CATANDUVA/SP E DÁ OUTRAS PROVIDÊNCIAS</w:t>
      </w:r>
      <w:r w:rsidRPr="00057E67">
        <w:rPr>
          <w:rFonts w:ascii="Calibri" w:hAnsi="Calibri" w:eastAsiaTheme="minorHAnsi" w:cs="Calibri"/>
          <w:i/>
          <w:color w:val="000000"/>
          <w:sz w:val="22"/>
          <w:szCs w:val="22"/>
          <w:shd w:val="clear" w:color="auto" w:fill="FFFFFF"/>
          <w:lang w:eastAsia="en-US"/>
        </w:rPr>
        <w:t xml:space="preserve"> – INICIATIVA PARLAMENTAR – </w:t>
      </w:r>
      <w:r w:rsidRPr="00057E67">
        <w:rPr>
          <w:rFonts w:ascii="Calibri" w:hAnsi="Calibri" w:eastAsiaTheme="minorHAnsi" w:cs="Calibri"/>
          <w:b/>
          <w:i/>
          <w:color w:val="000000"/>
          <w:sz w:val="22"/>
          <w:szCs w:val="22"/>
          <w:shd w:val="clear" w:color="auto" w:fill="FFFFFF"/>
          <w:lang w:eastAsia="en-US"/>
        </w:rPr>
        <w:t>TEMA RELACIONADO À INSTITUIÇÃO DE PROGRAMA DE SAÚDE PÚBLICA – EXERCÍCIO DE COMPETÊNCIA NORMATIVA COMPLEMENTAR DOS MUNICÍPIOS – VÍCIO DE INICIATIVA NÃO CARACTERIZADO, POIS A NORMA IMPUGNADA, NA ESSÊNCIA, NÃO VERSA SOBRE A ESTRUTURA OU ORGANIZAÇÃO DE ÓRGÃOS DO EXECUTIVO OU REGIME JURÍDICO DOS SERVIDORES PÚBLICOS – TESE FIXADA EM REPERCUSSÃO GERAL NO ÂMBITO DO C. STF – TEMA NO 917 – ARE. 878.911/RJ</w:t>
      </w:r>
      <w:r w:rsidRPr="00057E67">
        <w:rPr>
          <w:rFonts w:ascii="Calibri" w:hAnsi="Calibri" w:eastAsiaTheme="minorHAnsi" w:cs="Calibri"/>
          <w:i/>
          <w:color w:val="000000"/>
          <w:sz w:val="22"/>
          <w:szCs w:val="22"/>
          <w:shd w:val="clear" w:color="auto" w:fill="FFFFFF"/>
          <w:lang w:eastAsia="en-US"/>
        </w:rPr>
        <w:t xml:space="preserve"> – DISPOSIÇÕES CONTIDAS NO ARTIGO 1º E SEU PARÁGRAFO ÚNICO, BEM C</w:t>
      </w:r>
      <w:bookmarkStart w:id="4" w:name="_GoBack"/>
      <w:bookmarkEnd w:id="4"/>
      <w:r w:rsidRPr="00057E67">
        <w:rPr>
          <w:rFonts w:ascii="Calibri" w:hAnsi="Calibri" w:eastAsiaTheme="minorHAnsi" w:cs="Calibri"/>
          <w:i/>
          <w:color w:val="000000"/>
          <w:sz w:val="22"/>
          <w:szCs w:val="22"/>
          <w:shd w:val="clear" w:color="auto" w:fill="FFFFFF"/>
          <w:lang w:eastAsia="en-US"/>
        </w:rPr>
        <w:t>OMO NOS ARTIGOS 12 E 14 DA LEI IMPUGNADA, PORÉM, QUE INGRESSAM NO CAMPO DA ORGANIZAÇÃO ADMINISTRATIVA, IMPONDO OBRIGAÇÕES AO EXECUTIVO – INCONSTITUCIONALIDADE QUANTO AO PONTO – AUSÊNCIA DE PREVISÃO ORÇAMENTÁRIA QUE, POR SI SÓ, NÃO TEM O CONDÃO DE ATRIBUIR INCONSTITUCIONALIDADE À LEI – PRECEDENTES DO C. STF – PRETENSÃO PARCIALMENTE PROCEDENTE. </w:t>
      </w:r>
      <w:r w:rsidRPr="00057E67">
        <w:rPr>
          <w:rFonts w:ascii="Calibri" w:hAnsi="Calibri" w:eastAsiaTheme="minorHAnsi" w:cs="Calibri"/>
          <w:i/>
          <w:color w:val="000000"/>
          <w:sz w:val="22"/>
          <w:szCs w:val="22"/>
          <w:shd w:val="clear" w:color="auto" w:fill="FFFFFF"/>
          <w:lang w:eastAsia="en-US"/>
        </w:rPr>
        <w:br/>
      </w:r>
      <w:r w:rsidRPr="00057E67">
        <w:rPr>
          <w:rFonts w:ascii="Calibri" w:hAnsi="Calibri" w:eastAsiaTheme="minorHAnsi" w:cs="Calibri"/>
          <w:i/>
          <w:color w:val="000000"/>
          <w:sz w:val="20"/>
          <w:shd w:val="clear" w:color="auto" w:fill="FFFFFF"/>
          <w:lang w:eastAsia="en-US"/>
        </w:rPr>
        <w:t>(</w:t>
      </w:r>
      <w:r w:rsidRPr="00057E67">
        <w:rPr>
          <w:rFonts w:ascii="Calibri" w:hAnsi="Calibri" w:eastAsiaTheme="minorHAnsi" w:cs="Calibri"/>
          <w:i/>
          <w:color w:val="000000"/>
          <w:sz w:val="20"/>
          <w:shd w:val="clear" w:color="auto" w:fill="FFFFFF"/>
          <w:lang w:eastAsia="en-US"/>
        </w:rPr>
        <w:t>TJSP;  Direta de Inconstitucionalidade 2123047-79.2020.8.26.0000; Relator (a): Francisco Casconi; Órgão Julgador: Órgão Especial; Tribunal de Justiça de São Paulo - N/A; Data do Julgamento: 17/11/2021; Data de Registro: 24/11/2021)</w:t>
      </w:r>
    </w:p>
    <w:p w:rsidR="0030623B" w:rsidRPr="007D6467" w:rsidP="0030623B">
      <w:pPr>
        <w:pStyle w:val="BodyText"/>
        <w:spacing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DF2C1A">
        <w:rPr>
          <w:rFonts w:asciiTheme="minorHAnsi" w:hAnsiTheme="minorHAnsi" w:cstheme="minorHAnsi"/>
          <w:szCs w:val="24"/>
        </w:rPr>
        <w:t xml:space="preserve">Por fim, quanto ao aspecto gramatical e lógico o projeto atende aos preceitos da Lei Complementar nº 95 de 1998 que dispõe sobre a elaboração, redação, alteração e consolidação das leis, conforme determina o parágrafo único do art. 59 da Constituição </w:t>
      </w:r>
      <w:r w:rsidRPr="007D6467">
        <w:rPr>
          <w:rFonts w:asciiTheme="minorHAnsi" w:hAnsiTheme="minorHAnsi" w:cstheme="minorHAnsi"/>
          <w:szCs w:val="24"/>
        </w:rPr>
        <w:t>Federal.</w:t>
      </w:r>
    </w:p>
    <w:p w:rsidR="0084738E" w:rsidRPr="004C0159" w:rsidP="0084738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FF0000"/>
          <w:sz w:val="4"/>
          <w:szCs w:val="4"/>
          <w:lang w:eastAsia="en-US"/>
        </w:rPr>
      </w:pPr>
    </w:p>
    <w:p w:rsidR="004C6CF2" w:rsidRPr="004C0159" w:rsidP="00CA0D7F">
      <w:pPr>
        <w:spacing w:after="120" w:line="360" w:lineRule="auto"/>
        <w:ind w:firstLine="1701"/>
        <w:jc w:val="both"/>
        <w:rPr>
          <w:rFonts w:eastAsia="Calibri" w:asciiTheme="minorHAnsi" w:hAnsiTheme="minorHAnsi" w:cstheme="minorHAnsi"/>
          <w:i/>
          <w:color w:val="FF0000"/>
          <w:szCs w:val="24"/>
        </w:rPr>
      </w:pPr>
      <w:r w:rsidRPr="00FC256E">
        <w:rPr>
          <w:rFonts w:eastAsia="Calibri" w:asciiTheme="minorHAnsi" w:hAnsiTheme="minorHAnsi" w:cstheme="minorHAnsi"/>
          <w:szCs w:val="24"/>
        </w:rPr>
        <w:t xml:space="preserve">Ante todo o exposto, </w:t>
      </w:r>
      <w:r w:rsidRPr="00FC256E">
        <w:rPr>
          <w:rFonts w:eastAsia="Calibri" w:asciiTheme="minorHAnsi" w:hAnsiTheme="minorHAnsi" w:cstheme="minorHAnsi"/>
          <w:szCs w:val="24"/>
        </w:rPr>
        <w:t>conclui-se pela</w:t>
      </w:r>
      <w:r w:rsidRPr="00FC256E">
        <w:rPr>
          <w:rFonts w:eastAsia="Calibri" w:asciiTheme="minorHAnsi" w:hAnsiTheme="minorHAnsi" w:cstheme="minorHAnsi"/>
          <w:szCs w:val="24"/>
        </w:rPr>
        <w:t xml:space="preserve"> constitucionalidade</w:t>
      </w:r>
      <w:r w:rsidRPr="00FC256E">
        <w:rPr>
          <w:rFonts w:eastAsia="Calibri" w:asciiTheme="minorHAnsi" w:hAnsiTheme="minorHAnsi" w:cstheme="minorHAnsi"/>
          <w:szCs w:val="24"/>
        </w:rPr>
        <w:t xml:space="preserve"> e legalidade do projeto</w:t>
      </w:r>
      <w:r w:rsidRPr="00F77D23">
        <w:rPr>
          <w:rFonts w:eastAsia="Calibri" w:asciiTheme="minorHAnsi" w:hAnsiTheme="minorHAnsi" w:cstheme="minorHAnsi"/>
          <w:szCs w:val="24"/>
        </w:rPr>
        <w:t xml:space="preserve">. </w:t>
      </w:r>
      <w:r w:rsidR="00575573">
        <w:rPr>
          <w:rFonts w:eastAsia="Calibri" w:asciiTheme="minorHAnsi" w:hAnsiTheme="minorHAnsi" w:cstheme="minorHAnsi"/>
          <w:szCs w:val="24"/>
        </w:rPr>
        <w:t xml:space="preserve">No mérito, o </w:t>
      </w:r>
      <w:r w:rsidRPr="00F77D23">
        <w:rPr>
          <w:rFonts w:eastAsia="Calibri" w:asciiTheme="minorHAnsi" w:hAnsiTheme="minorHAnsi" w:cstheme="minorHAnsi"/>
          <w:szCs w:val="24"/>
        </w:rPr>
        <w:t>Plenário</w:t>
      </w:r>
      <w:r w:rsidR="00575573">
        <w:rPr>
          <w:rFonts w:eastAsia="Calibri" w:asciiTheme="minorHAnsi" w:hAnsiTheme="minorHAnsi" w:cstheme="minorHAnsi"/>
          <w:szCs w:val="24"/>
        </w:rPr>
        <w:t xml:space="preserve"> é soberano</w:t>
      </w:r>
      <w:r w:rsidRPr="00F77D23">
        <w:rPr>
          <w:rFonts w:eastAsia="Calibri" w:asciiTheme="minorHAnsi" w:hAnsiTheme="minorHAnsi" w:cstheme="minorHAnsi"/>
          <w:szCs w:val="24"/>
        </w:rPr>
        <w:t>.</w:t>
      </w:r>
      <w:r w:rsidRPr="00F77D23">
        <w:rPr>
          <w:rFonts w:eastAsia="Calibri" w:asciiTheme="minorHAnsi" w:hAnsiTheme="minorHAnsi" w:cstheme="minorHAnsi"/>
          <w:b/>
          <w:szCs w:val="24"/>
        </w:rPr>
        <w:t xml:space="preserve"> </w:t>
      </w:r>
    </w:p>
    <w:p w:rsidR="004C0159" w:rsidRPr="003E6DD1" w:rsidP="004C0159">
      <w:pPr>
        <w:pStyle w:val="BodyText"/>
        <w:spacing w:before="240"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É o parecer, a superior consideração.</w:t>
      </w:r>
    </w:p>
    <w:p w:rsidR="004C0159" w:rsidRPr="008F1266" w:rsidP="004C0159">
      <w:pPr>
        <w:pStyle w:val="BodyText"/>
        <w:spacing w:after="0" w:line="360" w:lineRule="auto"/>
        <w:ind w:firstLine="1701"/>
        <w:jc w:val="both"/>
        <w:rPr>
          <w:rFonts w:ascii="Calibri" w:hAnsi="Calibri" w:cs="Tahoma"/>
          <w:iCs/>
          <w:szCs w:val="24"/>
        </w:rPr>
      </w:pPr>
      <w:r w:rsidRPr="008F1266">
        <w:rPr>
          <w:rFonts w:ascii="Calibri" w:hAnsi="Calibri" w:cs="Tahoma"/>
          <w:iCs/>
          <w:szCs w:val="24"/>
        </w:rPr>
        <w:t xml:space="preserve">Procuradoria, aos </w:t>
      </w:r>
      <w:r w:rsidRPr="008F1266" w:rsidR="008F1266">
        <w:rPr>
          <w:rFonts w:ascii="Calibri" w:hAnsi="Calibri" w:cs="Tahoma"/>
          <w:iCs/>
          <w:szCs w:val="24"/>
        </w:rPr>
        <w:t>08</w:t>
      </w:r>
      <w:r w:rsidRPr="008F1266">
        <w:rPr>
          <w:rFonts w:ascii="Calibri" w:hAnsi="Calibri" w:cs="Tahoma"/>
          <w:iCs/>
          <w:szCs w:val="24"/>
        </w:rPr>
        <w:t xml:space="preserve"> de fevereiro de 2024.</w:t>
      </w:r>
    </w:p>
    <w:p w:rsidR="004C0159" w:rsidRPr="00F60095" w:rsidP="004C0159">
      <w:pPr>
        <w:tabs>
          <w:tab w:val="left" w:pos="5130"/>
        </w:tabs>
        <w:spacing w:line="360" w:lineRule="auto"/>
        <w:rPr>
          <w:rFonts w:asciiTheme="minorHAnsi" w:hAnsiTheme="minorHAnsi" w:cstheme="minorHAnsi"/>
          <w:color w:val="FF0000"/>
        </w:rPr>
      </w:pPr>
    </w:p>
    <w:p w:rsidR="004C0159" w:rsidRPr="002E6B5F" w:rsidP="004C0159">
      <w:pPr>
        <w:rPr>
          <w:rFonts w:ascii="Calibri" w:hAnsi="Calibri" w:cs="Calibri"/>
          <w:szCs w:val="24"/>
        </w:rPr>
      </w:pPr>
      <w:r w:rsidRPr="002E6B5F">
        <w:rPr>
          <w:rFonts w:ascii="Calibri" w:hAnsi="Calibri" w:cs="Calibri"/>
          <w:b/>
          <w:szCs w:val="24"/>
        </w:rPr>
        <w:t xml:space="preserve">Rosemeire de Souza Cardoso Barbosa   </w:t>
      </w:r>
      <w:r>
        <w:rPr>
          <w:rFonts w:ascii="Calibri" w:hAnsi="Calibri" w:cs="Calibri"/>
          <w:b/>
          <w:szCs w:val="24"/>
        </w:rPr>
        <w:t xml:space="preserve">  </w:t>
      </w:r>
      <w:r w:rsidRPr="002E6B5F">
        <w:rPr>
          <w:rFonts w:ascii="Calibri" w:hAnsi="Calibri" w:cs="Calibri"/>
          <w:b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 xml:space="preserve">                      </w:t>
      </w:r>
      <w:r w:rsidRPr="002E6B5F">
        <w:rPr>
          <w:rFonts w:ascii="Calibri" w:hAnsi="Calibri" w:cs="Calibri"/>
          <w:b/>
          <w:szCs w:val="24"/>
        </w:rPr>
        <w:t>Tiago Fadel Malghosian</w:t>
      </w:r>
    </w:p>
    <w:p w:rsidR="004C0159" w:rsidRPr="002E6B5F" w:rsidP="004C0159">
      <w:pPr>
        <w:tabs>
          <w:tab w:val="left" w:pos="2880"/>
        </w:tabs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     </w:t>
      </w:r>
      <w:r w:rsidRPr="002E6B5F">
        <w:rPr>
          <w:rFonts w:ascii="Calibri" w:hAnsi="Calibri" w:cs="Calibri"/>
          <w:b/>
          <w:szCs w:val="24"/>
        </w:rPr>
        <w:t>Procuradora - OAB/SP 308.298                               Procurador - OAB/SP 319.159</w:t>
      </w:r>
    </w:p>
    <w:p w:rsidR="004C0159" w:rsidRPr="002E6B5F" w:rsidP="004C0159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     </w:t>
      </w:r>
      <w:r w:rsidRPr="002E6B5F">
        <w:rPr>
          <w:rFonts w:ascii="Calibri" w:hAnsi="Calibri" w:cs="Calibri"/>
          <w:szCs w:val="24"/>
        </w:rPr>
        <w:t>Assinatura eletrônica</w:t>
      </w:r>
      <w:r>
        <w:rPr>
          <w:rFonts w:ascii="Calibri" w:hAnsi="Calibri" w:cs="Calibri"/>
          <w:szCs w:val="24"/>
        </w:rPr>
        <w:t xml:space="preserve">                                               </w:t>
      </w:r>
      <w:r w:rsidRPr="002E6B5F">
        <w:rPr>
          <w:rFonts w:ascii="Calibri" w:hAnsi="Calibri" w:cs="Calibri"/>
          <w:szCs w:val="24"/>
        </w:rPr>
        <w:t>Assinatura eletrônica</w:t>
      </w:r>
    </w:p>
    <w:p w:rsidR="000A564E" w:rsidRPr="004C0159" w:rsidP="004C0159">
      <w:pPr>
        <w:pStyle w:val="BodyText"/>
        <w:spacing w:line="360" w:lineRule="auto"/>
        <w:ind w:firstLine="1701"/>
        <w:jc w:val="both"/>
        <w:rPr>
          <w:rFonts w:asciiTheme="minorHAnsi" w:hAnsiTheme="minorHAnsi" w:cstheme="minorHAnsi"/>
          <w:color w:val="FF0000"/>
          <w:szCs w:val="24"/>
        </w:rPr>
      </w:pPr>
    </w:p>
    <w:sectPr w:rsidSect="00BC67F2">
      <w:headerReference w:type="default" r:id="rId6"/>
      <w:footerReference w:type="default" r:id="rId7"/>
      <w:type w:val="continuous"/>
      <w:pgSz w:w="11907" w:h="16840" w:code="9"/>
      <w:pgMar w:top="2552" w:right="1213" w:bottom="1134" w:left="216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Theme="minorHAnsi" w:hAnsiTheme="minorHAnsi"/>
        <w:sz w:val="16"/>
        <w:szCs w:val="16"/>
      </w:rPr>
      <w:id w:val="-1405443737"/>
      <w:docPartObj>
        <w:docPartGallery w:val="Page Numbers (Top of Page)"/>
        <w:docPartUnique/>
      </w:docPartObj>
    </w:sdtPr>
    <w:sdtContent>
      <w:p w:rsidR="00CB18CB" w:rsidP="002E0C51">
        <w:pPr>
          <w:pStyle w:val="Footer"/>
          <w:ind w:right="-313"/>
          <w:jc w:val="center"/>
          <w:rPr>
            <w:sz w:val="18"/>
            <w:lang w:val="pt-PT"/>
          </w:rPr>
        </w:pPr>
        <w:r>
          <w:rPr>
            <w:sz w:val="18"/>
            <w:lang w:val="pt-PT"/>
          </w:rPr>
          <w:t>________________________________________________________________________________________</w:t>
        </w:r>
      </w:p>
      <w:p w:rsidR="00CB18CB" w:rsidP="002E0C51">
        <w:pPr>
          <w:pStyle w:val="Footer"/>
          <w:ind w:right="-313"/>
          <w:rPr>
            <w:sz w:val="18"/>
            <w:lang w:val="pt-PT"/>
          </w:rPr>
        </w:pPr>
        <w:r>
          <w:rPr>
            <w:sz w:val="18"/>
            <w:lang w:val="pt-PT"/>
          </w:rPr>
          <w:t xml:space="preserve">          Rua Antônio Schiavinato, 59, Residencial São Luis - Tel: (19) 3829.5310 - CEP: 13270-</w:t>
        </w:r>
        <w:r>
          <w:rPr>
            <w:sz w:val="18"/>
            <w:lang w:val="pt-PT"/>
          </w:rPr>
          <w:t>470</w:t>
        </w:r>
      </w:p>
      <w:p w:rsidR="00CB18CB" w:rsidP="002E0C51">
        <w:pPr>
          <w:pStyle w:val="Footer"/>
          <w:ind w:left="-1985" w:right="-313"/>
          <w:jc w:val="center"/>
          <w:rPr>
            <w:sz w:val="18"/>
            <w:lang w:val="pt-PT"/>
          </w:rPr>
        </w:pPr>
        <w:r>
          <w:rPr>
            <w:sz w:val="18"/>
            <w:lang w:val="pt-PT"/>
          </w:rPr>
          <w:t xml:space="preserve">    </w:t>
        </w:r>
        <w:r>
          <w:rPr>
            <w:sz w:val="18"/>
            <w:lang w:val="pt-PT"/>
          </w:rPr>
          <w:t>site</w:t>
        </w:r>
        <w:r>
          <w:rPr>
            <w:sz w:val="18"/>
            <w:lang w:val="pt-PT"/>
          </w:rPr>
          <w:t xml:space="preserve">: www.camaravalinhos.sp.gov.br   </w:t>
        </w:r>
      </w:p>
      <w:p w:rsidR="00CB18CB" w:rsidP="00866E5A">
        <w:pPr>
          <w:pStyle w:val="Footer"/>
          <w:tabs>
            <w:tab w:val="left" w:pos="5325"/>
            <w:tab w:val="right" w:pos="8534"/>
          </w:tabs>
          <w:rPr>
            <w:rFonts w:asciiTheme="minorHAnsi" w:hAnsiTheme="minorHAnsi"/>
            <w:sz w:val="16"/>
            <w:szCs w:val="16"/>
          </w:rPr>
        </w:pPr>
        <w:r>
          <w:rPr>
            <w:rFonts w:asciiTheme="minorHAnsi" w:hAnsiTheme="minorHAnsi"/>
            <w:sz w:val="16"/>
            <w:szCs w:val="16"/>
          </w:rPr>
          <w:tab/>
        </w:r>
        <w:r>
          <w:rPr>
            <w:rFonts w:asciiTheme="minorHAnsi" w:hAnsiTheme="minorHAnsi"/>
            <w:sz w:val="16"/>
            <w:szCs w:val="16"/>
          </w:rPr>
          <w:tab/>
        </w:r>
        <w:r>
          <w:rPr>
            <w:rFonts w:asciiTheme="minorHAnsi" w:hAnsiTheme="minorHAnsi"/>
            <w:sz w:val="16"/>
            <w:szCs w:val="16"/>
          </w:rPr>
          <w:tab/>
          <w:t xml:space="preserve">   </w:t>
        </w:r>
        <w:r w:rsidRPr="005C4786">
          <w:rPr>
            <w:rFonts w:asciiTheme="minorHAnsi" w:hAnsiTheme="minorHAnsi"/>
            <w:sz w:val="16"/>
            <w:szCs w:val="16"/>
          </w:rPr>
          <w:t xml:space="preserve">Página </w:t>
        </w:r>
        <w:r w:rsidRPr="005C4786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5C4786">
          <w:rPr>
            <w:rFonts w:asciiTheme="minorHAnsi" w:hAnsiTheme="minorHAnsi"/>
            <w:b/>
            <w:bCs/>
            <w:sz w:val="16"/>
            <w:szCs w:val="16"/>
          </w:rPr>
          <w:instrText>PAGE</w:instrText>
        </w:r>
        <w:r w:rsidRPr="005C4786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057E67">
          <w:rPr>
            <w:rFonts w:asciiTheme="minorHAnsi" w:hAnsiTheme="minorHAnsi"/>
            <w:b/>
            <w:bCs/>
            <w:noProof/>
            <w:sz w:val="16"/>
            <w:szCs w:val="16"/>
          </w:rPr>
          <w:t>8</w:t>
        </w:r>
        <w:r w:rsidRPr="005C4786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5C4786">
          <w:rPr>
            <w:rFonts w:asciiTheme="minorHAnsi" w:hAnsiTheme="minorHAnsi"/>
            <w:sz w:val="16"/>
            <w:szCs w:val="16"/>
          </w:rPr>
          <w:t xml:space="preserve"> de </w:t>
        </w:r>
        <w:r w:rsidRPr="005C4786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5C4786">
          <w:rPr>
            <w:rFonts w:asciiTheme="minorHAnsi" w:hAnsiTheme="minorHAnsi"/>
            <w:b/>
            <w:bCs/>
            <w:sz w:val="16"/>
            <w:szCs w:val="16"/>
          </w:rPr>
          <w:instrText>NUMPAGES</w:instrText>
        </w:r>
        <w:r w:rsidRPr="005C4786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 w:rsidR="00057E67">
          <w:rPr>
            <w:rFonts w:asciiTheme="minorHAnsi" w:hAnsiTheme="minorHAnsi"/>
            <w:b/>
            <w:bCs/>
            <w:noProof/>
            <w:sz w:val="16"/>
            <w:szCs w:val="16"/>
          </w:rPr>
          <w:t>8</w:t>
        </w:r>
        <w:r w:rsidRPr="005C4786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</w:p>
    </w:sdtContent>
  </w:sdt>
  <w:p w:rsidR="00CB18CB" w:rsidP="00866E5A">
    <w:pPr>
      <w:pStyle w:val="Footer"/>
    </w:pPr>
  </w:p>
  <w:p w:rsidR="00CB18CB" w:rsidP="003B67D4">
    <w:pPr>
      <w:pStyle w:val="Footer"/>
      <w:tabs>
        <w:tab w:val="clear" w:pos="4419"/>
        <w:tab w:val="left" w:pos="4860"/>
        <w:tab w:val="clear" w:pos="8838"/>
      </w:tabs>
    </w:pPr>
    <w:r>
      <w:tab/>
    </w:r>
  </w:p>
  <w:p w:rsidR="00CB18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CB18CB" w:rsidP="005273EF">
      <w:r>
        <w:separator/>
      </w:r>
    </w:p>
  </w:footnote>
  <w:footnote w:type="continuationSeparator" w:id="1">
    <w:p w:rsidR="00CB18CB" w:rsidP="005273EF">
      <w:r>
        <w:continuationSeparator/>
      </w:r>
    </w:p>
  </w:footnote>
  <w:footnote w:id="2">
    <w:p w:rsidR="00CB18CB" w:rsidP="00433B18">
      <w:pPr>
        <w:pStyle w:val="FootnoteText"/>
        <w:jc w:val="both"/>
        <w:rPr>
          <w:rFonts w:asciiTheme="minorHAnsi" w:hAnsiTheme="minorHAnsi"/>
          <w:i/>
        </w:rPr>
      </w:pPr>
      <w:r>
        <w:rPr>
          <w:rStyle w:val="FootnoteReference"/>
        </w:rPr>
        <w:footnoteRef/>
      </w:r>
      <w:r>
        <w:t xml:space="preserve"> </w:t>
      </w:r>
      <w:r w:rsidRPr="00BC67F2">
        <w:rPr>
          <w:rFonts w:asciiTheme="minorHAnsi" w:hAnsiTheme="minorHAnsi"/>
          <w:i/>
        </w:rPr>
        <w:t xml:space="preserve">Art. 38. Compete à Comissão de Justiça e Redação manifestar-se sobre todos os assuntos entregues à sua apreciação, </w:t>
      </w:r>
      <w:r w:rsidRPr="00BC67F2">
        <w:rPr>
          <w:rFonts w:asciiTheme="minorHAnsi" w:hAnsiTheme="minorHAnsi"/>
          <w:b/>
          <w:i/>
        </w:rPr>
        <w:t xml:space="preserve">quanto ao seu aspecto constitucional, legal ou jurídico </w:t>
      </w:r>
      <w:r w:rsidRPr="00BC67F2">
        <w:rPr>
          <w:rFonts w:asciiTheme="minorHAnsi" w:hAnsiTheme="minorHAnsi"/>
          <w:i/>
        </w:rPr>
        <w:t xml:space="preserve">e quanto ao seu aspecto gramatical e lógico, quando solicitado o seu parecer por imposição regimental ou deliberação de um terço dos Vereadores da Câmara.§ 1º É obrigatória </w:t>
      </w:r>
      <w:r w:rsidRPr="00BC67F2">
        <w:rPr>
          <w:rFonts w:asciiTheme="minorHAnsi" w:hAnsiTheme="minorHAnsi"/>
          <w:i/>
        </w:rPr>
        <w:t>a</w:t>
      </w:r>
      <w:r w:rsidRPr="00BC67F2">
        <w:rPr>
          <w:rFonts w:asciiTheme="minorHAnsi" w:hAnsiTheme="minorHAnsi"/>
          <w:i/>
        </w:rPr>
        <w:t xml:space="preserve"> audiência da Comissão sobre todos os projetos que tramitem pela Câmara, ressalvados os que explicitamente tiverem outro destino por este Regimento.§ 2º Concluindo a Comissão de Justiça e Redação pela ilegalidade ou inconstitucionalidade de um projeto, deve o parecer vir a plenário para ser discutido e somente quando rejeitado prosseguirá o processo.(</w:t>
      </w:r>
      <w:r w:rsidRPr="00BC67F2">
        <w:rPr>
          <w:rFonts w:asciiTheme="minorHAnsi" w:hAnsiTheme="minorHAnsi"/>
          <w:i/>
        </w:rPr>
        <w:t>G.n</w:t>
      </w:r>
      <w:r w:rsidRPr="00BC67F2">
        <w:rPr>
          <w:rFonts w:asciiTheme="minorHAnsi" w:hAnsiTheme="minorHAnsi"/>
          <w:i/>
        </w:rPr>
        <w:t>).</w:t>
      </w:r>
    </w:p>
    <w:p w:rsidR="001B0294" w:rsidP="00433B18">
      <w:pPr>
        <w:pStyle w:val="FootnoteText"/>
        <w:jc w:val="both"/>
      </w:pPr>
    </w:p>
  </w:footnote>
  <w:footnote w:id="3">
    <w:p w:rsidR="001B0294" w:rsidP="009A626C">
      <w:pPr>
        <w:pStyle w:val="Default"/>
        <w:spacing w:after="240" w:line="276" w:lineRule="auto"/>
        <w:jc w:val="both"/>
      </w:pPr>
      <w:r>
        <w:rPr>
          <w:rStyle w:val="FootnoteReference"/>
        </w:rPr>
        <w:footnoteRef/>
      </w:r>
      <w:r>
        <w:t xml:space="preserve"> </w:t>
      </w:r>
      <w:r w:rsidRPr="001B0294">
        <w:rPr>
          <w:rFonts w:eastAsia="Times New Roman" w:asciiTheme="minorHAnsi" w:hAnsiTheme="minorHAnsi"/>
          <w:i/>
          <w:color w:val="auto"/>
          <w:sz w:val="20"/>
          <w:szCs w:val="20"/>
        </w:rPr>
        <w:t xml:space="preserve">Nesse sentido é o entendimento do Supremo Tribunal Federal: 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1B0294">
        <w:rPr>
          <w:rFonts w:eastAsia="Times New Roman" w:asciiTheme="minorHAnsi" w:hAnsiTheme="minorHAnsi"/>
          <w:i/>
          <w:color w:val="auto"/>
          <w:sz w:val="20"/>
          <w:szCs w:val="20"/>
        </w:rPr>
        <w:t>ex</w:t>
      </w:r>
      <w:r w:rsidRPr="001B0294">
        <w:rPr>
          <w:rFonts w:eastAsia="Times New Roman" w:asciiTheme="minorHAnsi" w:hAnsiTheme="minorHAnsi"/>
          <w:i/>
          <w:color w:val="auto"/>
          <w:sz w:val="20"/>
          <w:szCs w:val="20"/>
        </w:rPr>
        <w:t xml:space="preserve"> </w:t>
      </w:r>
      <w:r w:rsidRPr="001B0294">
        <w:rPr>
          <w:rFonts w:eastAsia="Times New Roman" w:asciiTheme="minorHAnsi" w:hAnsiTheme="minorHAnsi"/>
          <w:i/>
          <w:color w:val="auto"/>
          <w:sz w:val="20"/>
          <w:szCs w:val="20"/>
        </w:rPr>
        <w:t>oficio</w:t>
      </w:r>
      <w:r w:rsidRPr="001B0294">
        <w:rPr>
          <w:rFonts w:eastAsia="Times New Roman" w:asciiTheme="minorHAnsi" w:hAnsiTheme="minorHAnsi"/>
          <w:i/>
          <w:color w:val="auto"/>
          <w:sz w:val="20"/>
          <w:szCs w:val="20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</w:t>
      </w:r>
      <w:r w:rsidRPr="004639D3">
        <w:rPr>
          <w:rFonts w:asciiTheme="minorHAnsi" w:hAnsiTheme="minorHAnsi" w:cstheme="minorHAnsi"/>
          <w:i/>
          <w:sz w:val="22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18CB">
    <w:pPr>
      <w:pStyle w:val="Header"/>
      <w:rPr>
        <w:b/>
        <w:sz w:val="28"/>
        <w:lang w:val="pt-PT"/>
      </w:rPr>
    </w:pPr>
  </w:p>
  <w:p w:rsidR="00CB18CB">
    <w:pPr>
      <w:pStyle w:val="Header"/>
      <w:rPr>
        <w:b/>
        <w:sz w:val="28"/>
        <w:lang w:val="pt-PT"/>
      </w:rPr>
    </w:pPr>
  </w:p>
  <w:p w:rsidR="00CB18CB" w:rsidP="001B0294">
    <w:pPr>
      <w:pStyle w:val="Header"/>
      <w:tabs>
        <w:tab w:val="left" w:pos="1995"/>
      </w:tabs>
      <w:ind w:right="-822"/>
      <w:rPr>
        <w:b/>
        <w:sz w:val="26"/>
        <w:lang w:val="pt-PT"/>
      </w:rPr>
    </w:pPr>
    <w:r>
      <w:rPr>
        <w:b/>
        <w:noProof/>
        <w:sz w:val="28"/>
      </w:rPr>
      <w:tab/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18CB" w:rsidP="002E0C5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113861605" name="Imagem 1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85982876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CB18CB" w:rsidP="002E0C51">
                    <w:drawing>
                      <wp:inline distT="0" distB="0" distL="0" distR="0">
                        <wp:extent cx="876300" cy="850900"/>
                        <wp:effectExtent l="19050" t="0" r="0" b="0"/>
                        <wp:docPr id="1" name="Imagem 1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9896370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CB18CB" w:rsidP="002E0C51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CB18CB" w:rsidP="002E0C51">
    <w:pPr>
      <w:pStyle w:val="Header"/>
      <w:jc w:val="center"/>
    </w:pPr>
    <w:r>
      <w:rPr>
        <w:sz w:val="20"/>
        <w:lang w:val="pt-PT"/>
      </w:rPr>
      <w:t>ESTADO DE SÃO PAULO</w:t>
    </w:r>
  </w:p>
  <w:p w:rsidR="00CB18CB" w:rsidP="00866E5A">
    <w:pPr>
      <w:pStyle w:val="Header"/>
      <w:ind w:right="-822"/>
      <w:jc w:val="right"/>
      <w:rPr>
        <w:b/>
        <w:noProof/>
        <w:sz w:val="28"/>
      </w:rPr>
    </w:pPr>
  </w:p>
  <w:p w:rsidR="00CB18CB" w:rsidP="00866E5A">
    <w:pPr>
      <w:pStyle w:val="Header"/>
      <w:ind w:right="-822"/>
      <w:jc w:val="right"/>
      <w:rPr>
        <w:b/>
        <w:noProof/>
        <w:sz w:val="28"/>
      </w:rPr>
    </w:pPr>
  </w:p>
  <w:p w:rsidR="00CB18CB" w:rsidRPr="009A626C">
    <w:pP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09B1F8A"/>
    <w:multiLevelType w:val="hybridMultilevel"/>
    <w:tmpl w:val="68168158"/>
    <w:lvl w:ilvl="0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>
    <w:nsid w:val="6E1155B4"/>
    <w:multiLevelType w:val="hybridMultilevel"/>
    <w:tmpl w:val="52F61D42"/>
    <w:lvl w:ilvl="0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4E"/>
    <w:rsid w:val="00034F19"/>
    <w:rsid w:val="0003651A"/>
    <w:rsid w:val="00045247"/>
    <w:rsid w:val="00057344"/>
    <w:rsid w:val="00057E67"/>
    <w:rsid w:val="00067AC8"/>
    <w:rsid w:val="00076E23"/>
    <w:rsid w:val="00084468"/>
    <w:rsid w:val="0009184A"/>
    <w:rsid w:val="000A564E"/>
    <w:rsid w:val="001020DF"/>
    <w:rsid w:val="0011594B"/>
    <w:rsid w:val="001251B3"/>
    <w:rsid w:val="0012743B"/>
    <w:rsid w:val="00132552"/>
    <w:rsid w:val="00134650"/>
    <w:rsid w:val="00161701"/>
    <w:rsid w:val="00164976"/>
    <w:rsid w:val="001A2E5F"/>
    <w:rsid w:val="001B0294"/>
    <w:rsid w:val="001B5CD4"/>
    <w:rsid w:val="001D3EE9"/>
    <w:rsid w:val="001E2AD6"/>
    <w:rsid w:val="001E3C08"/>
    <w:rsid w:val="001F0DB0"/>
    <w:rsid w:val="002044D6"/>
    <w:rsid w:val="00205037"/>
    <w:rsid w:val="00220B5C"/>
    <w:rsid w:val="002330BC"/>
    <w:rsid w:val="00242271"/>
    <w:rsid w:val="00253E6B"/>
    <w:rsid w:val="0027306E"/>
    <w:rsid w:val="00293529"/>
    <w:rsid w:val="002C2064"/>
    <w:rsid w:val="002C5EAF"/>
    <w:rsid w:val="002E0C51"/>
    <w:rsid w:val="002E6B5F"/>
    <w:rsid w:val="002F3FCD"/>
    <w:rsid w:val="0030623B"/>
    <w:rsid w:val="003609CB"/>
    <w:rsid w:val="0037353A"/>
    <w:rsid w:val="00375345"/>
    <w:rsid w:val="00381F1E"/>
    <w:rsid w:val="00382CA0"/>
    <w:rsid w:val="00383ADA"/>
    <w:rsid w:val="003A4FC2"/>
    <w:rsid w:val="003A6101"/>
    <w:rsid w:val="003B4E11"/>
    <w:rsid w:val="003B67D4"/>
    <w:rsid w:val="003B7DE7"/>
    <w:rsid w:val="003D79F2"/>
    <w:rsid w:val="003E0F9B"/>
    <w:rsid w:val="003E6291"/>
    <w:rsid w:val="003E6DD1"/>
    <w:rsid w:val="00412D04"/>
    <w:rsid w:val="00417E80"/>
    <w:rsid w:val="00433B18"/>
    <w:rsid w:val="0043741B"/>
    <w:rsid w:val="0044657C"/>
    <w:rsid w:val="004633F8"/>
    <w:rsid w:val="004639D3"/>
    <w:rsid w:val="00485255"/>
    <w:rsid w:val="004C0159"/>
    <w:rsid w:val="004C24C7"/>
    <w:rsid w:val="004C6CF2"/>
    <w:rsid w:val="004E2321"/>
    <w:rsid w:val="00515F8C"/>
    <w:rsid w:val="005273EF"/>
    <w:rsid w:val="00551FDE"/>
    <w:rsid w:val="00553A62"/>
    <w:rsid w:val="0056433A"/>
    <w:rsid w:val="00567EA7"/>
    <w:rsid w:val="0057488E"/>
    <w:rsid w:val="00575573"/>
    <w:rsid w:val="005B67AD"/>
    <w:rsid w:val="005C4786"/>
    <w:rsid w:val="005E0248"/>
    <w:rsid w:val="00602121"/>
    <w:rsid w:val="00610CA9"/>
    <w:rsid w:val="00626AA0"/>
    <w:rsid w:val="00626F30"/>
    <w:rsid w:val="00640F4A"/>
    <w:rsid w:val="00650860"/>
    <w:rsid w:val="00677384"/>
    <w:rsid w:val="00684F78"/>
    <w:rsid w:val="00693AF1"/>
    <w:rsid w:val="006D47DF"/>
    <w:rsid w:val="006F148C"/>
    <w:rsid w:val="006F5C97"/>
    <w:rsid w:val="00721113"/>
    <w:rsid w:val="00723849"/>
    <w:rsid w:val="00745269"/>
    <w:rsid w:val="0076335C"/>
    <w:rsid w:val="00763D80"/>
    <w:rsid w:val="00776D43"/>
    <w:rsid w:val="00783603"/>
    <w:rsid w:val="00783B84"/>
    <w:rsid w:val="007856FF"/>
    <w:rsid w:val="007A70FB"/>
    <w:rsid w:val="007B3F78"/>
    <w:rsid w:val="007B4299"/>
    <w:rsid w:val="007D6467"/>
    <w:rsid w:val="007D66E2"/>
    <w:rsid w:val="007E33A1"/>
    <w:rsid w:val="00803CFA"/>
    <w:rsid w:val="00816BCE"/>
    <w:rsid w:val="0084738E"/>
    <w:rsid w:val="00861EF4"/>
    <w:rsid w:val="00866E5A"/>
    <w:rsid w:val="00882BE4"/>
    <w:rsid w:val="008873F9"/>
    <w:rsid w:val="00891265"/>
    <w:rsid w:val="008B6E85"/>
    <w:rsid w:val="008F1266"/>
    <w:rsid w:val="00921620"/>
    <w:rsid w:val="009470BD"/>
    <w:rsid w:val="00961EB7"/>
    <w:rsid w:val="00985BD6"/>
    <w:rsid w:val="009A626C"/>
    <w:rsid w:val="009B640D"/>
    <w:rsid w:val="009C3A45"/>
    <w:rsid w:val="009D0604"/>
    <w:rsid w:val="009E0C84"/>
    <w:rsid w:val="009E56ED"/>
    <w:rsid w:val="009F7302"/>
    <w:rsid w:val="00A416A7"/>
    <w:rsid w:val="00A7180B"/>
    <w:rsid w:val="00A83C4E"/>
    <w:rsid w:val="00A840F7"/>
    <w:rsid w:val="00A842D6"/>
    <w:rsid w:val="00A86A0B"/>
    <w:rsid w:val="00AD6D9C"/>
    <w:rsid w:val="00AE627C"/>
    <w:rsid w:val="00B1734B"/>
    <w:rsid w:val="00B57872"/>
    <w:rsid w:val="00B612C9"/>
    <w:rsid w:val="00BC67F2"/>
    <w:rsid w:val="00BD2860"/>
    <w:rsid w:val="00BE6AF5"/>
    <w:rsid w:val="00C21392"/>
    <w:rsid w:val="00C219A9"/>
    <w:rsid w:val="00C50FBC"/>
    <w:rsid w:val="00C84EF2"/>
    <w:rsid w:val="00C868E8"/>
    <w:rsid w:val="00C96201"/>
    <w:rsid w:val="00CA0D7F"/>
    <w:rsid w:val="00CB18CB"/>
    <w:rsid w:val="00CD5748"/>
    <w:rsid w:val="00CF22FD"/>
    <w:rsid w:val="00D357AE"/>
    <w:rsid w:val="00D40CAB"/>
    <w:rsid w:val="00D44693"/>
    <w:rsid w:val="00D51ECB"/>
    <w:rsid w:val="00D71B06"/>
    <w:rsid w:val="00D74E23"/>
    <w:rsid w:val="00D85788"/>
    <w:rsid w:val="00D85FE9"/>
    <w:rsid w:val="00D97799"/>
    <w:rsid w:val="00DA2390"/>
    <w:rsid w:val="00DB7C07"/>
    <w:rsid w:val="00DE0830"/>
    <w:rsid w:val="00DF2C1A"/>
    <w:rsid w:val="00E00C68"/>
    <w:rsid w:val="00E018CF"/>
    <w:rsid w:val="00E146A5"/>
    <w:rsid w:val="00E4285B"/>
    <w:rsid w:val="00E63516"/>
    <w:rsid w:val="00E76267"/>
    <w:rsid w:val="00E80900"/>
    <w:rsid w:val="00E943B9"/>
    <w:rsid w:val="00EB421F"/>
    <w:rsid w:val="00ED5F89"/>
    <w:rsid w:val="00F40C65"/>
    <w:rsid w:val="00F546B8"/>
    <w:rsid w:val="00F60095"/>
    <w:rsid w:val="00F612E5"/>
    <w:rsid w:val="00F65635"/>
    <w:rsid w:val="00F77D23"/>
    <w:rsid w:val="00F87210"/>
    <w:rsid w:val="00FC256E"/>
    <w:rsid w:val="00FD6903"/>
    <w:rsid w:val="00FE2130"/>
    <w:rsid w:val="00FE51A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64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Heading4">
    <w:name w:val="heading 4"/>
    <w:basedOn w:val="Normal"/>
    <w:link w:val="Ttulo4Char"/>
    <w:uiPriority w:val="9"/>
    <w:qFormat/>
    <w:rsid w:val="003B7DE7"/>
    <w:pPr>
      <w:spacing w:before="100" w:beforeAutospacing="1" w:after="100" w:afterAutospacing="1"/>
      <w:outlineLvl w:val="3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0A564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0A564E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0A564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0A564E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A56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0A564E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0A564E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0A564E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0A564E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0A56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apea">
    <w:name w:val="corpodapea"/>
    <w:basedOn w:val="Normal"/>
    <w:rsid w:val="000A56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0A564E"/>
  </w:style>
  <w:style w:type="paragraph" w:customStyle="1" w:styleId="paragrafo">
    <w:name w:val="paragrafo"/>
    <w:basedOn w:val="Normal"/>
    <w:rsid w:val="000A56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tem">
    <w:name w:val="item"/>
    <w:basedOn w:val="Normal"/>
    <w:rsid w:val="000A56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D357AE"/>
    <w:rPr>
      <w:b/>
      <w:bCs/>
    </w:rPr>
  </w:style>
  <w:style w:type="character" w:styleId="Hyperlink">
    <w:name w:val="Hyperlink"/>
    <w:basedOn w:val="DefaultParagraphFont"/>
    <w:uiPriority w:val="99"/>
    <w:unhideWhenUsed/>
    <w:rsid w:val="00D357AE"/>
    <w:rPr>
      <w:color w:val="0000FF"/>
      <w:u w:val="single"/>
    </w:rPr>
  </w:style>
  <w:style w:type="paragraph" w:customStyle="1" w:styleId="texto1">
    <w:name w:val="texto1"/>
    <w:basedOn w:val="Normal"/>
    <w:rsid w:val="00D357A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Spacing">
    <w:name w:val="No Spacing"/>
    <w:uiPriority w:val="1"/>
    <w:qFormat/>
    <w:rsid w:val="00866E5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A61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A6101"/>
    <w:rPr>
      <w:rFonts w:ascii="Tahoma" w:eastAsia="Times New Roman" w:hAnsi="Tahoma" w:cs="Tahoma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433B18"/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433B18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433B18"/>
    <w:rPr>
      <w:vertAlign w:val="superscript"/>
    </w:rPr>
  </w:style>
  <w:style w:type="paragraph" w:styleId="ListParagraph">
    <w:name w:val="List Paragraph"/>
    <w:basedOn w:val="Normal"/>
    <w:uiPriority w:val="34"/>
    <w:qFormat/>
    <w:rsid w:val="00BE6A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4Char">
    <w:name w:val="Título 4 Char"/>
    <w:basedOn w:val="DefaultParagraphFont"/>
    <w:link w:val="Heading4"/>
    <w:uiPriority w:val="9"/>
    <w:rsid w:val="003B7DE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jud-text">
    <w:name w:val="jud-text"/>
    <w:basedOn w:val="Normal"/>
    <w:rsid w:val="003B7D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3B7DE7"/>
    <w:rPr>
      <w:i/>
      <w:iCs/>
    </w:rPr>
  </w:style>
  <w:style w:type="character" w:customStyle="1" w:styleId="ng-star-inserted">
    <w:name w:val="ng-star-inserted"/>
    <w:basedOn w:val="DefaultParagraphFont"/>
    <w:rsid w:val="003B7DE7"/>
  </w:style>
  <w:style w:type="character" w:customStyle="1" w:styleId="mr-5">
    <w:name w:val="mr-5"/>
    <w:basedOn w:val="DefaultParagraphFont"/>
    <w:rsid w:val="003B7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68F68-8714-4BF6-9154-9ED1FB84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8</Pages>
  <Words>2486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25</cp:revision>
  <cp:lastPrinted>2021-10-07T16:56:00Z</cp:lastPrinted>
  <dcterms:created xsi:type="dcterms:W3CDTF">2024-01-25T19:51:00Z</dcterms:created>
  <dcterms:modified xsi:type="dcterms:W3CDTF">2024-02-08T15:57:00Z</dcterms:modified>
</cp:coreProperties>
</file>