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B6CB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B6CB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F55B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B6C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F55B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F55B3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B6CB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B6C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B6CB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B6CB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11/2024 - </w:t>
      </w:r>
      <w:r w:rsidRPr="00322C9F">
        <w:rPr>
          <w:rFonts w:ascii="Times New Roman" w:hAnsi="Times New Roman"/>
          <w:b/>
          <w:szCs w:val="24"/>
        </w:rPr>
        <w:t>Proc. leg. nº 345/2024</w:t>
      </w:r>
    </w:p>
    <w:p w:rsidR="00322C9F" w:rsidRPr="00BB1EEA" w:rsidRDefault="004B6CB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4B6CB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</w:t>
      </w:r>
      <w:r>
        <w:rPr>
          <w:rFonts w:ascii="Times New Roman" w:hAnsi="Times New Roman"/>
          <w:bCs/>
          <w:i/>
          <w:szCs w:val="24"/>
        </w:rPr>
        <w:t>Prefeita Municipal para que empenhe esforços para criar polo de Educação de Jovens e Adultos na região dos Bairros Capivari, Macuco e Reforma Agrária.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55B3" w:rsidRDefault="008F55B3" w:rsidP="008F55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55B3" w:rsidRDefault="008F55B3" w:rsidP="008F55B3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F55B3" w:rsidRDefault="008F55B3" w:rsidP="008F55B3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8F55B3" w:rsidRDefault="008F55B3" w:rsidP="008F55B3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8F55B3" w:rsidRDefault="008F55B3" w:rsidP="008F55B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8F55B3" w:rsidRDefault="008F55B3" w:rsidP="008F55B3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8F55B3" w:rsidP="008F55B3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CB1" w:rsidRDefault="004B6CB1">
      <w:r>
        <w:separator/>
      </w:r>
    </w:p>
  </w:endnote>
  <w:endnote w:type="continuationSeparator" w:id="0">
    <w:p w:rsidR="004B6CB1" w:rsidRDefault="004B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B6CB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B6CB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CB1" w:rsidRDefault="004B6CB1">
      <w:r>
        <w:separator/>
      </w:r>
    </w:p>
  </w:footnote>
  <w:footnote w:type="continuationSeparator" w:id="0">
    <w:p w:rsidR="004B6CB1" w:rsidRDefault="004B6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B6C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33905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B6CB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B6CB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B6CB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B6CB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0005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B6CB1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8F55B3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C028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C028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C028D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3A24B-18BC-45C6-940E-C1FC469B9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2024-02-08T12:51:00Z</dcterms:modified>
</cp:coreProperties>
</file>