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122651" w:rsidP="00FB0318" w14:paraId="3612D339" w14:textId="362EDA58">
      <w:pPr>
        <w:pStyle w:val="Default"/>
        <w:jc w:val="both"/>
        <w:rPr>
          <w:rFonts w:ascii="Calibri" w:hAnsi="Calibri" w:eastAsiaTheme="minorHAnsi" w:cs="Calibri"/>
          <w:b/>
          <w:bCs/>
          <w:color w:val="auto"/>
          <w:lang w:eastAsia="en-US"/>
        </w:rPr>
      </w:pPr>
      <w:r w:rsidRPr="00122651">
        <w:rPr>
          <w:rFonts w:ascii="Calibri" w:hAnsi="Calibri" w:cs="Calibri"/>
          <w:b/>
          <w:color w:val="auto"/>
        </w:rPr>
        <w:t>Parecer J</w:t>
      </w:r>
      <w:r w:rsidRPr="00122651" w:rsidR="00E503EA">
        <w:rPr>
          <w:rFonts w:ascii="Calibri" w:hAnsi="Calibri" w:cs="Calibri"/>
          <w:b/>
          <w:color w:val="auto"/>
        </w:rPr>
        <w:t>urídico</w:t>
      </w:r>
      <w:r w:rsidRPr="00122651">
        <w:rPr>
          <w:rFonts w:ascii="Calibri" w:hAnsi="Calibri" w:cs="Calibri"/>
          <w:b/>
          <w:color w:val="auto"/>
        </w:rPr>
        <w:t xml:space="preserve"> nº </w:t>
      </w:r>
      <w:r w:rsidRPr="00122651" w:rsidR="00122651">
        <w:rPr>
          <w:rFonts w:ascii="Calibri" w:hAnsi="Calibri" w:cs="Calibri"/>
          <w:b/>
          <w:color w:val="auto"/>
        </w:rPr>
        <w:t>571</w:t>
      </w:r>
      <w:r w:rsidRPr="00122651" w:rsidR="00582F11">
        <w:rPr>
          <w:rFonts w:ascii="Calibri" w:hAnsi="Calibri" w:cs="Calibri"/>
          <w:b/>
          <w:color w:val="auto"/>
        </w:rPr>
        <w:t>/</w:t>
      </w:r>
      <w:r w:rsidRPr="00122651">
        <w:rPr>
          <w:rFonts w:ascii="Calibri" w:hAnsi="Calibri" w:cs="Calibri"/>
          <w:b/>
          <w:color w:val="auto"/>
        </w:rPr>
        <w:t>20</w:t>
      </w:r>
      <w:r w:rsidRPr="00122651" w:rsidR="00C65153">
        <w:rPr>
          <w:rFonts w:ascii="Calibri" w:hAnsi="Calibri" w:cs="Calibri"/>
          <w:b/>
          <w:color w:val="auto"/>
        </w:rPr>
        <w:t>2</w:t>
      </w:r>
      <w:r w:rsidRPr="00122651" w:rsidR="00320E08">
        <w:rPr>
          <w:rFonts w:ascii="Calibri" w:hAnsi="Calibri" w:cs="Calibri"/>
          <w:b/>
          <w:color w:val="auto"/>
        </w:rPr>
        <w:t>3</w:t>
      </w:r>
    </w:p>
    <w:p w:rsidR="00BA1092" w:rsidRPr="00BA1092" w:rsidP="001162EE" w14:paraId="1D336400" w14:textId="1735BD7B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b/>
          <w:bCs/>
          <w:sz w:val="24"/>
          <w:szCs w:val="24"/>
        </w:rPr>
        <w:t>Assunto: Projeto de Lei nº 167</w:t>
      </w:r>
      <w:r w:rsidRPr="007E1F99" w:rsidR="00623AD7">
        <w:rPr>
          <w:rFonts w:ascii="Calibri" w:hAnsi="Calibri" w:cs="Calibri"/>
          <w:b/>
          <w:bCs/>
          <w:sz w:val="24"/>
          <w:szCs w:val="24"/>
        </w:rPr>
        <w:t>/20</w:t>
      </w:r>
      <w:r w:rsidRPr="007E1F99" w:rsidR="00C65153">
        <w:rPr>
          <w:rFonts w:ascii="Calibri" w:hAnsi="Calibri" w:cs="Calibri"/>
          <w:b/>
          <w:bCs/>
          <w:sz w:val="24"/>
          <w:szCs w:val="24"/>
        </w:rPr>
        <w:t>2</w:t>
      </w:r>
      <w:r w:rsidR="001162EE">
        <w:rPr>
          <w:rFonts w:ascii="Calibri" w:hAnsi="Calibri" w:cs="Calibri"/>
          <w:b/>
          <w:bCs/>
          <w:sz w:val="24"/>
          <w:szCs w:val="24"/>
        </w:rPr>
        <w:t>3</w:t>
      </w:r>
      <w:r w:rsidRPr="007E1F99" w:rsidR="00E503EA"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="001162E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A1092">
        <w:rPr>
          <w:rFonts w:ascii="Calibri" w:eastAsia="Times New Roman" w:hAnsi="Calibri" w:cs="Calibri"/>
          <w:sz w:val="24"/>
          <w:szCs w:val="24"/>
          <w:lang w:eastAsia="pt-BR"/>
        </w:rPr>
        <w:t>Altera a Lei nº 4.036/06 que “institui o Programa de Repasse de Recursos Financeiros às Unidades Educacionais da rede pública municipal de ensino e dá outras providências</w:t>
      </w:r>
      <w:r>
        <w:rPr>
          <w:rFonts w:ascii="Calibri" w:eastAsia="Times New Roman" w:hAnsi="Calibri" w:cs="Calibri"/>
          <w:sz w:val="24"/>
          <w:szCs w:val="24"/>
          <w:lang w:eastAsia="pt-BR"/>
        </w:rPr>
        <w:t>”.</w:t>
      </w:r>
    </w:p>
    <w:p w:rsidR="005101D9" w:rsidRPr="000E14B3" w:rsidP="001162EE" w14:paraId="0F01B010" w14:textId="72BBE0FF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t-BR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Autoria do </w:t>
      </w:r>
      <w:r w:rsidRPr="000E14B3">
        <w:rPr>
          <w:rFonts w:ascii="Calibri" w:hAnsi="Calibri" w:cs="Calibri"/>
          <w:b/>
          <w:bCs/>
          <w:sz w:val="24"/>
          <w:szCs w:val="24"/>
        </w:rPr>
        <w:t>Executivo</w:t>
      </w:r>
      <w:r w:rsidRPr="000E14B3" w:rsidR="000E14B3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0E14B3" w:rsidR="000E14B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Mensagem nº </w:t>
      </w:r>
      <w:r w:rsidR="00BA1092">
        <w:rPr>
          <w:rFonts w:ascii="Calibri" w:eastAsia="Times New Roman" w:hAnsi="Calibri" w:cs="Calibri"/>
          <w:b/>
          <w:sz w:val="24"/>
          <w:szCs w:val="24"/>
          <w:lang w:eastAsia="pt-BR"/>
        </w:rPr>
        <w:t>65</w:t>
      </w:r>
      <w:r w:rsidRPr="000E14B3" w:rsidR="000E14B3">
        <w:rPr>
          <w:rFonts w:ascii="Calibri" w:eastAsia="Times New Roman" w:hAnsi="Calibri" w:cs="Calibri"/>
          <w:b/>
          <w:sz w:val="24"/>
          <w:szCs w:val="24"/>
          <w:lang w:eastAsia="pt-BR"/>
        </w:rPr>
        <w:t>/23.</w:t>
      </w:r>
    </w:p>
    <w:p w:rsidR="004F17E2" w:rsidP="00995E87" w14:paraId="4B018433" w14:textId="77777777">
      <w:pPr>
        <w:tabs>
          <w:tab w:val="left" w:pos="1134"/>
        </w:tabs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</w:p>
    <w:p w:rsidR="00C65153" w:rsidRPr="007E1F99" w:rsidP="00E503EA" w14:paraId="70D58AF3" w14:textId="3A4D9607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>À</w:t>
      </w:r>
      <w:r w:rsidRPr="007E1F99" w:rsidR="00106ADB">
        <w:rPr>
          <w:rFonts w:ascii="Calibri" w:hAnsi="Calibri" w:cs="Calibri"/>
          <w:b/>
          <w:i/>
          <w:color w:val="auto"/>
        </w:rPr>
        <w:t xml:space="preserve"> </w:t>
      </w:r>
      <w:r w:rsidRPr="007E1F99">
        <w:rPr>
          <w:rFonts w:ascii="Calibri" w:hAnsi="Calibri" w:cs="Calibri"/>
          <w:b/>
          <w:i/>
          <w:color w:val="auto"/>
        </w:rPr>
        <w:t>Comissão de Justiça e Redação</w:t>
      </w:r>
      <w:r w:rsidRPr="007E1F99" w:rsidR="00973E66">
        <w:rPr>
          <w:rFonts w:ascii="Calibri" w:hAnsi="Calibri" w:cs="Calibri"/>
          <w:b/>
          <w:i/>
          <w:color w:val="auto"/>
        </w:rPr>
        <w:t>,</w:t>
      </w:r>
    </w:p>
    <w:p w:rsidR="0058062A" w:rsidRPr="007E1F99" w:rsidP="00053466" w14:paraId="4B40703B" w14:textId="20CBFC7B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7E1F99">
        <w:rPr>
          <w:rFonts w:ascii="Calibri" w:hAnsi="Calibri" w:cs="Calibri"/>
          <w:b/>
          <w:i/>
          <w:color w:val="auto"/>
        </w:rPr>
        <w:t xml:space="preserve">Exmo. </w:t>
      </w:r>
      <w:r w:rsidR="004F17E2">
        <w:rPr>
          <w:rFonts w:ascii="Calibri" w:hAnsi="Calibri" w:cs="Calibri"/>
          <w:b/>
          <w:i/>
          <w:color w:val="auto"/>
        </w:rPr>
        <w:t xml:space="preserve">Presidente </w:t>
      </w:r>
      <w:r w:rsidRPr="007E1F99">
        <w:rPr>
          <w:rFonts w:ascii="Calibri" w:hAnsi="Calibri" w:cs="Calibri"/>
          <w:b/>
          <w:i/>
          <w:color w:val="auto"/>
        </w:rPr>
        <w:t xml:space="preserve">Vereador </w:t>
      </w:r>
      <w:r w:rsidR="00A0126A">
        <w:rPr>
          <w:rFonts w:ascii="Calibri" w:hAnsi="Calibri" w:cs="Calibri"/>
          <w:b/>
          <w:i/>
          <w:color w:val="auto"/>
        </w:rPr>
        <w:t>Gabriel Bueno</w:t>
      </w:r>
      <w:r w:rsidRPr="007E1F99" w:rsidR="00973E66">
        <w:rPr>
          <w:rFonts w:ascii="Calibri" w:hAnsi="Calibri" w:cs="Calibri"/>
          <w:b/>
          <w:i/>
          <w:color w:val="auto"/>
        </w:rPr>
        <w:t>.</w:t>
      </w:r>
    </w:p>
    <w:p w:rsidR="00EA669D" w:rsidP="00053466" w14:paraId="4C800A41" w14:textId="77777777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</w:p>
    <w:p w:rsidR="004F17E2" w:rsidRPr="007E1F99" w:rsidP="003C2F5F" w14:paraId="79A6402C" w14:textId="1E4A4399">
      <w:pPr>
        <w:pStyle w:val="Default"/>
        <w:tabs>
          <w:tab w:val="left" w:pos="2055"/>
        </w:tabs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>
        <w:rPr>
          <w:rFonts w:ascii="Calibri" w:hAnsi="Calibri" w:cs="Calibri"/>
          <w:b/>
          <w:i/>
          <w:color w:val="auto"/>
        </w:rPr>
        <w:tab/>
      </w:r>
    </w:p>
    <w:p w:rsidR="001162EE" w:rsidRPr="00BA1092" w:rsidP="00BA1092" w14:paraId="56D0F8C7" w14:textId="1D3F8519">
      <w:pPr>
        <w:spacing w:after="240" w:line="360" w:lineRule="auto"/>
        <w:ind w:firstLine="1701"/>
        <w:jc w:val="both"/>
        <w:rPr>
          <w:rFonts w:ascii="Calibri" w:eastAsia="Times New Roman" w:hAnsi="Calibri" w:cs="Calibri"/>
          <w:i/>
          <w:sz w:val="24"/>
          <w:szCs w:val="24"/>
          <w:lang w:eastAsia="pt-BR"/>
        </w:rPr>
      </w:pP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Trata-se de parecer jurídico </w:t>
      </w:r>
      <w:r w:rsidRPr="007E5161" w:rsidR="0029742D">
        <w:rPr>
          <w:rFonts w:ascii="Calibri" w:eastAsia="Times New Roman" w:hAnsi="Calibri" w:cs="Calibri"/>
          <w:sz w:val="24"/>
          <w:szCs w:val="24"/>
          <w:lang w:eastAsia="pt-BR"/>
        </w:rPr>
        <w:t>relativo ao projeto em epígrafe</w:t>
      </w:r>
      <w:r w:rsidRPr="007E516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E5161" w:rsidR="00E503EA">
        <w:rPr>
          <w:rFonts w:ascii="Calibri" w:eastAsia="Times New Roman" w:hAnsi="Calibri" w:cs="Calibri"/>
          <w:sz w:val="24"/>
          <w:szCs w:val="24"/>
          <w:lang w:eastAsia="pt-BR"/>
        </w:rPr>
        <w:t xml:space="preserve">que </w:t>
      </w:r>
      <w:r w:rsidRPr="00BA1092" w:rsidR="00BA1092">
        <w:rPr>
          <w:rFonts w:ascii="Calibri" w:eastAsia="Times New Roman" w:hAnsi="Calibri" w:cs="Calibri"/>
          <w:i/>
          <w:sz w:val="24"/>
          <w:szCs w:val="24"/>
          <w:lang w:eastAsia="pt-BR"/>
        </w:rPr>
        <w:t>Altera a Lei nº 4.036/06 que “institui o Programa de Repasse de Recursos Financeiros às Unidades Educacionais da rede pública municipal de ensino e dá outras providências</w:t>
      </w:r>
      <w:r w:rsidRPr="001162EE" w:rsidR="007E5161">
        <w:rPr>
          <w:rFonts w:ascii="Calibri" w:eastAsia="Times New Roman" w:hAnsi="Calibri" w:cs="Calibri"/>
          <w:i/>
          <w:sz w:val="24"/>
          <w:szCs w:val="24"/>
          <w:lang w:eastAsia="pt-BR"/>
        </w:rPr>
        <w:t>”</w:t>
      </w:r>
      <w:r w:rsidR="000E14B3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, </w:t>
      </w:r>
      <w:r w:rsidR="000E14B3">
        <w:rPr>
          <w:rFonts w:ascii="Calibri" w:eastAsia="Times New Roman" w:hAnsi="Calibri" w:cs="Calibri"/>
          <w:sz w:val="24"/>
          <w:szCs w:val="24"/>
          <w:lang w:eastAsia="pt-BR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3546C8B6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451207" w:rsidRPr="00BA1092" w:rsidP="00BA1092" w14:paraId="72B3AD72" w14:textId="2D400982">
            <w:pPr>
              <w:spacing w:after="24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A1092">
              <w:rPr>
                <w:rFonts w:ascii="Calibri" w:eastAsia="Times New Roman" w:hAnsi="Calibri" w:cs="Calibri"/>
                <w:b/>
                <w:lang w:eastAsia="pt-BR"/>
              </w:rPr>
              <w:t xml:space="preserve">Lei nº </w:t>
            </w:r>
            <w:r w:rsidRPr="00BA1092" w:rsidR="00BA1092">
              <w:rPr>
                <w:rFonts w:ascii="Calibri" w:eastAsia="Times New Roman" w:hAnsi="Calibri" w:cs="Calibri"/>
                <w:b/>
                <w:lang w:eastAsia="pt-BR"/>
              </w:rPr>
              <w:t>4</w:t>
            </w:r>
            <w:r w:rsidRPr="00BA1092">
              <w:rPr>
                <w:rFonts w:ascii="Calibri" w:eastAsia="Times New Roman" w:hAnsi="Calibri" w:cs="Calibri"/>
                <w:b/>
                <w:lang w:eastAsia="pt-BR"/>
              </w:rPr>
              <w:t>.</w:t>
            </w:r>
            <w:r w:rsidRPr="00BA1092" w:rsidR="00BA1092">
              <w:rPr>
                <w:rFonts w:ascii="Calibri" w:eastAsia="Times New Roman" w:hAnsi="Calibri" w:cs="Calibri"/>
                <w:b/>
                <w:lang w:eastAsia="pt-BR"/>
              </w:rPr>
              <w:t>036</w:t>
            </w:r>
            <w:r w:rsidRPr="00BA1092">
              <w:rPr>
                <w:rFonts w:ascii="Calibri" w:eastAsia="Times New Roman" w:hAnsi="Calibri" w:cs="Calibri"/>
                <w:b/>
                <w:lang w:eastAsia="pt-BR"/>
              </w:rPr>
              <w:t>/20</w:t>
            </w:r>
            <w:r w:rsidRPr="00BA1092" w:rsidR="00BA1092">
              <w:rPr>
                <w:rFonts w:ascii="Calibri" w:eastAsia="Times New Roman" w:hAnsi="Calibri" w:cs="Calibri"/>
                <w:b/>
                <w:lang w:eastAsia="pt-BR"/>
              </w:rPr>
              <w:t>06</w:t>
            </w:r>
          </w:p>
        </w:tc>
        <w:tc>
          <w:tcPr>
            <w:tcW w:w="4322" w:type="dxa"/>
          </w:tcPr>
          <w:p w:rsidR="00451207" w:rsidRPr="00BA1092" w:rsidP="00BA1092" w14:paraId="7211F090" w14:textId="43C69397">
            <w:pPr>
              <w:spacing w:after="240" w:line="36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BA1092">
              <w:rPr>
                <w:rFonts w:ascii="Calibri" w:eastAsia="Times New Roman" w:hAnsi="Calibri" w:cs="Calibri"/>
                <w:b/>
                <w:lang w:eastAsia="pt-BR"/>
              </w:rPr>
              <w:t xml:space="preserve">Projeto de Lei nº </w:t>
            </w:r>
            <w:r w:rsidRPr="00BA1092" w:rsidR="00BA1092">
              <w:rPr>
                <w:rFonts w:ascii="Calibri" w:eastAsia="Times New Roman" w:hAnsi="Calibri" w:cs="Calibri"/>
                <w:b/>
                <w:lang w:eastAsia="pt-BR"/>
              </w:rPr>
              <w:t>167</w:t>
            </w:r>
            <w:r w:rsidRPr="00BA1092">
              <w:rPr>
                <w:rFonts w:ascii="Calibri" w:eastAsia="Times New Roman" w:hAnsi="Calibri" w:cs="Calibri"/>
                <w:b/>
                <w:lang w:eastAsia="pt-BR"/>
              </w:rPr>
              <w:t>/2023</w:t>
            </w:r>
          </w:p>
        </w:tc>
      </w:tr>
      <w:tr w14:paraId="79DA2792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122651" w:rsidRPr="00416518" w:rsidP="0063556F" w14:paraId="3B0DF4E5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>“</w:t>
            </w: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1º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451207" w:rsidRPr="00BA1092" w:rsidP="0063556F" w14:paraId="778EC674" w14:textId="52219FAC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16518">
              <w:rPr>
                <w:b/>
                <w:i/>
              </w:rPr>
              <w:t>Parágrafo único.</w:t>
            </w:r>
            <w:r w:rsidRPr="00416518">
              <w:rPr>
                <w:i/>
              </w:rPr>
              <w:t xml:space="preserve"> Para os efeitos desta Lei denomina-se Unidade Executora a Associação de Pais e Mestres – APM,</w:t>
            </w:r>
            <w:r>
              <w:rPr>
                <w:i/>
              </w:rPr>
              <w:t xml:space="preserve"> entidade de direito privado, organizada no âmbito da Unidade Educacional, sem fins </w:t>
            </w:r>
            <w:r>
              <w:rPr>
                <w:i/>
              </w:rPr>
              <w:t>lucrativos, e representativa da comunidade escolar</w:t>
            </w:r>
            <w:r>
              <w:rPr>
                <w:i/>
              </w:rPr>
              <w:t>.</w:t>
            </w:r>
          </w:p>
        </w:tc>
        <w:tc>
          <w:tcPr>
            <w:tcW w:w="4322" w:type="dxa"/>
          </w:tcPr>
          <w:p w:rsidR="00BA1092" w:rsidRPr="00416518" w:rsidP="0063556F" w14:paraId="4EE28146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>“</w:t>
            </w: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1º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451207" w:rsidRPr="00416518" w:rsidP="0063556F" w14:paraId="3B605643" w14:textId="62863A56">
            <w:pPr>
              <w:jc w:val="both"/>
              <w:rPr>
                <w:rFonts w:ascii="Calibri" w:eastAsia="Times New Roman" w:hAnsi="Calibri" w:cs="Calibri"/>
                <w:i/>
                <w:lang w:eastAsia="pt-BR"/>
              </w:rPr>
            </w:pPr>
            <w:r w:rsidRPr="00416518">
              <w:rPr>
                <w:b/>
                <w:i/>
              </w:rPr>
              <w:t>Parágrafo único.</w:t>
            </w:r>
            <w:r w:rsidRPr="00416518">
              <w:rPr>
                <w:i/>
              </w:rPr>
              <w:t xml:space="preserve"> Para os efeitos desta Lei denomina-se Unidade Executora a Associação de Pais e Mestres – A.P.M., </w:t>
            </w:r>
            <w:r w:rsidRPr="00122651">
              <w:rPr>
                <w:b/>
                <w:i/>
              </w:rPr>
              <w:t>pessoa jurídica</w:t>
            </w:r>
            <w:r w:rsidRPr="00416518">
              <w:rPr>
                <w:i/>
              </w:rPr>
              <w:t xml:space="preserve">, entidade de direito privado, organizada no âmbito da Unidade Educacional, é uma entidade de natureza social e educativa, </w:t>
            </w:r>
            <w:r w:rsidRPr="00122651">
              <w:rPr>
                <w:b/>
                <w:i/>
              </w:rPr>
              <w:t>sem caráter político, racial ou religioso e</w:t>
            </w:r>
            <w:r w:rsidRPr="00416518">
              <w:rPr>
                <w:i/>
              </w:rPr>
              <w:t xml:space="preserve"> sem fins </w:t>
            </w:r>
            <w:r w:rsidRPr="00416518">
              <w:rPr>
                <w:i/>
              </w:rPr>
              <w:t>lucrativos, e representativa da comunidade escolar</w:t>
            </w:r>
            <w:r w:rsidRPr="00416518">
              <w:rPr>
                <w:i/>
              </w:rPr>
              <w:t>. (...)</w:t>
            </w:r>
          </w:p>
        </w:tc>
      </w:tr>
      <w:tr w14:paraId="638A24D6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122651" w:rsidP="0063556F" w14:paraId="56F15E5E" w14:textId="2E7E30EB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>Art. 4º</w:t>
            </w:r>
            <w:r w:rsidRPr="00416518">
              <w:rPr>
                <w:i/>
              </w:rPr>
              <w:t xml:space="preserve"> Os recursos repassados somente poderão ser utilizados em despesas necessárias à garantia do funcionamento às melhorias física e</w:t>
            </w:r>
            <w:r>
              <w:rPr>
                <w:i/>
              </w:rPr>
              <w:t xml:space="preserve"> pedagógica das </w:t>
            </w:r>
            <w:r w:rsidRPr="00416518">
              <w:rPr>
                <w:i/>
              </w:rPr>
              <w:t xml:space="preserve">Unidades Educacionais, de acordo com hipóteses previstas no Plano de Aplicação de Recursos aprovado pela Secretaria da Educação, tais como: </w:t>
            </w:r>
          </w:p>
          <w:p w:rsidR="00122651" w:rsidRPr="00416518" w:rsidP="0063556F" w14:paraId="3A27699C" w14:textId="77777777">
            <w:pPr>
              <w:jc w:val="both"/>
              <w:rPr>
                <w:i/>
              </w:rPr>
            </w:pPr>
          </w:p>
          <w:p w:rsidR="00122651" w:rsidRPr="00416518" w:rsidP="0063556F" w14:paraId="04BE1C6F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>(...)</w:t>
            </w:r>
          </w:p>
          <w:p w:rsidR="00122651" w:rsidRPr="00122651" w:rsidP="0063556F" w14:paraId="0C559177" w14:textId="2CE42532">
            <w:pPr>
              <w:jc w:val="both"/>
              <w:rPr>
                <w:rFonts w:ascii="Calibri" w:eastAsia="Times New Roman" w:hAnsi="Calibri" w:cs="Calibri"/>
                <w:b/>
                <w:lang w:eastAsia="pt-BR"/>
              </w:rPr>
            </w:pPr>
            <w:r w:rsidRPr="00416518">
              <w:rPr>
                <w:i/>
              </w:rPr>
              <w:t xml:space="preserve">IV </w:t>
            </w:r>
            <w:r>
              <w:rPr>
                <w:i/>
              </w:rPr>
              <w:t>–</w:t>
            </w:r>
            <w:r w:rsidRPr="00416518">
              <w:rPr>
                <w:i/>
              </w:rPr>
              <w:t xml:space="preserve"> </w:t>
            </w:r>
            <w:r w:rsidRPr="00122651">
              <w:rPr>
                <w:b/>
                <w:i/>
              </w:rPr>
              <w:t>taxas de manutenção da conta corrente bancária da Unidade Executora.</w:t>
            </w:r>
          </w:p>
          <w:p w:rsidR="00451207" w:rsidRPr="00BA1092" w:rsidP="0063556F" w14:paraId="412D0712" w14:textId="150B4F08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4322" w:type="dxa"/>
          </w:tcPr>
          <w:p w:rsidR="00BA1092" w:rsidRPr="00416518" w:rsidP="0063556F" w14:paraId="390BE309" w14:textId="77777777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>Art. 4º</w:t>
            </w:r>
            <w:r w:rsidRPr="00416518">
              <w:rPr>
                <w:i/>
              </w:rPr>
              <w:t xml:space="preserve"> Os recursos repassados somente poderão ser utilizados em despesas necessárias à garantia do funcionamento às </w:t>
            </w:r>
            <w:r w:rsidRPr="00416518">
              <w:rPr>
                <w:i/>
              </w:rPr>
              <w:t>melhorias física</w:t>
            </w:r>
            <w:r w:rsidRPr="00416518">
              <w:rPr>
                <w:i/>
              </w:rPr>
              <w:t xml:space="preserve"> e </w:t>
            </w:r>
            <w:r w:rsidRPr="00122651">
              <w:rPr>
                <w:b/>
                <w:i/>
              </w:rPr>
              <w:t>a implementação e execução do Projeto Político-Pedagógico</w:t>
            </w:r>
            <w:r w:rsidRPr="00416518">
              <w:rPr>
                <w:i/>
              </w:rPr>
              <w:t xml:space="preserve"> das Unidades Educacionais, de acordo com hipóteses previstas no Plano de Aplicação de Recursos aprovado pela Secretaria da Educação, tais como: </w:t>
            </w:r>
          </w:p>
          <w:p w:rsidR="00BA1092" w:rsidRPr="00416518" w:rsidP="0063556F" w14:paraId="7A10B652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>(...)</w:t>
            </w:r>
          </w:p>
          <w:p w:rsidR="00BA1092" w:rsidRPr="00122651" w:rsidP="0063556F" w14:paraId="6F1947C8" w14:textId="77777777">
            <w:pPr>
              <w:jc w:val="both"/>
              <w:rPr>
                <w:b/>
                <w:i/>
              </w:rPr>
            </w:pPr>
            <w:r w:rsidRPr="00416518">
              <w:rPr>
                <w:i/>
              </w:rPr>
              <w:t xml:space="preserve">IV - </w:t>
            </w:r>
            <w:r w:rsidRPr="00122651">
              <w:rPr>
                <w:b/>
                <w:i/>
              </w:rPr>
              <w:t xml:space="preserve">pagamento da prestação de serviços eventuais, tanto para fins administrativos, </w:t>
            </w:r>
            <w:r w:rsidRPr="00122651">
              <w:rPr>
                <w:b/>
                <w:i/>
              </w:rPr>
              <w:t xml:space="preserve">quanto pedagógicos, desde que balizados no Projeto Político Pedagógico da Escola e previstos no Plano de trabalho e no Plano de Aplicação; </w:t>
            </w:r>
          </w:p>
          <w:p w:rsidR="00BA1092" w:rsidRPr="00122651" w:rsidP="0063556F" w14:paraId="0A27FC0D" w14:textId="77777777">
            <w:pPr>
              <w:jc w:val="both"/>
              <w:rPr>
                <w:b/>
                <w:i/>
              </w:rPr>
            </w:pPr>
            <w:r w:rsidRPr="00122651">
              <w:rPr>
                <w:b/>
                <w:i/>
              </w:rPr>
              <w:t>V - desenvolvimento de projetos, atividades pedagógicas e educacionais;</w:t>
            </w:r>
          </w:p>
          <w:p w:rsidR="00BA1092" w:rsidRPr="00416518" w:rsidP="0063556F" w14:paraId="77752144" w14:textId="3AFD320D">
            <w:pPr>
              <w:jc w:val="both"/>
              <w:rPr>
                <w:rFonts w:ascii="Calibri" w:eastAsia="Times New Roman" w:hAnsi="Calibri" w:cs="Calibri"/>
                <w:i/>
                <w:lang w:eastAsia="pt-BR"/>
              </w:rPr>
            </w:pPr>
            <w:r w:rsidRPr="00122651">
              <w:rPr>
                <w:b/>
                <w:i/>
              </w:rPr>
              <w:t>VI - contratação de serviço contábil para a regularização fiscal da Unidade Educacional.</w:t>
            </w:r>
          </w:p>
        </w:tc>
      </w:tr>
      <w:tr w14:paraId="47B14338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122651" w:rsidRPr="00416518" w:rsidP="0063556F" w14:paraId="25469EA9" w14:textId="77777777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5º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122651" w:rsidRPr="00416518" w:rsidP="0063556F" w14:paraId="2141812E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 xml:space="preserve">(...) </w:t>
            </w:r>
          </w:p>
          <w:p w:rsidR="00BA1092" w:rsidRPr="00BA1092" w:rsidP="0063556F" w14:paraId="76699F7F" w14:textId="112FE6C2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16518">
              <w:rPr>
                <w:i/>
              </w:rPr>
              <w:t xml:space="preserve">XI - </w:t>
            </w:r>
            <w:r w:rsidRPr="00122651">
              <w:rPr>
                <w:b/>
                <w:i/>
              </w:rPr>
              <w:t>tarifas</w:t>
            </w:r>
            <w:r w:rsidRPr="00416518">
              <w:rPr>
                <w:i/>
              </w:rPr>
              <w:t xml:space="preserve"> bancárias provenientes de movimentação indevida de conta corrente; (...</w:t>
            </w:r>
            <w:r w:rsidRPr="00416518">
              <w:rPr>
                <w:i/>
              </w:rPr>
              <w:t>)</w:t>
            </w:r>
          </w:p>
        </w:tc>
        <w:tc>
          <w:tcPr>
            <w:tcW w:w="4322" w:type="dxa"/>
          </w:tcPr>
          <w:p w:rsidR="00BA1092" w:rsidRPr="00416518" w:rsidP="0063556F" w14:paraId="158E811C" w14:textId="77777777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5º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BA1092" w:rsidRPr="00416518" w:rsidP="0063556F" w14:paraId="559A92A1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 xml:space="preserve">(...) </w:t>
            </w:r>
          </w:p>
          <w:p w:rsidR="00BA1092" w:rsidRPr="00416518" w:rsidP="0063556F" w14:paraId="4D18B3A9" w14:textId="25F801C8">
            <w:pPr>
              <w:jc w:val="both"/>
              <w:rPr>
                <w:rFonts w:ascii="Calibri" w:eastAsia="Times New Roman" w:hAnsi="Calibri" w:cs="Calibri"/>
                <w:i/>
                <w:lang w:eastAsia="pt-BR"/>
              </w:rPr>
            </w:pPr>
            <w:r w:rsidRPr="00416518">
              <w:rPr>
                <w:i/>
              </w:rPr>
              <w:t xml:space="preserve">XI - </w:t>
            </w:r>
            <w:r w:rsidRPr="00122651">
              <w:rPr>
                <w:b/>
                <w:i/>
              </w:rPr>
              <w:t>taxas</w:t>
            </w:r>
            <w:r w:rsidRPr="00416518">
              <w:rPr>
                <w:i/>
              </w:rPr>
              <w:t xml:space="preserve"> bancárias provenientes de movimentação indevida de conta corrente; (...</w:t>
            </w:r>
            <w:r w:rsidRPr="00416518">
              <w:rPr>
                <w:i/>
              </w:rPr>
              <w:t>)</w:t>
            </w:r>
          </w:p>
        </w:tc>
      </w:tr>
      <w:tr w14:paraId="1E84C967" w14:textId="77777777" w:rsidTr="00451207">
        <w:tblPrEx>
          <w:tblW w:w="0" w:type="auto"/>
          <w:tblLook w:val="04A0"/>
        </w:tblPrEx>
        <w:tc>
          <w:tcPr>
            <w:tcW w:w="4322" w:type="dxa"/>
          </w:tcPr>
          <w:p w:rsidR="00122651" w:rsidRPr="00416518" w:rsidP="0063556F" w14:paraId="35375A66" w14:textId="77777777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6º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122651" w:rsidRPr="00416518" w:rsidP="0063556F" w14:paraId="2793D7F8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 xml:space="preserve">(...) </w:t>
            </w:r>
          </w:p>
          <w:p w:rsidR="00BA1092" w:rsidRPr="00BA1092" w:rsidP="0063556F" w14:paraId="766C999A" w14:textId="7C6DDC53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16518">
              <w:rPr>
                <w:i/>
              </w:rPr>
              <w:t xml:space="preserve">V - submeter a prestação de contas dos recursos financeiros recebidos à apreciação da Secretaria da Educação para sua aprovação e encaminhamento </w:t>
            </w:r>
            <w:r>
              <w:rPr>
                <w:i/>
              </w:rPr>
              <w:t xml:space="preserve">à Secretaria da Educação para sua </w:t>
            </w:r>
            <w:r w:rsidR="00755854">
              <w:rPr>
                <w:i/>
              </w:rPr>
              <w:t xml:space="preserve">aprovação e encaminhamento </w:t>
            </w:r>
            <w:r w:rsidRPr="00755854" w:rsidR="00755854">
              <w:rPr>
                <w:b/>
                <w:i/>
              </w:rPr>
              <w:t>à Secretaria da Fazenda, em até trinta dois dias após o encerramento do trimestre, para a devida conferência.</w:t>
            </w:r>
          </w:p>
        </w:tc>
        <w:tc>
          <w:tcPr>
            <w:tcW w:w="4322" w:type="dxa"/>
          </w:tcPr>
          <w:p w:rsidR="00BA1092" w:rsidRPr="00416518" w:rsidP="0063556F" w14:paraId="10CB86DE" w14:textId="77777777">
            <w:pPr>
              <w:jc w:val="both"/>
              <w:rPr>
                <w:i/>
              </w:rPr>
            </w:pPr>
            <w:r w:rsidRPr="00416518">
              <w:rPr>
                <w:b/>
                <w:i/>
              </w:rPr>
              <w:t xml:space="preserve">Art. </w:t>
            </w:r>
            <w:r w:rsidRPr="00416518">
              <w:rPr>
                <w:b/>
                <w:i/>
              </w:rPr>
              <w:t>6º</w:t>
            </w:r>
            <w:r w:rsidRPr="00416518">
              <w:rPr>
                <w:i/>
              </w:rPr>
              <w:t xml:space="preserve"> ...</w:t>
            </w:r>
            <w:r w:rsidRPr="00416518">
              <w:rPr>
                <w:i/>
              </w:rPr>
              <w:t xml:space="preserve"> </w:t>
            </w:r>
          </w:p>
          <w:p w:rsidR="00BA1092" w:rsidRPr="00416518" w:rsidP="0063556F" w14:paraId="3AB07B64" w14:textId="77777777">
            <w:pPr>
              <w:jc w:val="both"/>
              <w:rPr>
                <w:i/>
              </w:rPr>
            </w:pPr>
            <w:r w:rsidRPr="00416518">
              <w:rPr>
                <w:i/>
              </w:rPr>
              <w:t xml:space="preserve">(...) </w:t>
            </w:r>
          </w:p>
          <w:p w:rsidR="00BA1092" w:rsidRPr="00416518" w:rsidP="0063556F" w14:paraId="3F4D961E" w14:textId="1F7A7CA1">
            <w:pPr>
              <w:jc w:val="both"/>
              <w:rPr>
                <w:rFonts w:ascii="Calibri" w:eastAsia="Times New Roman" w:hAnsi="Calibri" w:cs="Calibri"/>
                <w:i/>
                <w:lang w:eastAsia="pt-BR"/>
              </w:rPr>
            </w:pPr>
            <w:r w:rsidRPr="00416518">
              <w:rPr>
                <w:i/>
              </w:rPr>
              <w:t xml:space="preserve">V - submeter a prestação de contas dos recursos financeiros recebidos </w:t>
            </w:r>
            <w:r w:rsidRPr="00755854">
              <w:rPr>
                <w:b/>
                <w:i/>
              </w:rPr>
              <w:t>trimestralmente</w:t>
            </w:r>
            <w:r w:rsidRPr="00416518">
              <w:rPr>
                <w:i/>
              </w:rPr>
              <w:t xml:space="preserve"> à apreciação da Secretaria da Educação para sua aprovação e encaminhamento </w:t>
            </w:r>
            <w:r w:rsidRPr="00755854">
              <w:rPr>
                <w:b/>
                <w:i/>
              </w:rPr>
              <w:t>ao final da parceria à Controladoria Geral do Município, para a devida conferência.</w:t>
            </w:r>
          </w:p>
        </w:tc>
      </w:tr>
    </w:tbl>
    <w:p w:rsidR="000E14B3" w:rsidRPr="00416518" w:rsidP="001162EE" w14:paraId="1074A2BD" w14:textId="77777777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12"/>
          <w:szCs w:val="12"/>
          <w:lang w:eastAsia="pt-BR"/>
        </w:rPr>
      </w:pPr>
    </w:p>
    <w:p w:rsidR="00661EC1" w:rsidP="00EA45A1" w14:paraId="0746276A" w14:textId="1290AAA2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Ainda, o projeto tenciona revogar o </w:t>
      </w:r>
      <w:r w:rsidR="00755854">
        <w:rPr>
          <w:rFonts w:cstheme="minorHAnsi"/>
          <w:sz w:val="24"/>
          <w:szCs w:val="24"/>
        </w:rPr>
        <w:t xml:space="preserve">inciso III do art. 7º da Lei nº </w:t>
      </w:r>
      <w:r>
        <w:rPr>
          <w:rFonts w:cstheme="minorHAnsi"/>
          <w:sz w:val="24"/>
          <w:szCs w:val="24"/>
        </w:rPr>
        <w:t>4.036/2026, que dispõe:</w:t>
      </w:r>
    </w:p>
    <w:p w:rsidR="00755854" w:rsidRPr="00416518" w:rsidP="00EA45A1" w14:paraId="370C2A04" w14:textId="04401EEB">
      <w:pPr>
        <w:spacing w:after="0" w:line="240" w:lineRule="auto"/>
        <w:ind w:left="2835"/>
        <w:jc w:val="both"/>
        <w:rPr>
          <w:i/>
        </w:rPr>
      </w:pPr>
      <w:r w:rsidRPr="00416518">
        <w:rPr>
          <w:b/>
          <w:i/>
        </w:rPr>
        <w:t>Art.</w:t>
      </w:r>
      <w:r>
        <w:rPr>
          <w:b/>
          <w:i/>
        </w:rPr>
        <w:t>7</w:t>
      </w:r>
      <w:r w:rsidRPr="00416518">
        <w:rPr>
          <w:b/>
          <w:i/>
        </w:rPr>
        <w:t>º</w:t>
      </w:r>
      <w:r w:rsidRPr="00416518">
        <w:rPr>
          <w:i/>
        </w:rPr>
        <w:t xml:space="preserve"> ...</w:t>
      </w:r>
      <w:r w:rsidRPr="00416518">
        <w:rPr>
          <w:i/>
        </w:rPr>
        <w:t xml:space="preserve"> </w:t>
      </w:r>
    </w:p>
    <w:p w:rsidR="00755854" w:rsidP="00EA45A1" w14:paraId="68B4A9C0" w14:textId="77777777">
      <w:pPr>
        <w:spacing w:after="0" w:line="240" w:lineRule="auto"/>
        <w:ind w:left="2835"/>
        <w:jc w:val="both"/>
        <w:rPr>
          <w:i/>
        </w:rPr>
      </w:pPr>
      <w:r w:rsidRPr="00416518">
        <w:rPr>
          <w:i/>
        </w:rPr>
        <w:t xml:space="preserve">(...) </w:t>
      </w:r>
    </w:p>
    <w:p w:rsidR="00755854" w:rsidRPr="00416518" w:rsidP="00EA45A1" w14:paraId="2AEECEFA" w14:textId="44B4B91E">
      <w:pPr>
        <w:spacing w:after="0" w:line="240" w:lineRule="auto"/>
        <w:ind w:left="2835"/>
        <w:jc w:val="both"/>
        <w:rPr>
          <w:i/>
        </w:rPr>
      </w:pPr>
      <w:r>
        <w:rPr>
          <w:i/>
        </w:rPr>
        <w:t xml:space="preserve">III- não for apresentado o número atualizado de alunos matriculados, trimestralmente ou sempre que solicitado. </w:t>
      </w:r>
    </w:p>
    <w:p w:rsidR="00661EC1" w:rsidRPr="00EA45A1" w:rsidP="001162EE" w14:paraId="05179D8A" w14:textId="77777777">
      <w:pPr>
        <w:spacing w:after="24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EA45A1" w:rsidRPr="00F8046A" w:rsidP="00EA45A1" w14:paraId="38C7E45F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u w:val="single"/>
        </w:rPr>
      </w:pPr>
      <w:r w:rsidRPr="00F8046A">
        <w:rPr>
          <w:rFonts w:asciiTheme="minorHAnsi" w:hAnsiTheme="minorHAnsi" w:cstheme="minorHAnsi"/>
          <w:szCs w:val="24"/>
          <w:u w:val="single"/>
        </w:rPr>
        <w:t>Acompanha o projeto estudo de impacto orçamentário-financeiro do Departamento de Finanças (fl. 6) e declaração do ordenador de despesa (fl. 7).</w:t>
      </w:r>
    </w:p>
    <w:p w:rsidR="001162EE" w:rsidRPr="001162EE" w:rsidP="001162EE" w14:paraId="7A410C50" w14:textId="29E4C795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1162EE">
        <w:rPr>
          <w:rFonts w:cstheme="minorHAnsi"/>
          <w:i/>
          <w:sz w:val="24"/>
          <w:szCs w:val="24"/>
        </w:rPr>
        <w:t>Ab initio</w:t>
      </w:r>
      <w:r w:rsidRPr="001162EE">
        <w:rPr>
          <w:rFonts w:cstheme="minorHAnsi"/>
          <w:sz w:val="24"/>
          <w:szCs w:val="24"/>
        </w:rPr>
        <w:t>, cumpre destacar a competência regimental da Comissão de Justiça e Redação, estabelecida no artigo 38</w:t>
      </w:r>
      <w:r>
        <w:rPr>
          <w:rStyle w:val="FootnoteReference"/>
          <w:rFonts w:cstheme="minorHAnsi"/>
          <w:sz w:val="24"/>
          <w:szCs w:val="24"/>
        </w:rPr>
        <w:footnoteReference w:id="2"/>
      </w:r>
      <w:r w:rsidRPr="001162E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162EE" w:rsidRPr="001162EE" w:rsidP="001162EE" w14:paraId="2C825046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1162EE">
        <w:rPr>
          <w:rFonts w:cstheme="minorHAnsi"/>
          <w:sz w:val="24"/>
          <w:szCs w:val="24"/>
        </w:rPr>
        <w:t xml:space="preserve"> </w:t>
      </w:r>
      <w:r w:rsidRPr="001162EE">
        <w:rPr>
          <w:rFonts w:cstheme="minorHAnsi"/>
          <w:sz w:val="24"/>
          <w:szCs w:val="24"/>
        </w:rPr>
        <w:t>Outrossim</w:t>
      </w:r>
      <w:r w:rsidRPr="001162EE">
        <w:rPr>
          <w:rFonts w:cstheme="minorHAnsi"/>
          <w:sz w:val="24"/>
          <w:szCs w:val="24"/>
        </w:rPr>
        <w:t>, ressalta-se que a opinião jurídica exarada nesse parecer não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1162EE">
        <w:rPr>
          <w:rFonts w:cstheme="minorHAnsi"/>
          <w:sz w:val="24"/>
          <w:szCs w:val="24"/>
        </w:rPr>
        <w:t xml:space="preserve"> não fundamentando decisão proferida pelas Comissões e/ou nobres vereadores. </w:t>
      </w:r>
    </w:p>
    <w:p w:rsidR="00623AD7" w:rsidP="00AA19F5" w14:paraId="26AE4FB9" w14:textId="6B32FE14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7E1F99">
        <w:rPr>
          <w:rFonts w:ascii="Calibri" w:hAnsi="Calibri" w:cs="Calibri"/>
          <w:color w:val="auto"/>
        </w:rPr>
        <w:t>Considerando-se o</w:t>
      </w:r>
      <w:r w:rsidR="0095789B">
        <w:rPr>
          <w:rFonts w:ascii="Calibri" w:hAnsi="Calibri" w:cs="Calibri"/>
          <w:color w:val="auto"/>
        </w:rPr>
        <w:t>s</w:t>
      </w:r>
      <w:r w:rsidR="00A32BE6">
        <w:rPr>
          <w:rFonts w:ascii="Calibri" w:hAnsi="Calibri" w:cs="Calibri"/>
          <w:color w:val="auto"/>
        </w:rPr>
        <w:t xml:space="preserve"> aspecto</w:t>
      </w:r>
      <w:r w:rsidR="0095789B">
        <w:rPr>
          <w:rFonts w:ascii="Calibri" w:hAnsi="Calibri" w:cs="Calibri"/>
          <w:color w:val="auto"/>
        </w:rPr>
        <w:t>s</w:t>
      </w:r>
      <w:r w:rsidR="00A32BE6">
        <w:rPr>
          <w:rFonts w:ascii="Calibri" w:hAnsi="Calibri" w:cs="Calibri"/>
          <w:color w:val="auto"/>
        </w:rPr>
        <w:t xml:space="preserve"> </w:t>
      </w:r>
      <w:r w:rsidRPr="007E1F99">
        <w:rPr>
          <w:rFonts w:ascii="Calibri" w:hAnsi="Calibri" w:cs="Calibri"/>
          <w:color w:val="auto"/>
        </w:rPr>
        <w:t>jurídico</w:t>
      </w:r>
      <w:r w:rsidR="001F3D7E">
        <w:rPr>
          <w:rFonts w:ascii="Calibri" w:hAnsi="Calibri" w:cs="Calibri"/>
          <w:color w:val="auto"/>
        </w:rPr>
        <w:t>s</w:t>
      </w:r>
      <w:r w:rsidRPr="007E1F99">
        <w:rPr>
          <w:rFonts w:ascii="Calibri" w:hAnsi="Calibri" w:cs="Calibri"/>
          <w:color w:val="auto"/>
        </w:rPr>
        <w:t xml:space="preserve"> passa-se </w:t>
      </w:r>
      <w:r w:rsidRPr="007E1F99" w:rsidR="002D1F88">
        <w:rPr>
          <w:rFonts w:ascii="Calibri" w:hAnsi="Calibri" w:cs="Calibri"/>
          <w:color w:val="auto"/>
        </w:rPr>
        <w:t>a</w:t>
      </w:r>
      <w:r w:rsidRPr="007E1F99">
        <w:rPr>
          <w:rFonts w:ascii="Calibri" w:hAnsi="Calibri" w:cs="Calibri"/>
          <w:color w:val="auto"/>
        </w:rPr>
        <w:t xml:space="preserve"> </w:t>
      </w:r>
      <w:r w:rsidRPr="007E1F99">
        <w:rPr>
          <w:rFonts w:ascii="Calibri" w:hAnsi="Calibri" w:cs="Calibri"/>
          <w:b/>
          <w:color w:val="auto"/>
        </w:rPr>
        <w:t>análise técnica</w:t>
      </w:r>
      <w:r w:rsidRPr="007E1F99">
        <w:rPr>
          <w:rFonts w:ascii="Calibri" w:hAnsi="Calibri" w:cs="Calibri"/>
          <w:color w:val="auto"/>
        </w:rPr>
        <w:t xml:space="preserve"> do projeto. </w:t>
      </w:r>
    </w:p>
    <w:p w:rsidR="00081D0F" w:rsidRPr="00DF2C1A" w:rsidP="00081D0F" w14:paraId="439FD6A9" w14:textId="259DF4D9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>
        <w:rPr>
          <w:rFonts w:asciiTheme="minorHAnsi" w:hAnsiTheme="minorHAnsi" w:cstheme="minorHAnsi"/>
          <w:b/>
          <w:color w:val="auto"/>
        </w:rPr>
        <w:t>competência municipal,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Federal os Municípios foram dotados de autonomia legislativa, que vem consubstanciada na capacidade de legislar sobre assuntos de inter</w:t>
      </w:r>
      <w:r>
        <w:rPr>
          <w:rFonts w:asciiTheme="minorHAnsi" w:hAnsiTheme="minorHAnsi" w:cstheme="minorHAnsi"/>
          <w:color w:val="auto"/>
        </w:rPr>
        <w:t xml:space="preserve">esse local </w:t>
      </w:r>
      <w:r w:rsidRPr="00DF2C1A">
        <w:rPr>
          <w:rFonts w:asciiTheme="minorHAnsi" w:hAnsiTheme="minorHAnsi" w:cstheme="minorHAnsi"/>
          <w:color w:val="auto"/>
        </w:rPr>
        <w:t>(art. 30, I</w:t>
      </w:r>
      <w:r w:rsidR="00EA45A1">
        <w:rPr>
          <w:rFonts w:asciiTheme="minorHAnsi" w:hAnsiTheme="minorHAnsi" w:cstheme="minorHAnsi"/>
          <w:color w:val="auto"/>
        </w:rPr>
        <w:t>, da CRFB).</w:t>
      </w:r>
    </w:p>
    <w:p w:rsidR="00081D0F" w:rsidRPr="00DF2C1A" w:rsidP="00081D0F" w14:paraId="65328766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081D0F" w:rsidRPr="00DF2C1A" w:rsidP="00081D0F" w14:paraId="5E81426D" w14:textId="77777777">
      <w:pPr>
        <w:spacing w:after="0" w:line="24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081D0F" w:rsidRPr="00DF2C1A" w:rsidP="00081D0F" w14:paraId="1FDE26D1" w14:textId="77777777">
      <w:pPr>
        <w:spacing w:after="0" w:line="24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081D0F" w:rsidRPr="00DF2C1A" w:rsidP="00081D0F" w14:paraId="2883E3E3" w14:textId="77777777">
      <w:pPr>
        <w:spacing w:after="0" w:line="240" w:lineRule="auto"/>
        <w:ind w:left="2268"/>
        <w:jc w:val="both"/>
        <w:rPr>
          <w:rFonts w:cstheme="minorHAnsi"/>
          <w:i/>
        </w:rPr>
      </w:pPr>
    </w:p>
    <w:p w:rsidR="00081D0F" w:rsidRPr="00DF2C1A" w:rsidP="00081D0F" w14:paraId="66CA4BA3" w14:textId="1ADD4942">
      <w:pPr>
        <w:spacing w:after="0" w:line="24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8º Cabe à Câmara, com a sanção do Prefeito, observadas as determinações e a hierarquia constitucional, suplementar a legislação Federal e Estadual e fiscalizar, mediante controle externo, a administração direta ou indireta, as fundações e as empresas em que </w:t>
      </w:r>
      <w:r w:rsidRPr="00DF2C1A">
        <w:rPr>
          <w:rFonts w:cstheme="minorHAnsi"/>
          <w:i/>
        </w:rPr>
        <w:t>o Município detenha a maioria do capital social com direito a voto, especialmente:</w:t>
      </w:r>
    </w:p>
    <w:p w:rsidR="00081D0F" w:rsidRPr="00DF2C1A" w:rsidP="00081D0F" w14:paraId="79C493B0" w14:textId="77777777">
      <w:pPr>
        <w:spacing w:after="0" w:line="240" w:lineRule="auto"/>
        <w:ind w:left="2268"/>
        <w:jc w:val="both"/>
        <w:rPr>
          <w:rFonts w:cstheme="minorHAnsi"/>
          <w:i/>
        </w:rPr>
      </w:pPr>
    </w:p>
    <w:p w:rsidR="00081D0F" w:rsidP="00081D0F" w14:paraId="0562C139" w14:textId="3CADA54D">
      <w:pPr>
        <w:spacing w:after="0" w:line="24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="00382858">
        <w:rPr>
          <w:rFonts w:cstheme="minorHAnsi"/>
          <w:i/>
        </w:rPr>
        <w:t xml:space="preserve"> </w:t>
      </w:r>
    </w:p>
    <w:p w:rsidR="00081D0F" w:rsidRPr="00DF2C1A" w:rsidP="00081D0F" w14:paraId="389B6BF8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081D0F" w:rsidRPr="00DF2C1A" w:rsidP="00081D0F" w14:paraId="3D89CEC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Acerca do conceito de interesse local o saudoso professor Hely Lopes Meirelles leciona:</w:t>
      </w:r>
    </w:p>
    <w:p w:rsidR="00081D0F" w:rsidRPr="00DF2C1A" w:rsidP="00081D0F" w14:paraId="0EF5E8F1" w14:textId="645844E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  <w:r w:rsidR="00A22A2E">
        <w:rPr>
          <w:rFonts w:eastAsia="Calibri" w:cstheme="minorHAnsi"/>
          <w:b/>
          <w:i/>
          <w:color w:val="000000"/>
        </w:rPr>
        <w:t xml:space="preserve"> </w:t>
      </w: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A22A2E" w:rsidRPr="00A22A2E" w:rsidP="0063556F" w14:paraId="0124133D" w14:textId="77777777">
      <w:pPr>
        <w:spacing w:after="240" w:line="360" w:lineRule="auto"/>
        <w:ind w:firstLine="1134"/>
        <w:jc w:val="both"/>
        <w:rPr>
          <w:rFonts w:ascii="Calibri" w:hAnsi="Calibri" w:cs="Calibri"/>
          <w:sz w:val="4"/>
          <w:szCs w:val="4"/>
        </w:rPr>
      </w:pPr>
    </w:p>
    <w:p w:rsidR="0063556F" w:rsidRPr="00A22A2E" w:rsidP="0063556F" w14:paraId="52A7C6F1" w14:textId="60CFC0F8">
      <w:pPr>
        <w:spacing w:after="24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</w:t>
      </w:r>
      <w:r w:rsidRPr="00A22A2E">
        <w:rPr>
          <w:rFonts w:ascii="Calibri" w:hAnsi="Calibri" w:cs="Calibri"/>
          <w:sz w:val="24"/>
          <w:szCs w:val="24"/>
        </w:rPr>
        <w:t xml:space="preserve"> que tange à competência para deflagrar projeto de lei, o artigo 61, § 1º, da CF estabelece as hipóteses de iniciativa privativa:</w:t>
      </w:r>
    </w:p>
    <w:p w:rsidR="0063556F" w:rsidRPr="008A51F4" w:rsidP="0063556F" w14:paraId="0987E3E5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Constituição.</w:t>
      </w:r>
    </w:p>
    <w:p w:rsidR="0063556F" w:rsidRPr="008A51F4" w:rsidP="0063556F" w14:paraId="3D3E8D0D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§ 1º São de iniciativa privativa do Presidente da República as leis que:</w:t>
      </w:r>
    </w:p>
    <w:p w:rsidR="0063556F" w:rsidRPr="008A51F4" w:rsidP="0063556F" w14:paraId="23B602CB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I - fixem ou modifiquem os efetivos das Forças Armadas;</w:t>
      </w:r>
    </w:p>
    <w:p w:rsidR="0063556F" w:rsidRPr="008A51F4" w:rsidP="0063556F" w14:paraId="1895DBC6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II - disponham sobre:</w:t>
      </w:r>
    </w:p>
    <w:p w:rsidR="0063556F" w:rsidRPr="008A51F4" w:rsidP="0063556F" w14:paraId="481CECFB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a) criação de cargos, funções ou empregos públicos na administração direta e autárquica ou aumento de sua remuneração;</w:t>
      </w:r>
    </w:p>
    <w:p w:rsidR="0063556F" w:rsidRPr="008A51F4" w:rsidP="0063556F" w14:paraId="18BC3FEA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 xml:space="preserve">b) organização administrativa e judiciária, matéria tributária e orçamentária, serviços </w:t>
      </w:r>
      <w:r w:rsidRPr="008A51F4">
        <w:rPr>
          <w:rFonts w:ascii="Calibri" w:hAnsi="Calibri" w:cs="Calibri"/>
          <w:i/>
          <w:sz w:val="22"/>
          <w:szCs w:val="22"/>
        </w:rPr>
        <w:t>públicos e pessoal da administração dos Territórios</w:t>
      </w:r>
      <w:r w:rsidRPr="008A51F4">
        <w:rPr>
          <w:rFonts w:ascii="Calibri" w:hAnsi="Calibri" w:cs="Calibri"/>
          <w:i/>
          <w:sz w:val="22"/>
          <w:szCs w:val="22"/>
        </w:rPr>
        <w:t>;</w:t>
      </w:r>
    </w:p>
    <w:p w:rsidR="0063556F" w:rsidRPr="008A51F4" w:rsidP="0063556F" w14:paraId="08ECA89C" w14:textId="77777777">
      <w:pPr>
        <w:pStyle w:val="NormalWeb"/>
        <w:spacing w:before="0" w:beforeAutospacing="0" w:after="0" w:afterAutospacing="0"/>
        <w:ind w:left="2268"/>
        <w:jc w:val="both"/>
        <w:rPr>
          <w:rStyle w:val="apple-converted-space"/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c) servidores públicos da União e Territórios, seu regime jurídico, provimento de cargos, estabilidade e aposentadoria;</w:t>
      </w:r>
      <w:r w:rsidRPr="008A51F4">
        <w:rPr>
          <w:rStyle w:val="apple-converted-space"/>
          <w:rFonts w:ascii="Calibri" w:hAnsi="Calibri" w:cs="Calibri"/>
          <w:i/>
          <w:sz w:val="22"/>
          <w:szCs w:val="22"/>
        </w:rPr>
        <w:t> </w:t>
      </w:r>
    </w:p>
    <w:p w:rsidR="0063556F" w:rsidRPr="008A51F4" w:rsidP="0063556F" w14:paraId="7A0D2FC7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 xml:space="preserve"> d) organização do Ministério Público e da Defensoria Pública da União, bem como normas gerais para a organização do Ministério Público e da Defensoria Pública dos Estados, do Distrito Federal e dos Territórios;</w:t>
      </w:r>
    </w:p>
    <w:p w:rsidR="0063556F" w:rsidRPr="008A51F4" w:rsidP="0063556F" w14:paraId="66EECD97" w14:textId="77777777">
      <w:pPr>
        <w:pStyle w:val="NormalWeb"/>
        <w:spacing w:before="0" w:beforeAutospacing="0" w:after="0" w:afterAutospacing="0"/>
        <w:ind w:left="2268"/>
        <w:jc w:val="both"/>
        <w:rPr>
          <w:rStyle w:val="apple-converted-space"/>
          <w:rFonts w:ascii="Calibri" w:hAnsi="Calibri" w:cs="Calibri"/>
          <w:i/>
          <w:iCs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e) criação e extinção de Ministérios e órgãos da administração pública, observado</w:t>
      </w:r>
      <w:r w:rsidRPr="008A51F4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 w:rsidRPr="008A51F4">
        <w:rPr>
          <w:rFonts w:ascii="Calibri" w:hAnsi="Calibri" w:cs="Calibri"/>
          <w:i/>
          <w:sz w:val="22"/>
          <w:szCs w:val="22"/>
        </w:rPr>
        <w:t xml:space="preserve">o disposto no art. 84, </w:t>
      </w:r>
      <w:r w:rsidRPr="008A51F4">
        <w:rPr>
          <w:rFonts w:ascii="Calibri" w:hAnsi="Calibri" w:cs="Calibri"/>
          <w:i/>
          <w:sz w:val="22"/>
          <w:szCs w:val="22"/>
        </w:rPr>
        <w:t>VI</w:t>
      </w:r>
      <w:r w:rsidRPr="008A51F4">
        <w:rPr>
          <w:rFonts w:ascii="Calibri" w:hAnsi="Calibri" w:cs="Calibri"/>
          <w:i/>
          <w:iCs/>
          <w:sz w:val="22"/>
          <w:szCs w:val="22"/>
        </w:rPr>
        <w:t>; </w:t>
      </w:r>
      <w:r w:rsidRPr="008A51F4"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</w:p>
    <w:p w:rsidR="0063556F" w:rsidRPr="008A51F4" w:rsidP="0063556F" w14:paraId="72521410" w14:textId="7777777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 xml:space="preserve"> f) militares das Forças Armadas, seu regime jurídico, provimento de cargos, promoções, estabilidade, remuneração, reforma e transferência para a reserva.</w:t>
      </w:r>
      <w:r w:rsidRPr="008A51F4">
        <w:rPr>
          <w:rStyle w:val="apple-converted-space"/>
          <w:rFonts w:ascii="Calibri" w:hAnsi="Calibri" w:cs="Calibri"/>
          <w:i/>
          <w:sz w:val="22"/>
          <w:szCs w:val="22"/>
        </w:rPr>
        <w:t> </w:t>
      </w:r>
      <w:r w:rsidRPr="008A51F4">
        <w:rPr>
          <w:rFonts w:ascii="Calibri" w:hAnsi="Calibri" w:cs="Calibri"/>
          <w:i/>
          <w:sz w:val="22"/>
          <w:szCs w:val="22"/>
        </w:rPr>
        <w:t xml:space="preserve"> </w:t>
      </w:r>
    </w:p>
    <w:p w:rsidR="0063556F" w:rsidRPr="00382858" w:rsidP="0063556F" w14:paraId="51D88D77" w14:textId="77777777">
      <w:pPr>
        <w:pStyle w:val="NormalWeb"/>
        <w:spacing w:before="120" w:beforeAutospacing="0" w:after="0" w:afterAutospacing="0" w:line="276" w:lineRule="auto"/>
        <w:ind w:left="2835"/>
        <w:jc w:val="both"/>
        <w:rPr>
          <w:rFonts w:ascii="Calibri" w:hAnsi="Calibri" w:cs="Calibri"/>
          <w:i/>
        </w:rPr>
      </w:pPr>
    </w:p>
    <w:p w:rsidR="0063556F" w:rsidRPr="00382858" w:rsidP="0063556F" w14:paraId="7BB7FE8B" w14:textId="77777777">
      <w:pPr>
        <w:spacing w:after="24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82858">
        <w:rPr>
          <w:rFonts w:ascii="Calibri" w:hAnsi="Calibri" w:cs="Calibri"/>
          <w:sz w:val="24"/>
          <w:szCs w:val="24"/>
        </w:rPr>
        <w:t>Por seu turno e em atenção ao princípio da simetria, a Constituição do Estado de São Paulo no artigo 24, § 2º dispõe:</w:t>
      </w:r>
    </w:p>
    <w:p w:rsidR="0063556F" w:rsidRPr="008A51F4" w:rsidP="0063556F" w14:paraId="5CAD2569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8A51F4">
        <w:rPr>
          <w:rFonts w:ascii="Calibri" w:hAnsi="Calibri" w:cs="Calibri"/>
          <w:i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63556F" w:rsidRPr="008A51F4" w:rsidP="0063556F" w14:paraId="7981245A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8A51F4">
        <w:rPr>
          <w:rFonts w:ascii="Calibri" w:hAnsi="Calibri" w:cs="Calibri"/>
          <w:i/>
        </w:rPr>
        <w:t>[...]</w:t>
      </w:r>
    </w:p>
    <w:p w:rsidR="0063556F" w:rsidRPr="008A51F4" w:rsidP="0063556F" w14:paraId="6A5C9085" w14:textId="77777777">
      <w:pPr>
        <w:pStyle w:val="paragrafo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63556F" w:rsidRPr="008A51F4" w:rsidP="0063556F" w14:paraId="7C213A05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1"/>
      <w:bookmarkEnd w:id="1"/>
      <w:r w:rsidRPr="008A51F4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63556F" w:rsidRPr="008A51F4" w:rsidP="0063556F" w14:paraId="21BBCDC0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2"/>
      <w:bookmarkEnd w:id="2"/>
      <w:r w:rsidRPr="008A51F4">
        <w:rPr>
          <w:rFonts w:ascii="Calibri" w:hAnsi="Calibri" w:cs="Calibri"/>
          <w:i/>
          <w:sz w:val="22"/>
          <w:szCs w:val="22"/>
        </w:rPr>
        <w:t>2 - criação e extinção das Secretarias de Estado e órgãos da administração pública, observado o disposto no art. 47, XIX; (NR)- Redação dada pela Emenda Constitucional nº 21, de 14/2/2006.</w:t>
      </w:r>
    </w:p>
    <w:p w:rsidR="0063556F" w:rsidRPr="008A51F4" w:rsidP="0063556F" w14:paraId="3CD10303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3"/>
      <w:bookmarkEnd w:id="3"/>
      <w:r w:rsidRPr="008A51F4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63556F" w:rsidRPr="008A51F4" w:rsidP="0063556F" w14:paraId="396D4FC6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4" w:name="CESP_ART_024_2_4"/>
      <w:bookmarkEnd w:id="4"/>
      <w:r w:rsidRPr="008A51F4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63556F" w:rsidRPr="008A51F4" w:rsidP="0063556F" w14:paraId="319A35EC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63556F" w:rsidRPr="008A51F4" w:rsidP="0063556F" w14:paraId="04137428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8A51F4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63556F" w:rsidRPr="00156B95" w:rsidP="0063556F" w14:paraId="795BD8B4" w14:textId="77777777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63556F" w:rsidRPr="00382858" w:rsidP="0063556F" w14:paraId="539557BE" w14:textId="77777777">
      <w:pPr>
        <w:spacing w:after="240"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82858">
        <w:rPr>
          <w:rFonts w:ascii="Calibri" w:hAnsi="Calibri" w:cs="Calibri"/>
          <w:sz w:val="24"/>
          <w:szCs w:val="24"/>
        </w:rPr>
        <w:t>Do mesmo modo, a Lei Orgânica do Município de Valinhos no artigo 48 estabelece as matérias de deflagração exclusiva pelo Prefeito Municipal:</w:t>
      </w:r>
    </w:p>
    <w:p w:rsidR="0063556F" w:rsidRPr="009E17D5" w:rsidP="00A22A2E" w14:paraId="2353F2A9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9E17D5">
        <w:rPr>
          <w:rFonts w:ascii="Calibri" w:hAnsi="Calibri" w:cs="Calibri"/>
          <w:i/>
        </w:rPr>
        <w:t xml:space="preserve">Art. 48. Compete, exclusivamente, ao Prefeito a iniciativa dos projetos de lei que disponham sobre: </w:t>
      </w:r>
    </w:p>
    <w:p w:rsidR="0063556F" w:rsidRPr="009E17D5" w:rsidP="00A22A2E" w14:paraId="669100AE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9E17D5">
        <w:rPr>
          <w:rFonts w:ascii="Calibri" w:hAnsi="Calibri" w:cs="Calibri"/>
          <w:i/>
        </w:rPr>
        <w:t>I - criação e extinção de cargos, funções ou empregos públicos na administração direta e autárquica, bem como a fixação da respectiva remuneração;</w:t>
      </w:r>
    </w:p>
    <w:p w:rsidR="0063556F" w:rsidRPr="009E17D5" w:rsidP="00A22A2E" w14:paraId="63D3F165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9E17D5">
        <w:rPr>
          <w:rFonts w:ascii="Calibri" w:hAnsi="Calibri" w:cs="Calibri"/>
          <w:i/>
        </w:rPr>
        <w:t xml:space="preserve"> II - criação, estruturação e atribuições das Secretarias Municipais e órgãos da administração pública; </w:t>
      </w:r>
    </w:p>
    <w:p w:rsidR="0063556F" w:rsidRPr="009E17D5" w:rsidP="00A22A2E" w14:paraId="54E095E5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9E17D5">
        <w:rPr>
          <w:rFonts w:ascii="Calibri" w:hAnsi="Calibri" w:cs="Calibri"/>
          <w:i/>
        </w:rPr>
        <w:t xml:space="preserve">III - servidores públicos do Município, seu regime jurídico, provimento de cargos, estabilidade e aposentadoria; </w:t>
      </w:r>
    </w:p>
    <w:p w:rsidR="0063556F" w:rsidRPr="009E17D5" w:rsidP="00A22A2E" w14:paraId="46E342BD" w14:textId="77777777">
      <w:pPr>
        <w:spacing w:after="0" w:line="240" w:lineRule="auto"/>
        <w:ind w:left="2268"/>
        <w:jc w:val="both"/>
        <w:rPr>
          <w:rFonts w:ascii="Calibri" w:hAnsi="Calibri" w:cs="Calibri"/>
          <w:i/>
        </w:rPr>
      </w:pPr>
      <w:r w:rsidRPr="009E17D5">
        <w:rPr>
          <w:rFonts w:ascii="Calibri" w:hAnsi="Calibri" w:cs="Calibri"/>
          <w:i/>
        </w:rPr>
        <w:t>IV - abertura de créditos adicionais.</w:t>
      </w:r>
    </w:p>
    <w:p w:rsidR="0063556F" w:rsidRPr="0063556F" w:rsidP="0063556F" w14:paraId="07E6E1E1" w14:textId="77777777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color w:val="auto"/>
          <w:sz w:val="4"/>
          <w:szCs w:val="4"/>
        </w:rPr>
      </w:pPr>
    </w:p>
    <w:p w:rsidR="0063556F" w:rsidRPr="002C4FB2" w:rsidP="0063556F" w14:paraId="4549DCB6" w14:textId="77777777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color w:val="auto"/>
          <w:u w:val="single"/>
        </w:rPr>
      </w:pPr>
      <w:r w:rsidRPr="002C4FB2">
        <w:rPr>
          <w:rFonts w:ascii="Calibri" w:hAnsi="Calibri" w:cs="Calibri"/>
          <w:color w:val="auto"/>
        </w:rPr>
        <w:t>A propósito, no concernente aos limites da competência legislativa municipal dos membros do Poder Legislativo destacamos</w:t>
      </w:r>
      <w:r w:rsidRPr="002C4FB2">
        <w:rPr>
          <w:rFonts w:ascii="Calibri" w:hAnsi="Calibri" w:cs="Calibri"/>
          <w:b/>
          <w:color w:val="auto"/>
        </w:rPr>
        <w:t xml:space="preserve"> </w:t>
      </w:r>
      <w:r w:rsidRPr="002C4FB2">
        <w:rPr>
          <w:rFonts w:ascii="Calibri" w:hAnsi="Calibri" w:cs="Calibri"/>
          <w:color w:val="auto"/>
        </w:rPr>
        <w:t>decisão do Colendo Supremo Tribunal Federal que fo</w:t>
      </w:r>
      <w:r>
        <w:rPr>
          <w:rFonts w:ascii="Calibri" w:hAnsi="Calibri" w:cs="Calibri"/>
          <w:color w:val="auto"/>
        </w:rPr>
        <w:t>rneceu paradigma nesse sentido. T</w:t>
      </w:r>
      <w:r w:rsidRPr="002C4FB2">
        <w:rPr>
          <w:rFonts w:ascii="Calibri" w:hAnsi="Calibri" w:cs="Calibri"/>
          <w:color w:val="auto"/>
        </w:rPr>
        <w:t xml:space="preserve">rata-se do </w:t>
      </w:r>
      <w:r w:rsidRPr="002C4FB2">
        <w:rPr>
          <w:rFonts w:ascii="Calibri" w:hAnsi="Calibri" w:cs="Calibri"/>
          <w:b/>
          <w:color w:val="auto"/>
        </w:rPr>
        <w:t xml:space="preserve">Tema nº 917 de </w:t>
      </w:r>
      <w:r>
        <w:rPr>
          <w:rFonts w:ascii="Calibri" w:hAnsi="Calibri" w:cs="Calibri"/>
          <w:b/>
          <w:color w:val="auto"/>
        </w:rPr>
        <w:t>repercussão geral (</w:t>
      </w:r>
      <w:r w:rsidRPr="002C4FB2">
        <w:rPr>
          <w:rFonts w:ascii="Calibri" w:hAnsi="Calibri" w:cs="Calibri"/>
          <w:b/>
          <w:color w:val="auto"/>
        </w:rPr>
        <w:t>ARE 878911)</w:t>
      </w:r>
      <w:r w:rsidRPr="002C4FB2">
        <w:rPr>
          <w:rFonts w:ascii="Calibri" w:hAnsi="Calibri" w:cs="Calibri"/>
          <w:color w:val="auto"/>
        </w:rPr>
        <w:t xml:space="preserve"> que recebeu a seguinte redação:</w:t>
      </w:r>
    </w:p>
    <w:p w:rsidR="0063556F" w:rsidRPr="008F5CD7" w:rsidP="00A22A2E" w14:paraId="3DA51E9D" w14:textId="77777777">
      <w:pPr>
        <w:pStyle w:val="Default"/>
        <w:tabs>
          <w:tab w:val="left" w:pos="1701"/>
        </w:tabs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>
        <w:rPr>
          <w:rFonts w:asciiTheme="minorHAnsi" w:hAnsiTheme="minorHAnsi" w:cs="Calibri"/>
          <w:color w:val="FF0000"/>
        </w:rPr>
        <w:t xml:space="preserve"> 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63556F" w:rsidRPr="00A22A2E" w:rsidP="00A22A2E" w14:paraId="0294477A" w14:textId="7777777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F5CD7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8F5CD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8F5CD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  <w:r w:rsidRPr="00A22A2E">
        <w:rPr>
          <w:rFonts w:asciiTheme="minorHAnsi" w:hAnsiTheme="minorHAnsi" w:cstheme="minorHAnsi"/>
          <w:i/>
          <w:color w:val="auto"/>
          <w:sz w:val="20"/>
          <w:szCs w:val="20"/>
        </w:rPr>
        <w:t xml:space="preserve">(ARE 878911 RG, </w:t>
      </w:r>
      <w:r w:rsidRPr="00A22A2E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A22A2E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63556F" w:rsidRPr="0063556F" w:rsidP="0063556F" w14:paraId="0D86D004" w14:textId="77777777">
      <w:pPr>
        <w:spacing w:before="240" w:after="240" w:line="360" w:lineRule="auto"/>
        <w:ind w:firstLine="1701"/>
        <w:jc w:val="both"/>
        <w:rPr>
          <w:rFonts w:eastAsia="Calibri" w:cstheme="minorHAnsi"/>
          <w:sz w:val="24"/>
          <w:szCs w:val="24"/>
        </w:rPr>
      </w:pPr>
      <w:r w:rsidRPr="0063556F">
        <w:rPr>
          <w:rFonts w:eastAsia="Calibri" w:cstheme="minorHAnsi"/>
          <w:sz w:val="24"/>
          <w:szCs w:val="24"/>
        </w:rPr>
        <w:t xml:space="preserve">Consoante entendimento da C. Suprema Corte (tema de repercussão geral nº 917) extrai-se que a iniciativa dos vereadores encontra limites naqueles assuntos afetos diretamente ao Chefe do Poder Executivo, notadamente, a estruturação da Administração Pública, a atribuição de seus órgãos e o regime jurídico dos servidores públicos. </w:t>
      </w:r>
    </w:p>
    <w:p w:rsidR="00BA1092" w:rsidRPr="004B1980" w:rsidP="001900C3" w14:paraId="57D1853E" w14:textId="6DA66C74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In casu</w:t>
      </w:r>
      <w:r>
        <w:rPr>
          <w:rFonts w:asciiTheme="minorHAnsi" w:hAnsiTheme="minorHAnsi" w:cstheme="minorHAnsi"/>
          <w:szCs w:val="24"/>
        </w:rPr>
        <w:t xml:space="preserve">, </w:t>
      </w:r>
      <w:r w:rsidR="00A22A2E">
        <w:rPr>
          <w:rFonts w:asciiTheme="minorHAnsi" w:hAnsiTheme="minorHAnsi" w:cstheme="minorHAnsi"/>
          <w:szCs w:val="24"/>
        </w:rPr>
        <w:t>infere tratar-se de matéria reservada ao Executivo atinente à destinação de verba pública à entidade particular. Nesse sentido, colacionamos</w:t>
      </w:r>
      <w:r>
        <w:rPr>
          <w:rFonts w:asciiTheme="minorHAnsi" w:hAnsiTheme="minorHAnsi" w:cstheme="minorHAnsi"/>
          <w:szCs w:val="24"/>
        </w:rPr>
        <w:t xml:space="preserve"> entendimento do Tribunal de Justiça de São Paulo</w:t>
      </w:r>
      <w:r w:rsidR="00A22A2E">
        <w:rPr>
          <w:rFonts w:asciiTheme="minorHAnsi" w:hAnsiTheme="minorHAnsi" w:cstheme="minorHAnsi"/>
          <w:szCs w:val="24"/>
        </w:rPr>
        <w:t>:</w:t>
      </w:r>
    </w:p>
    <w:p w:rsidR="00A22A2E" w:rsidP="00A22A2E" w14:paraId="29579D52" w14:textId="77777777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2E">
        <w:rPr>
          <w:rFonts w:asciiTheme="minorHAnsi" w:hAnsiTheme="minorHAnsi" w:cstheme="minorHAnsi"/>
          <w:i/>
          <w:sz w:val="22"/>
          <w:szCs w:val="22"/>
        </w:rPr>
        <w:t xml:space="preserve">Ação Direta de Inconstitucionalidade - Art. 5º da Lei nº 14.637/2021 do Município de Ribeirão Preto, </w:t>
      </w:r>
      <w:r w:rsidRPr="00A22A2E">
        <w:rPr>
          <w:rFonts w:asciiTheme="minorHAnsi" w:hAnsiTheme="minorHAnsi" w:cstheme="minorHAnsi"/>
          <w:b/>
          <w:i/>
          <w:sz w:val="22"/>
          <w:szCs w:val="22"/>
        </w:rPr>
        <w:t>de iniciativa parlamentar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, o qual dispõe que os auxílios, contribuições ou </w:t>
      </w:r>
      <w:r w:rsidRPr="00A22A2E">
        <w:rPr>
          <w:rFonts w:asciiTheme="minorHAnsi" w:hAnsiTheme="minorHAnsi" w:cstheme="minorHAnsi"/>
          <w:b/>
          <w:i/>
          <w:sz w:val="22"/>
          <w:szCs w:val="22"/>
        </w:rPr>
        <w:t>subvenções sociais de que trata a Lei Federal nº 4.320/1964 somente poderão ser destinados às entidades intituladas como de utilidade pública municipal, na forma do art. 1º do mesmo diploma local –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22A2E">
        <w:rPr>
          <w:rFonts w:asciiTheme="minorHAnsi" w:hAnsiTheme="minorHAnsi" w:cstheme="minorHAnsi"/>
          <w:b/>
          <w:i/>
          <w:sz w:val="22"/>
          <w:szCs w:val="22"/>
          <w:u w:val="single"/>
        </w:rPr>
        <w:t>Afronta à competência normativa privativa do Chefe do Executivo, nos termos dos arts. 5º, 47, II, XIV e 144 da CE, na medida em que o artigo impugnado restringe o manejo de verbas públicas com destino a particulares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 – Afronta, ademais, aos artigos arts. 22, XXVII, e 24, I, da CF, porquanto a norma local impõe restrição que extrapola as leis editadas pela União Federal no âmbito de sua competência legislativa exclusiva acerca de normais gerais de licitação e contratação e concorrente a respeito de direito financeiro – Precedentes deste C. Órgão Especial em casos similares que corroboram a inconstitucionalidade da norma ribeirão-pretana – Pedido do alcaide julgado procedente, </w:t>
      </w:r>
      <w:r w:rsidRPr="00A22A2E">
        <w:rPr>
          <w:rFonts w:asciiTheme="minorHAnsi" w:hAnsiTheme="minorHAnsi" w:cstheme="minorHAnsi"/>
          <w:i/>
          <w:sz w:val="22"/>
          <w:szCs w:val="22"/>
        </w:rPr>
        <w:t>com efeito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 "</w:t>
      </w:r>
      <w:r w:rsidRPr="00A22A2E">
        <w:rPr>
          <w:rFonts w:asciiTheme="minorHAnsi" w:hAnsiTheme="minorHAnsi" w:cstheme="minorHAnsi"/>
          <w:i/>
          <w:sz w:val="22"/>
          <w:szCs w:val="22"/>
        </w:rPr>
        <w:t>ex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22A2E">
        <w:rPr>
          <w:rFonts w:asciiTheme="minorHAnsi" w:hAnsiTheme="minorHAnsi" w:cstheme="minorHAnsi"/>
          <w:i/>
          <w:sz w:val="22"/>
          <w:szCs w:val="22"/>
        </w:rPr>
        <w:t>tunc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".  </w:t>
      </w:r>
    </w:p>
    <w:p w:rsidR="00A22A2E" w:rsidRPr="00A22A2E" w:rsidP="00A22A2E" w14:paraId="0CBCCB37" w14:textId="213B1900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 w:cstheme="minorHAnsi"/>
          <w:i/>
          <w:sz w:val="20"/>
        </w:rPr>
      </w:pPr>
      <w:r w:rsidRPr="00A22A2E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A22A2E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A22A2E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Direta de Inconstitucionalidade 2063420-76.2022.8.26.0000; Relator (a): Luciana </w:t>
      </w:r>
      <w:r w:rsidRPr="00A22A2E">
        <w:rPr>
          <w:rFonts w:asciiTheme="minorHAnsi" w:hAnsiTheme="minorHAnsi"/>
          <w:i/>
          <w:color w:val="000000"/>
          <w:sz w:val="20"/>
          <w:shd w:val="clear" w:color="auto" w:fill="FFFFFF"/>
        </w:rPr>
        <w:t>Bresciani</w:t>
      </w:r>
      <w:r w:rsidRPr="00A22A2E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24/08/2022; Data de Registro: 29/08/2022)</w:t>
      </w:r>
    </w:p>
    <w:p w:rsidR="00A22A2E" w:rsidRPr="00A22A2E" w:rsidP="00A22A2E" w14:paraId="234345DF" w14:textId="77777777">
      <w:pPr>
        <w:pStyle w:val="BodyText"/>
        <w:pBdr>
          <w:bottom w:val="single" w:sz="12" w:space="1" w:color="auto"/>
        </w:pBdr>
        <w:spacing w:after="240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A22A2E" w:rsidP="00A22A2E" w14:paraId="733AD00A" w14:textId="77777777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A2E">
        <w:rPr>
          <w:rFonts w:asciiTheme="minorHAnsi" w:hAnsiTheme="minorHAnsi" w:cstheme="minorHAnsi"/>
          <w:i/>
          <w:sz w:val="22"/>
          <w:szCs w:val="22"/>
        </w:rPr>
        <w:t xml:space="preserve">AÇÃO DIRETA DE INCONSTITUCIONALIDADE </w:t>
      </w:r>
      <w:r w:rsidRPr="0038285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Lei nº 9.989, de 25 de setembro de 2017, destinando 30% dos recursos do Fundo Municipal de Trânsito à Unidade de Urgência e Emergência da Secretaria de Saúde do Município de Santo André. 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Vício de iniciativa. Inocorrência. Iniciativa legislativa comum. Recente orientação do </w:t>
      </w:r>
      <w:r w:rsidRPr="00A22A2E">
        <w:rPr>
          <w:rFonts w:asciiTheme="minorHAnsi" w:hAnsiTheme="minorHAnsi" w:cstheme="minorHAnsi"/>
          <w:i/>
          <w:sz w:val="22"/>
          <w:szCs w:val="22"/>
        </w:rPr>
        <w:t>Eg</w:t>
      </w:r>
      <w:r w:rsidRPr="00A22A2E">
        <w:rPr>
          <w:rFonts w:asciiTheme="minorHAnsi" w:hAnsiTheme="minorHAnsi" w:cstheme="minorHAnsi"/>
          <w:i/>
          <w:sz w:val="22"/>
          <w:szCs w:val="22"/>
        </w:rPr>
        <w:t xml:space="preserve">. Supremo Tribunal Federal. Organização administrativa. Cabe ao Executivo a gestão administrativa. </w:t>
      </w:r>
      <w:r w:rsidRPr="00382858">
        <w:rPr>
          <w:rFonts w:asciiTheme="minorHAnsi" w:hAnsiTheme="minorHAnsi" w:cstheme="minorHAnsi"/>
          <w:b/>
          <w:i/>
          <w:sz w:val="22"/>
          <w:szCs w:val="22"/>
        </w:rPr>
        <w:t xml:space="preserve">Desrespeito ao princípio constitucional da 'reserva de administração' e separação dos poderes. Afronta a preceitos constitucionais (arts. 5º; 47, inciso XIV e 144 da Constituição Estadual). </w:t>
      </w:r>
      <w:r w:rsidRPr="00A22A2E">
        <w:rPr>
          <w:rFonts w:asciiTheme="minorHAnsi" w:hAnsiTheme="minorHAnsi" w:cstheme="minorHAnsi"/>
          <w:i/>
          <w:sz w:val="22"/>
          <w:szCs w:val="22"/>
        </w:rPr>
        <w:t>Inconstitucionalidade do parágrafo único do art. 33 da Lei Municipal nº 9.121, de 31.03.09 acrescido pela Lei nº 9.989, de 25.09.17. Ação procedente.</w:t>
      </w:r>
    </w:p>
    <w:p w:rsidR="00A22A2E" w:rsidRPr="00A22A2E" w:rsidP="00A22A2E" w14:paraId="056E4699" w14:textId="324C14EE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0"/>
        </w:rPr>
      </w:pPr>
      <w:r w:rsidRPr="00A22A2E">
        <w:rPr>
          <w:rFonts w:asciiTheme="minorHAnsi" w:hAnsiTheme="minorHAnsi" w:cstheme="minorHAnsi"/>
          <w:i/>
          <w:sz w:val="22"/>
          <w:szCs w:val="22"/>
        </w:rPr>
        <w:t> </w:t>
      </w:r>
      <w:r w:rsidRPr="00A22A2E">
        <w:rPr>
          <w:rFonts w:asciiTheme="minorHAnsi" w:hAnsiTheme="minorHAnsi" w:cstheme="minorHAnsi"/>
          <w:i/>
          <w:sz w:val="20"/>
        </w:rPr>
        <w:t>(TJSP;</w:t>
      </w:r>
      <w:r w:rsidRPr="00A22A2E">
        <w:rPr>
          <w:rFonts w:asciiTheme="minorHAnsi" w:hAnsiTheme="minorHAnsi" w:cstheme="minorHAnsi"/>
          <w:i/>
          <w:sz w:val="20"/>
        </w:rPr>
        <w:t xml:space="preserve">  </w:t>
      </w:r>
      <w:r w:rsidRPr="00A22A2E">
        <w:rPr>
          <w:rFonts w:asciiTheme="minorHAnsi" w:hAnsiTheme="minorHAnsi" w:cstheme="minorHAnsi"/>
          <w:i/>
          <w:sz w:val="20"/>
        </w:rPr>
        <w:t>Direta de Inconstitucionalidade 2106029-79.2019.8.26.0000; Relator (a): Evaristo dos Santos; Órgão Julgador: Órgão Especial; Tribunal de Justiça de São Paulo - N/A; Data do Julgamento: 11/09/2019; Data de Registro: 12/09/2019)</w:t>
      </w:r>
    </w:p>
    <w:p w:rsidR="0063556F" w:rsidRPr="00DF0A4F" w:rsidP="001900C3" w14:paraId="01631EF8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12"/>
          <w:szCs w:val="12"/>
        </w:rPr>
      </w:pPr>
    </w:p>
    <w:p w:rsidR="001900C3" w:rsidP="00382858" w14:paraId="41CB1687" w14:textId="77777777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E1F99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7E1F99" w:rsidP="00382858" w14:paraId="43A7A701" w14:textId="1D2AD10C">
      <w:pPr>
        <w:pStyle w:val="corpodapea"/>
        <w:spacing w:before="0" w:beforeAutospacing="0" w:after="120" w:afterAutospacing="0" w:line="360" w:lineRule="auto"/>
        <w:ind w:firstLine="1701"/>
        <w:jc w:val="both"/>
        <w:rPr>
          <w:rFonts w:ascii="Calibri" w:eastAsia="Calibri" w:hAnsi="Calibri" w:cs="Calibri"/>
          <w:color w:val="FF0000"/>
        </w:rPr>
      </w:pPr>
      <w:r w:rsidRPr="00FA385E">
        <w:rPr>
          <w:rFonts w:ascii="Calibri" w:hAnsi="Calibri" w:cs="Calibri"/>
        </w:rPr>
        <w:t>Por todo o exposto</w:t>
      </w:r>
      <w:r w:rsidRPr="00FA385E">
        <w:rPr>
          <w:rFonts w:ascii="Calibri" w:hAnsi="Calibri" w:cs="Calibri"/>
        </w:rPr>
        <w:t xml:space="preserve">, </w:t>
      </w:r>
      <w:r w:rsidRPr="00FA385E" w:rsidR="0069532A">
        <w:rPr>
          <w:rFonts w:ascii="Calibri" w:hAnsi="Calibri" w:cs="Calibri"/>
        </w:rPr>
        <w:t>opinamos</w:t>
      </w:r>
      <w:r w:rsidRPr="00FA385E" w:rsidR="001900C3">
        <w:rPr>
          <w:rFonts w:ascii="Calibri" w:hAnsi="Calibri" w:cs="Calibri"/>
        </w:rPr>
        <w:t xml:space="preserve"> pela constitucionalidade e legalidade do projeto</w:t>
      </w:r>
      <w:r w:rsidRPr="00FA385E">
        <w:rPr>
          <w:rFonts w:ascii="Calibri" w:hAnsi="Calibri" w:cs="Calibri"/>
        </w:rPr>
        <w:t xml:space="preserve">. </w:t>
      </w:r>
      <w:r w:rsidRPr="00FA385E" w:rsidR="0061442B">
        <w:rPr>
          <w:rFonts w:ascii="Calibri" w:eastAsia="Calibri" w:hAnsi="Calibri" w:cs="Calibri"/>
        </w:rPr>
        <w:t xml:space="preserve">Sobre o </w:t>
      </w:r>
      <w:r w:rsidRPr="007E1F99" w:rsidR="0061442B">
        <w:rPr>
          <w:rFonts w:ascii="Calibri" w:eastAsia="Calibri" w:hAnsi="Calibri" w:cs="Calibri"/>
        </w:rPr>
        <w:t>mérito, manifestar-se-á o Plenário de forma soberana.</w:t>
      </w:r>
    </w:p>
    <w:p w:rsidR="001900C3" w:rsidRPr="007E1F99" w:rsidP="00382858" w14:paraId="57845D3A" w14:textId="77777777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É o parecer</w:t>
      </w:r>
      <w:r w:rsidRPr="007E1F99" w:rsidR="00C911DC">
        <w:rPr>
          <w:rFonts w:ascii="Calibri" w:hAnsi="Calibri" w:cs="Calibri"/>
          <w:sz w:val="24"/>
          <w:szCs w:val="24"/>
        </w:rPr>
        <w:t>.</w:t>
      </w:r>
    </w:p>
    <w:p w:rsidR="00623AD7" w:rsidRPr="007E1F99" w:rsidP="00382858" w14:paraId="263D6D57" w14:textId="0F4F32E4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E1F99">
        <w:rPr>
          <w:rFonts w:ascii="Calibri" w:hAnsi="Calibri" w:cs="Calibri"/>
          <w:sz w:val="24"/>
          <w:szCs w:val="24"/>
        </w:rPr>
        <w:t>Procuradoria</w:t>
      </w:r>
      <w:r w:rsidRPr="007E1F99">
        <w:rPr>
          <w:rFonts w:ascii="Calibri" w:hAnsi="Calibri" w:cs="Calibri"/>
          <w:sz w:val="24"/>
          <w:szCs w:val="24"/>
        </w:rPr>
        <w:t xml:space="preserve">, </w:t>
      </w:r>
      <w:r w:rsidRPr="00382858">
        <w:rPr>
          <w:rFonts w:ascii="Calibri" w:hAnsi="Calibri" w:cs="Calibri"/>
          <w:sz w:val="24"/>
          <w:szCs w:val="24"/>
        </w:rPr>
        <w:t xml:space="preserve">aos </w:t>
      </w:r>
      <w:r w:rsidRPr="00382858" w:rsidR="00A22A2E">
        <w:rPr>
          <w:rFonts w:ascii="Calibri" w:hAnsi="Calibri" w:cs="Calibri"/>
          <w:sz w:val="24"/>
          <w:szCs w:val="24"/>
        </w:rPr>
        <w:t>05</w:t>
      </w:r>
      <w:r w:rsidRPr="00382858">
        <w:rPr>
          <w:rFonts w:ascii="Calibri" w:hAnsi="Calibri" w:cs="Calibri"/>
          <w:sz w:val="24"/>
          <w:szCs w:val="24"/>
        </w:rPr>
        <w:t xml:space="preserve"> de </w:t>
      </w:r>
      <w:r w:rsidRPr="00382858" w:rsidR="00A22A2E">
        <w:rPr>
          <w:rFonts w:ascii="Calibri" w:hAnsi="Calibri" w:cs="Calibri"/>
          <w:sz w:val="24"/>
          <w:szCs w:val="24"/>
        </w:rPr>
        <w:t>dez</w:t>
      </w:r>
      <w:r w:rsidRPr="00382858" w:rsidR="00BA1092">
        <w:rPr>
          <w:rFonts w:ascii="Calibri" w:hAnsi="Calibri" w:cs="Calibri"/>
          <w:sz w:val="24"/>
          <w:szCs w:val="24"/>
        </w:rPr>
        <w:t>embro</w:t>
      </w:r>
      <w:r w:rsidRPr="00382858">
        <w:rPr>
          <w:rFonts w:ascii="Calibri" w:hAnsi="Calibri" w:cs="Calibri"/>
          <w:sz w:val="24"/>
          <w:szCs w:val="24"/>
        </w:rPr>
        <w:t xml:space="preserve"> de 20</w:t>
      </w:r>
      <w:r w:rsidRPr="00382858" w:rsidR="00F66849">
        <w:rPr>
          <w:rFonts w:ascii="Calibri" w:hAnsi="Calibri" w:cs="Calibri"/>
          <w:sz w:val="24"/>
          <w:szCs w:val="24"/>
        </w:rPr>
        <w:t>2</w:t>
      </w:r>
      <w:r w:rsidRPr="00382858" w:rsidR="0088577A">
        <w:rPr>
          <w:rFonts w:ascii="Calibri" w:hAnsi="Calibri" w:cs="Calibri"/>
          <w:sz w:val="24"/>
          <w:szCs w:val="24"/>
        </w:rPr>
        <w:t>3</w:t>
      </w:r>
      <w:r w:rsidRPr="00382858">
        <w:rPr>
          <w:rFonts w:ascii="Calibri" w:hAnsi="Calibri" w:cs="Calibri"/>
          <w:sz w:val="24"/>
          <w:szCs w:val="24"/>
        </w:rPr>
        <w:t>.</w:t>
      </w:r>
    </w:p>
    <w:p w:rsidR="005A1CB4" w:rsidP="001900C3" w14:paraId="3DE2E92A" w14:textId="77777777">
      <w:pPr>
        <w:pStyle w:val="BodyText"/>
        <w:spacing w:after="0" w:line="360" w:lineRule="auto"/>
        <w:ind w:firstLine="1701"/>
        <w:rPr>
          <w:rFonts w:ascii="Calibri" w:hAnsi="Calibri" w:cs="Calibri"/>
          <w:b/>
          <w:szCs w:val="24"/>
        </w:rPr>
      </w:pPr>
    </w:p>
    <w:p w:rsidR="00382858" w:rsidRPr="007E1F99" w:rsidP="001900C3" w14:paraId="09753D7C" w14:textId="77777777">
      <w:pPr>
        <w:pStyle w:val="BodyText"/>
        <w:spacing w:after="0" w:line="360" w:lineRule="auto"/>
        <w:ind w:firstLine="1701"/>
        <w:rPr>
          <w:rFonts w:ascii="Calibri" w:hAnsi="Calibri" w:cs="Calibri"/>
          <w:b/>
          <w:szCs w:val="24"/>
        </w:rPr>
      </w:pPr>
    </w:p>
    <w:p w:rsidR="00623AD7" w:rsidRPr="007E1F99" w:rsidP="00F505B3" w14:paraId="5D8B2A22" w14:textId="777777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E1F99">
        <w:rPr>
          <w:rFonts w:ascii="Calibri" w:hAnsi="Calibri" w:cs="Calibri"/>
          <w:b/>
          <w:szCs w:val="24"/>
        </w:rPr>
        <w:t>Procuradora - OAB/SP 308.298</w:t>
      </w:r>
    </w:p>
    <w:p w:rsidR="0088577A" w:rsidRPr="0088577A" w:rsidP="00F505B3" w14:paraId="640166A3" w14:textId="2DA3B482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Assinado digitalmente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5356A7" w:rsidP="003C2F5F" w14:paraId="1F236E20" w14:textId="77777777">
            <w:pPr>
              <w:pStyle w:val="Footer"/>
              <w:jc w:val="right"/>
            </w:pPr>
          </w:p>
          <w:p w:rsidR="005356A7" w:rsidP="003C2F5F" w14:paraId="028256AF" w14:textId="7777777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5356A7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5356A7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5356A7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8046A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8046A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356A7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5356A7" w14:paraId="1F8DB62B" w14:textId="77777777">
      <w:pPr>
        <w:spacing w:after="0" w:line="240" w:lineRule="auto"/>
      </w:pPr>
      <w:r>
        <w:continuationSeparator/>
      </w:r>
    </w:p>
  </w:footnote>
  <w:footnote w:id="2">
    <w:p w:rsidR="001162EE" w:rsidP="001162EE" w14:paraId="1E4E66F9" w14:textId="77777777">
      <w:pPr>
        <w:pStyle w:val="FootnoteText"/>
        <w:jc w:val="both"/>
        <w:rPr>
          <w:i/>
          <w:iCs/>
          <w:sz w:val="18"/>
          <w:szCs w:val="18"/>
        </w:rPr>
      </w:pPr>
      <w:r w:rsidRPr="007C76E1">
        <w:rPr>
          <w:rStyle w:val="FootnoteReference"/>
          <w:b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7C76E1">
        <w:rPr>
          <w:i/>
          <w:iCs/>
          <w:sz w:val="18"/>
          <w:szCs w:val="18"/>
        </w:rPr>
        <w:t>.”</w:t>
      </w:r>
    </w:p>
    <w:p w:rsidR="001162EE" w:rsidRPr="007C76E1" w:rsidP="001162EE" w14:paraId="40D11441" w14:textId="77777777">
      <w:pPr>
        <w:pStyle w:val="FootnoteText"/>
        <w:jc w:val="both"/>
        <w:rPr>
          <w:i/>
          <w:iCs/>
          <w:sz w:val="18"/>
          <w:szCs w:val="18"/>
        </w:rPr>
      </w:pPr>
    </w:p>
  </w:footnote>
  <w:footnote w:id="3">
    <w:p w:rsidR="001162EE" w:rsidRPr="006405CE" w:rsidP="001162EE" w14:paraId="3002EB7D" w14:textId="77777777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C76E1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administrador na tomada da decisão, na prática do ato administrativo, que se constitui na execução 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1162EE" w:rsidP="001162EE" w14:paraId="7B10E722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6A7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5356A7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6A7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7800859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507298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347357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356A7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209067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6329756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5356A7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356A7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5356A7" w:rsidP="003C2F5F" w14:paraId="6FE38094" w14:textId="77777777">
    <w:pPr>
      <w:pStyle w:val="Header"/>
    </w:pPr>
  </w:p>
  <w:p w:rsidR="005356A7" w:rsidP="003C2F5F" w14:paraId="05C8AF9F" w14:textId="77777777">
    <w:pPr>
      <w:pStyle w:val="Header"/>
    </w:pPr>
  </w:p>
  <w:p w:rsidR="005356A7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07564"/>
    <w:rsid w:val="00053466"/>
    <w:rsid w:val="00054297"/>
    <w:rsid w:val="00055CC4"/>
    <w:rsid w:val="00081D0F"/>
    <w:rsid w:val="000854D9"/>
    <w:rsid w:val="000863AF"/>
    <w:rsid w:val="00093998"/>
    <w:rsid w:val="000A1978"/>
    <w:rsid w:val="000A2B7F"/>
    <w:rsid w:val="000A3FBA"/>
    <w:rsid w:val="000A609F"/>
    <w:rsid w:val="000C4719"/>
    <w:rsid w:val="000D43BE"/>
    <w:rsid w:val="000E0541"/>
    <w:rsid w:val="000E14B3"/>
    <w:rsid w:val="000F1D99"/>
    <w:rsid w:val="000F53FD"/>
    <w:rsid w:val="000F7DF6"/>
    <w:rsid w:val="0010042C"/>
    <w:rsid w:val="00106ADB"/>
    <w:rsid w:val="001150B0"/>
    <w:rsid w:val="00116058"/>
    <w:rsid w:val="001162EE"/>
    <w:rsid w:val="001166FA"/>
    <w:rsid w:val="00122651"/>
    <w:rsid w:val="0012397D"/>
    <w:rsid w:val="00130A14"/>
    <w:rsid w:val="00133C76"/>
    <w:rsid w:val="00140F84"/>
    <w:rsid w:val="00146235"/>
    <w:rsid w:val="00156B95"/>
    <w:rsid w:val="00170D38"/>
    <w:rsid w:val="00171311"/>
    <w:rsid w:val="00186BFA"/>
    <w:rsid w:val="001900C3"/>
    <w:rsid w:val="001B2556"/>
    <w:rsid w:val="001D010E"/>
    <w:rsid w:val="001F3D7E"/>
    <w:rsid w:val="00225863"/>
    <w:rsid w:val="00264F4E"/>
    <w:rsid w:val="00277FC6"/>
    <w:rsid w:val="00290799"/>
    <w:rsid w:val="0029742D"/>
    <w:rsid w:val="002A0294"/>
    <w:rsid w:val="002A0BF9"/>
    <w:rsid w:val="002A4033"/>
    <w:rsid w:val="002A68E6"/>
    <w:rsid w:val="002B3EF9"/>
    <w:rsid w:val="002B6DD7"/>
    <w:rsid w:val="002C174B"/>
    <w:rsid w:val="002C4FB2"/>
    <w:rsid w:val="002C63E4"/>
    <w:rsid w:val="002D0400"/>
    <w:rsid w:val="002D1F88"/>
    <w:rsid w:val="002F1549"/>
    <w:rsid w:val="002F5795"/>
    <w:rsid w:val="003132A3"/>
    <w:rsid w:val="00315DDB"/>
    <w:rsid w:val="00320E08"/>
    <w:rsid w:val="003210F0"/>
    <w:rsid w:val="00350F60"/>
    <w:rsid w:val="00366D52"/>
    <w:rsid w:val="003730FC"/>
    <w:rsid w:val="00382858"/>
    <w:rsid w:val="003A5BDC"/>
    <w:rsid w:val="003A5E0B"/>
    <w:rsid w:val="003B46B4"/>
    <w:rsid w:val="003B4ED0"/>
    <w:rsid w:val="003C2F5F"/>
    <w:rsid w:val="003C310D"/>
    <w:rsid w:val="003C39D6"/>
    <w:rsid w:val="003C4DB0"/>
    <w:rsid w:val="003C6555"/>
    <w:rsid w:val="003D3D50"/>
    <w:rsid w:val="003D6EE3"/>
    <w:rsid w:val="003E371A"/>
    <w:rsid w:val="003F133F"/>
    <w:rsid w:val="0040409A"/>
    <w:rsid w:val="00415C7A"/>
    <w:rsid w:val="00416518"/>
    <w:rsid w:val="00417BC0"/>
    <w:rsid w:val="00427BE6"/>
    <w:rsid w:val="00451207"/>
    <w:rsid w:val="0045236F"/>
    <w:rsid w:val="00465FE0"/>
    <w:rsid w:val="004B1980"/>
    <w:rsid w:val="004F17E2"/>
    <w:rsid w:val="005056F7"/>
    <w:rsid w:val="005101D9"/>
    <w:rsid w:val="00531B48"/>
    <w:rsid w:val="005356A7"/>
    <w:rsid w:val="00553C12"/>
    <w:rsid w:val="0058062A"/>
    <w:rsid w:val="00582F11"/>
    <w:rsid w:val="00585C59"/>
    <w:rsid w:val="00591032"/>
    <w:rsid w:val="00593369"/>
    <w:rsid w:val="005A1CB4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3556F"/>
    <w:rsid w:val="0063663D"/>
    <w:rsid w:val="006405CE"/>
    <w:rsid w:val="00644ED3"/>
    <w:rsid w:val="006504F4"/>
    <w:rsid w:val="0065517F"/>
    <w:rsid w:val="00661EC1"/>
    <w:rsid w:val="0066263D"/>
    <w:rsid w:val="00686242"/>
    <w:rsid w:val="00687E29"/>
    <w:rsid w:val="006918F0"/>
    <w:rsid w:val="0069532A"/>
    <w:rsid w:val="006A1A17"/>
    <w:rsid w:val="006A5B5D"/>
    <w:rsid w:val="006B1DD9"/>
    <w:rsid w:val="006D1203"/>
    <w:rsid w:val="006E43B0"/>
    <w:rsid w:val="006E4468"/>
    <w:rsid w:val="006E4F1C"/>
    <w:rsid w:val="006F0642"/>
    <w:rsid w:val="006F6EBB"/>
    <w:rsid w:val="0070570A"/>
    <w:rsid w:val="007111F6"/>
    <w:rsid w:val="0072743E"/>
    <w:rsid w:val="00755854"/>
    <w:rsid w:val="007711FB"/>
    <w:rsid w:val="0078309E"/>
    <w:rsid w:val="007C76E1"/>
    <w:rsid w:val="007D24E4"/>
    <w:rsid w:val="007D6753"/>
    <w:rsid w:val="007E1938"/>
    <w:rsid w:val="007E1F99"/>
    <w:rsid w:val="007E5161"/>
    <w:rsid w:val="00805484"/>
    <w:rsid w:val="00815A68"/>
    <w:rsid w:val="00833548"/>
    <w:rsid w:val="00840756"/>
    <w:rsid w:val="00843AF6"/>
    <w:rsid w:val="00844F2A"/>
    <w:rsid w:val="00864348"/>
    <w:rsid w:val="00866252"/>
    <w:rsid w:val="00867EC0"/>
    <w:rsid w:val="008706BC"/>
    <w:rsid w:val="008743BF"/>
    <w:rsid w:val="00880E5C"/>
    <w:rsid w:val="0088577A"/>
    <w:rsid w:val="008A51F4"/>
    <w:rsid w:val="008B446B"/>
    <w:rsid w:val="008C29F0"/>
    <w:rsid w:val="008D67BD"/>
    <w:rsid w:val="008E7C91"/>
    <w:rsid w:val="008F5CD7"/>
    <w:rsid w:val="008F5FCA"/>
    <w:rsid w:val="00924DE9"/>
    <w:rsid w:val="0094325E"/>
    <w:rsid w:val="009513F9"/>
    <w:rsid w:val="0095789B"/>
    <w:rsid w:val="00973E66"/>
    <w:rsid w:val="00985CD8"/>
    <w:rsid w:val="00990D8F"/>
    <w:rsid w:val="00995E87"/>
    <w:rsid w:val="009A6ACD"/>
    <w:rsid w:val="009D7CC9"/>
    <w:rsid w:val="009E17D5"/>
    <w:rsid w:val="009F0F77"/>
    <w:rsid w:val="00A0126A"/>
    <w:rsid w:val="00A13BED"/>
    <w:rsid w:val="00A21575"/>
    <w:rsid w:val="00A22A2E"/>
    <w:rsid w:val="00A32BE6"/>
    <w:rsid w:val="00A33922"/>
    <w:rsid w:val="00A44636"/>
    <w:rsid w:val="00A455A2"/>
    <w:rsid w:val="00A46F1C"/>
    <w:rsid w:val="00A7003F"/>
    <w:rsid w:val="00A816F6"/>
    <w:rsid w:val="00A84A80"/>
    <w:rsid w:val="00AA19F5"/>
    <w:rsid w:val="00AB02F8"/>
    <w:rsid w:val="00AC632E"/>
    <w:rsid w:val="00AD2EF4"/>
    <w:rsid w:val="00B2049C"/>
    <w:rsid w:val="00B20851"/>
    <w:rsid w:val="00B21513"/>
    <w:rsid w:val="00B51914"/>
    <w:rsid w:val="00B77DD5"/>
    <w:rsid w:val="00B8712C"/>
    <w:rsid w:val="00B9191A"/>
    <w:rsid w:val="00BA1092"/>
    <w:rsid w:val="00BA60E8"/>
    <w:rsid w:val="00BA71BB"/>
    <w:rsid w:val="00BB2737"/>
    <w:rsid w:val="00BB4A3C"/>
    <w:rsid w:val="00BB699B"/>
    <w:rsid w:val="00BC1CA3"/>
    <w:rsid w:val="00BD21FC"/>
    <w:rsid w:val="00BF1E38"/>
    <w:rsid w:val="00BF6582"/>
    <w:rsid w:val="00C037D3"/>
    <w:rsid w:val="00C16375"/>
    <w:rsid w:val="00C50F96"/>
    <w:rsid w:val="00C65153"/>
    <w:rsid w:val="00C72785"/>
    <w:rsid w:val="00C772FB"/>
    <w:rsid w:val="00C911DC"/>
    <w:rsid w:val="00C96BE2"/>
    <w:rsid w:val="00CA36F2"/>
    <w:rsid w:val="00CB75DF"/>
    <w:rsid w:val="00CD2341"/>
    <w:rsid w:val="00D43148"/>
    <w:rsid w:val="00D515D2"/>
    <w:rsid w:val="00D56ED0"/>
    <w:rsid w:val="00D57968"/>
    <w:rsid w:val="00D7028D"/>
    <w:rsid w:val="00DA067C"/>
    <w:rsid w:val="00DA6666"/>
    <w:rsid w:val="00DD117B"/>
    <w:rsid w:val="00DF0A4F"/>
    <w:rsid w:val="00DF2C1A"/>
    <w:rsid w:val="00E010C5"/>
    <w:rsid w:val="00E07310"/>
    <w:rsid w:val="00E17B92"/>
    <w:rsid w:val="00E3389E"/>
    <w:rsid w:val="00E3664C"/>
    <w:rsid w:val="00E503EA"/>
    <w:rsid w:val="00E51F3C"/>
    <w:rsid w:val="00E66F59"/>
    <w:rsid w:val="00E7573E"/>
    <w:rsid w:val="00E77219"/>
    <w:rsid w:val="00E813C9"/>
    <w:rsid w:val="00E91634"/>
    <w:rsid w:val="00E9745E"/>
    <w:rsid w:val="00EA45A1"/>
    <w:rsid w:val="00EA669D"/>
    <w:rsid w:val="00EB49A2"/>
    <w:rsid w:val="00EB7BB1"/>
    <w:rsid w:val="00EE3E12"/>
    <w:rsid w:val="00EE6021"/>
    <w:rsid w:val="00F0182B"/>
    <w:rsid w:val="00F154E2"/>
    <w:rsid w:val="00F209F1"/>
    <w:rsid w:val="00F253CD"/>
    <w:rsid w:val="00F505B3"/>
    <w:rsid w:val="00F519D2"/>
    <w:rsid w:val="00F51B43"/>
    <w:rsid w:val="00F53BEF"/>
    <w:rsid w:val="00F564CF"/>
    <w:rsid w:val="00F66849"/>
    <w:rsid w:val="00F740A6"/>
    <w:rsid w:val="00F8046A"/>
    <w:rsid w:val="00F847EE"/>
    <w:rsid w:val="00FA1D5B"/>
    <w:rsid w:val="00FA385E"/>
    <w:rsid w:val="00FB0318"/>
    <w:rsid w:val="00FC3ECB"/>
    <w:rsid w:val="00FC59A5"/>
    <w:rsid w:val="00FC6C77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78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2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DefaultParagraphFont"/>
    <w:link w:val="Heading4"/>
    <w:uiPriority w:val="9"/>
    <w:rsid w:val="0022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tar-inserted">
    <w:name w:val="ng-star-inserted"/>
    <w:basedOn w:val="DefaultParagraphFont"/>
    <w:rsid w:val="00FC6C77"/>
  </w:style>
  <w:style w:type="character" w:customStyle="1" w:styleId="Ttulo2Char">
    <w:name w:val="Título 2 Char"/>
    <w:basedOn w:val="DefaultParagraphFont"/>
    <w:link w:val="Heading2"/>
    <w:uiPriority w:val="9"/>
    <w:semiHidden/>
    <w:rsid w:val="0078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45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C6B-C8AC-4BD8-84D7-40C0DC12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2232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10</cp:revision>
  <cp:lastPrinted>2021-05-27T14:59:00Z</cp:lastPrinted>
  <dcterms:created xsi:type="dcterms:W3CDTF">2023-11-24T18:32:00Z</dcterms:created>
  <dcterms:modified xsi:type="dcterms:W3CDTF">2023-12-07T20:00:00Z</dcterms:modified>
</cp:coreProperties>
</file>