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B8" w:rsidRPr="007C788D" w:rsidRDefault="00A779B8" w:rsidP="00A779B8">
      <w:pPr>
        <w:pStyle w:val="Default"/>
        <w:jc w:val="both"/>
        <w:rPr>
          <w:rFonts w:asciiTheme="minorHAnsi" w:eastAsia="Times New Roman" w:hAnsiTheme="minorHAnsi" w:cs="Calibri"/>
          <w:bCs/>
          <w:color w:val="auto"/>
        </w:rPr>
      </w:pPr>
      <w:r w:rsidRPr="007C788D">
        <w:rPr>
          <w:rFonts w:asciiTheme="minorHAnsi" w:hAnsiTheme="minorHAnsi" w:cs="Calibri"/>
          <w:b/>
          <w:color w:val="auto"/>
        </w:rPr>
        <w:t>Parecer Jurídico nº</w:t>
      </w:r>
      <w:r w:rsidR="00F50ADA" w:rsidRPr="007C788D">
        <w:rPr>
          <w:rFonts w:asciiTheme="minorHAnsi" w:hAnsiTheme="minorHAnsi" w:cs="Calibri"/>
          <w:b/>
          <w:color w:val="auto"/>
        </w:rPr>
        <w:t xml:space="preserve"> </w:t>
      </w:r>
      <w:r w:rsidR="007C788D" w:rsidRPr="007C788D">
        <w:rPr>
          <w:rFonts w:asciiTheme="minorHAnsi" w:hAnsiTheme="minorHAnsi" w:cs="Calibri"/>
          <w:b/>
          <w:color w:val="auto"/>
        </w:rPr>
        <w:tab/>
        <w:t>52</w:t>
      </w:r>
      <w:r w:rsidR="006F4A6E">
        <w:rPr>
          <w:rFonts w:asciiTheme="minorHAnsi" w:hAnsiTheme="minorHAnsi" w:cs="Calibri"/>
          <w:b/>
          <w:color w:val="auto"/>
        </w:rPr>
        <w:t>4</w:t>
      </w:r>
      <w:r w:rsidRPr="007C788D">
        <w:rPr>
          <w:rFonts w:asciiTheme="minorHAnsi" w:hAnsiTheme="minorHAnsi" w:cs="Calibri"/>
          <w:b/>
          <w:color w:val="auto"/>
        </w:rPr>
        <w:t>/202</w:t>
      </w:r>
      <w:r w:rsidR="00473A76" w:rsidRPr="007C788D">
        <w:rPr>
          <w:rFonts w:asciiTheme="minorHAnsi" w:hAnsiTheme="minorHAnsi" w:cs="Calibri"/>
          <w:b/>
          <w:color w:val="auto"/>
        </w:rPr>
        <w:t>3</w:t>
      </w:r>
      <w:r w:rsidRPr="007C788D">
        <w:rPr>
          <w:rFonts w:asciiTheme="minorHAnsi" w:hAnsiTheme="minorHAnsi" w:cs="Calibri"/>
          <w:b/>
          <w:color w:val="auto"/>
        </w:rPr>
        <w:t>.</w:t>
      </w:r>
    </w:p>
    <w:p w:rsidR="00200A82" w:rsidRPr="001D644A" w:rsidRDefault="001962C1" w:rsidP="00473A76">
      <w:pPr>
        <w:spacing w:after="0" w:line="240" w:lineRule="auto"/>
        <w:jc w:val="both"/>
        <w:rPr>
          <w:rFonts w:asciiTheme="minorHAnsi" w:eastAsia="Calibri" w:hAnsiTheme="minorHAnsi" w:cs="Calibri"/>
          <w:color w:val="000000"/>
          <w:szCs w:val="24"/>
        </w:rPr>
      </w:pPr>
      <w:r w:rsidRPr="001D644A">
        <w:rPr>
          <w:rFonts w:asciiTheme="minorHAnsi" w:hAnsiTheme="minorHAnsi" w:cs="Calibri"/>
          <w:b/>
          <w:bCs/>
          <w:szCs w:val="24"/>
        </w:rPr>
        <w:t xml:space="preserve">Assunto: </w:t>
      </w:r>
      <w:r w:rsidR="00201CBB" w:rsidRPr="001D644A">
        <w:rPr>
          <w:rFonts w:asciiTheme="minorHAnsi" w:hAnsiTheme="minorHAnsi" w:cs="Calibri"/>
          <w:b/>
          <w:bCs/>
          <w:szCs w:val="24"/>
        </w:rPr>
        <w:t xml:space="preserve">Subemenda </w:t>
      </w:r>
      <w:r w:rsidR="001D644A" w:rsidRPr="001D644A">
        <w:rPr>
          <w:rFonts w:asciiTheme="minorHAnsi" w:hAnsiTheme="minorHAnsi" w:cs="Calibri"/>
          <w:b/>
          <w:bCs/>
          <w:szCs w:val="24"/>
        </w:rPr>
        <w:t>1</w:t>
      </w:r>
      <w:r w:rsidR="00201CBB" w:rsidRPr="001D644A">
        <w:rPr>
          <w:rFonts w:asciiTheme="minorHAnsi" w:hAnsiTheme="minorHAnsi" w:cs="Calibri"/>
          <w:b/>
          <w:bCs/>
          <w:color w:val="FF0000"/>
          <w:szCs w:val="24"/>
        </w:rPr>
        <w:t xml:space="preserve"> </w:t>
      </w:r>
      <w:r w:rsidR="00201CBB" w:rsidRPr="001D644A">
        <w:rPr>
          <w:rFonts w:asciiTheme="minorHAnsi" w:hAnsiTheme="minorHAnsi" w:cs="Calibri"/>
          <w:b/>
          <w:bCs/>
          <w:szCs w:val="24"/>
        </w:rPr>
        <w:t xml:space="preserve">à </w:t>
      </w:r>
      <w:r w:rsidRPr="001D644A">
        <w:rPr>
          <w:rFonts w:asciiTheme="minorHAnsi" w:hAnsiTheme="minorHAnsi" w:cs="Calibri"/>
          <w:b/>
          <w:bCs/>
          <w:szCs w:val="24"/>
        </w:rPr>
        <w:t xml:space="preserve">Emenda </w:t>
      </w:r>
      <w:r w:rsidR="0063694E">
        <w:rPr>
          <w:rFonts w:asciiTheme="minorHAnsi" w:hAnsiTheme="minorHAnsi" w:cs="Calibri"/>
          <w:b/>
          <w:bCs/>
          <w:szCs w:val="24"/>
        </w:rPr>
        <w:t>57</w:t>
      </w:r>
      <w:r w:rsidR="00A779B8" w:rsidRPr="001D644A">
        <w:rPr>
          <w:rFonts w:asciiTheme="minorHAnsi" w:hAnsiTheme="minorHAnsi" w:cs="Calibri"/>
          <w:b/>
          <w:bCs/>
          <w:color w:val="FF0000"/>
          <w:szCs w:val="24"/>
        </w:rPr>
        <w:t xml:space="preserve"> </w:t>
      </w:r>
      <w:r w:rsidR="00A779B8" w:rsidRPr="001D644A">
        <w:rPr>
          <w:rFonts w:asciiTheme="minorHAnsi" w:hAnsiTheme="minorHAnsi" w:cs="Calibri"/>
          <w:b/>
          <w:bCs/>
          <w:szCs w:val="24"/>
        </w:rPr>
        <w:t>ao</w:t>
      </w:r>
      <w:r w:rsidR="00FC140B" w:rsidRPr="001D644A">
        <w:rPr>
          <w:rFonts w:asciiTheme="minorHAnsi" w:hAnsiTheme="minorHAnsi" w:cs="Calibri"/>
          <w:b/>
          <w:bCs/>
          <w:szCs w:val="24"/>
        </w:rPr>
        <w:t xml:space="preserve"> </w:t>
      </w:r>
      <w:r w:rsidR="00FC140B" w:rsidRPr="001D644A">
        <w:rPr>
          <w:rFonts w:asciiTheme="minorHAnsi" w:hAnsiTheme="minorHAnsi" w:cs="Calibri"/>
          <w:b/>
          <w:bCs/>
        </w:rPr>
        <w:t xml:space="preserve">Projeto de Lei nº </w:t>
      </w:r>
      <w:r w:rsidR="00200A82" w:rsidRPr="001D644A">
        <w:rPr>
          <w:rFonts w:asciiTheme="minorHAnsi" w:hAnsiTheme="minorHAnsi" w:cs="Calibri"/>
          <w:b/>
          <w:bCs/>
        </w:rPr>
        <w:t>185</w:t>
      </w:r>
      <w:r w:rsidR="001604ED" w:rsidRPr="001D644A">
        <w:rPr>
          <w:rFonts w:asciiTheme="minorHAnsi" w:hAnsiTheme="minorHAnsi" w:cs="Calibri"/>
          <w:b/>
          <w:bCs/>
        </w:rPr>
        <w:t>/202</w:t>
      </w:r>
      <w:r w:rsidR="00200A82" w:rsidRPr="001D644A">
        <w:rPr>
          <w:rFonts w:asciiTheme="minorHAnsi" w:hAnsiTheme="minorHAnsi" w:cs="Calibri"/>
          <w:b/>
          <w:bCs/>
        </w:rPr>
        <w:t>2</w:t>
      </w:r>
      <w:r w:rsidR="0023693B" w:rsidRPr="001D644A">
        <w:rPr>
          <w:rFonts w:asciiTheme="minorHAnsi" w:hAnsiTheme="minorHAnsi" w:cs="Calibri"/>
          <w:b/>
          <w:bCs/>
        </w:rPr>
        <w:t xml:space="preserve"> </w:t>
      </w:r>
      <w:r w:rsidR="000368DD" w:rsidRPr="001D644A">
        <w:rPr>
          <w:rFonts w:asciiTheme="minorHAnsi" w:hAnsiTheme="minorHAnsi" w:cs="Calibri"/>
          <w:bCs/>
        </w:rPr>
        <w:t xml:space="preserve">que </w:t>
      </w:r>
      <w:r w:rsidR="000368DD" w:rsidRPr="001D644A">
        <w:rPr>
          <w:rFonts w:asciiTheme="minorHAnsi" w:eastAsia="Calibri" w:hAnsiTheme="minorHAnsi" w:cs="Calibri"/>
          <w:szCs w:val="24"/>
        </w:rPr>
        <w:t>“</w:t>
      </w:r>
      <w:r w:rsidR="00200A82" w:rsidRPr="001D644A">
        <w:rPr>
          <w:rFonts w:asciiTheme="minorHAnsi" w:eastAsia="Calibri" w:hAnsiTheme="minorHAnsi" w:cs="Calibri"/>
          <w:szCs w:val="24"/>
        </w:rPr>
        <w:t xml:space="preserve">Institui o Plano Diretor Municipal de Valinhos </w:t>
      </w:r>
      <w:r w:rsidR="00200A82" w:rsidRPr="001D644A">
        <w:rPr>
          <w:rFonts w:asciiTheme="minorHAnsi" w:eastAsia="Calibri" w:hAnsiTheme="minorHAnsi" w:cs="Calibri"/>
          <w:color w:val="000000"/>
          <w:szCs w:val="24"/>
        </w:rPr>
        <w:t>e dá outras providências</w:t>
      </w:r>
      <w:r w:rsidR="0071039A" w:rsidRPr="001D644A">
        <w:rPr>
          <w:rFonts w:asciiTheme="minorHAnsi" w:eastAsia="Calibri" w:hAnsiTheme="minorHAnsi" w:cs="Calibri"/>
          <w:color w:val="000000"/>
          <w:szCs w:val="24"/>
        </w:rPr>
        <w:t>”</w:t>
      </w:r>
      <w:r w:rsidR="00200A82" w:rsidRPr="001D644A">
        <w:rPr>
          <w:rFonts w:asciiTheme="minorHAnsi" w:eastAsia="Calibri" w:hAnsiTheme="minorHAnsi" w:cs="Calibri"/>
          <w:color w:val="000000"/>
          <w:szCs w:val="24"/>
        </w:rPr>
        <w:t>.</w:t>
      </w:r>
    </w:p>
    <w:p w:rsidR="00A779B8" w:rsidRPr="001D644A" w:rsidRDefault="0063694E" w:rsidP="0023693B">
      <w:pPr>
        <w:spacing w:after="0" w:line="240" w:lineRule="auto"/>
        <w:jc w:val="both"/>
        <w:rPr>
          <w:rFonts w:asciiTheme="minorHAnsi" w:hAnsiTheme="minorHAnsi" w:cs="Calibri"/>
          <w:b/>
          <w:bCs/>
          <w:szCs w:val="24"/>
        </w:rPr>
      </w:pPr>
      <w:r>
        <w:rPr>
          <w:rFonts w:asciiTheme="minorHAnsi" w:hAnsiTheme="minorHAnsi" w:cs="Calibri"/>
          <w:b/>
          <w:bCs/>
        </w:rPr>
        <w:t>Sube</w:t>
      </w:r>
      <w:r w:rsidR="001604ED" w:rsidRPr="001D644A">
        <w:rPr>
          <w:rFonts w:asciiTheme="minorHAnsi" w:hAnsiTheme="minorHAnsi" w:cs="Calibri"/>
          <w:b/>
          <w:bCs/>
        </w:rPr>
        <w:t>menda de a</w:t>
      </w:r>
      <w:r w:rsidR="0023693B" w:rsidRPr="001D644A">
        <w:rPr>
          <w:rFonts w:asciiTheme="minorHAnsi" w:hAnsiTheme="minorHAnsi" w:cs="Calibri"/>
          <w:b/>
          <w:bCs/>
          <w:szCs w:val="24"/>
        </w:rPr>
        <w:t xml:space="preserve">utoria </w:t>
      </w:r>
      <w:r w:rsidR="006643E0" w:rsidRPr="001D644A">
        <w:rPr>
          <w:rFonts w:asciiTheme="minorHAnsi" w:hAnsiTheme="minorHAnsi" w:cs="Calibri"/>
          <w:b/>
          <w:bCs/>
          <w:szCs w:val="24"/>
        </w:rPr>
        <w:t>do Vereador Henrique Conti.</w:t>
      </w:r>
    </w:p>
    <w:p w:rsidR="00A779B8" w:rsidRPr="001D644A" w:rsidRDefault="00A779B8" w:rsidP="00A779B8">
      <w:pPr>
        <w:pStyle w:val="Default"/>
        <w:jc w:val="both"/>
        <w:rPr>
          <w:rFonts w:asciiTheme="minorHAnsi" w:hAnsiTheme="minorHAnsi" w:cs="Calibri"/>
          <w:b/>
          <w:i/>
          <w:color w:val="auto"/>
        </w:rPr>
      </w:pPr>
    </w:p>
    <w:p w:rsidR="000F259D" w:rsidRPr="001D644A" w:rsidRDefault="000F259D" w:rsidP="00A779B8">
      <w:pPr>
        <w:pStyle w:val="Default"/>
        <w:jc w:val="both"/>
        <w:rPr>
          <w:rFonts w:asciiTheme="minorHAnsi" w:hAnsiTheme="minorHAnsi" w:cs="Calibri"/>
          <w:b/>
          <w:i/>
          <w:color w:val="auto"/>
        </w:rPr>
      </w:pPr>
    </w:p>
    <w:p w:rsidR="00A779B8" w:rsidRPr="001D644A" w:rsidRDefault="00A779B8" w:rsidP="00A779B8">
      <w:pPr>
        <w:pStyle w:val="Default"/>
        <w:jc w:val="both"/>
        <w:rPr>
          <w:rFonts w:asciiTheme="minorHAnsi" w:hAnsiTheme="minorHAnsi" w:cs="Calibri"/>
          <w:b/>
          <w:i/>
          <w:color w:val="auto"/>
        </w:rPr>
      </w:pPr>
      <w:r w:rsidRPr="001D644A">
        <w:rPr>
          <w:rFonts w:asciiTheme="minorHAnsi" w:hAnsiTheme="minorHAnsi" w:cs="Calibri"/>
          <w:b/>
          <w:i/>
          <w:color w:val="auto"/>
        </w:rPr>
        <w:t>À Comissão de Justiça e Redação,</w:t>
      </w:r>
    </w:p>
    <w:p w:rsidR="00A779B8" w:rsidRPr="001D644A" w:rsidRDefault="00A779B8" w:rsidP="00A779B8">
      <w:pPr>
        <w:pStyle w:val="Default"/>
        <w:jc w:val="both"/>
        <w:rPr>
          <w:rFonts w:asciiTheme="minorHAnsi" w:hAnsiTheme="minorHAnsi" w:cs="Calibri"/>
          <w:b/>
          <w:i/>
          <w:color w:val="auto"/>
        </w:rPr>
      </w:pPr>
      <w:r w:rsidRPr="001D644A">
        <w:rPr>
          <w:rFonts w:asciiTheme="minorHAnsi" w:hAnsiTheme="minorHAnsi" w:cs="Calibri"/>
          <w:b/>
          <w:i/>
          <w:color w:val="auto"/>
        </w:rPr>
        <w:t xml:space="preserve">Exmo. </w:t>
      </w:r>
      <w:r w:rsidR="00473A76" w:rsidRPr="001D644A">
        <w:rPr>
          <w:rFonts w:asciiTheme="minorHAnsi" w:hAnsiTheme="minorHAnsi" w:cs="Calibri"/>
          <w:b/>
          <w:i/>
          <w:color w:val="auto"/>
        </w:rPr>
        <w:t xml:space="preserve">Sr. </w:t>
      </w:r>
      <w:r w:rsidRPr="001D644A">
        <w:rPr>
          <w:rFonts w:asciiTheme="minorHAnsi" w:hAnsiTheme="minorHAnsi" w:cs="Calibri"/>
          <w:b/>
          <w:i/>
          <w:color w:val="auto"/>
        </w:rPr>
        <w:t>Presidente</w:t>
      </w:r>
      <w:r w:rsidR="00473A76" w:rsidRPr="001D644A">
        <w:rPr>
          <w:rFonts w:asciiTheme="minorHAnsi" w:hAnsiTheme="minorHAnsi" w:cs="Calibri"/>
          <w:b/>
          <w:i/>
          <w:color w:val="auto"/>
        </w:rPr>
        <w:t xml:space="preserve"> Vereador Gabriel Bueno</w:t>
      </w:r>
      <w:r w:rsidRPr="001D644A">
        <w:rPr>
          <w:rFonts w:asciiTheme="minorHAnsi" w:hAnsiTheme="minorHAnsi" w:cs="Calibri"/>
          <w:b/>
          <w:i/>
          <w:color w:val="auto"/>
        </w:rPr>
        <w:t>.</w:t>
      </w:r>
    </w:p>
    <w:p w:rsidR="00A779B8" w:rsidRPr="001D644A" w:rsidRDefault="00A779B8" w:rsidP="00A779B8">
      <w:pPr>
        <w:pStyle w:val="Default"/>
        <w:jc w:val="both"/>
        <w:rPr>
          <w:rFonts w:asciiTheme="minorHAnsi" w:hAnsiTheme="minorHAnsi" w:cs="Calibri"/>
          <w:b/>
          <w:i/>
          <w:color w:val="auto"/>
        </w:rPr>
      </w:pPr>
    </w:p>
    <w:p w:rsidR="00A779B8" w:rsidRPr="001D644A" w:rsidRDefault="00A779B8" w:rsidP="00A779B8">
      <w:pPr>
        <w:pStyle w:val="Default"/>
        <w:spacing w:after="120" w:line="360" w:lineRule="auto"/>
        <w:jc w:val="both"/>
        <w:rPr>
          <w:rFonts w:asciiTheme="minorHAnsi" w:hAnsiTheme="minorHAnsi" w:cs="Calibri"/>
          <w:sz w:val="12"/>
          <w:szCs w:val="12"/>
        </w:rPr>
      </w:pPr>
    </w:p>
    <w:p w:rsidR="0023693B" w:rsidRPr="001D644A" w:rsidRDefault="00A779B8" w:rsidP="000368DD">
      <w:pPr>
        <w:pStyle w:val="Default"/>
        <w:spacing w:after="240" w:line="360" w:lineRule="auto"/>
        <w:ind w:firstLine="2268"/>
        <w:jc w:val="both"/>
        <w:rPr>
          <w:rFonts w:asciiTheme="minorHAnsi" w:hAnsiTheme="minorHAnsi" w:cs="Calibri"/>
          <w:i/>
        </w:rPr>
      </w:pPr>
      <w:r w:rsidRPr="001D644A">
        <w:rPr>
          <w:rFonts w:asciiTheme="minorHAnsi" w:hAnsiTheme="minorHAnsi" w:cs="Calibri"/>
        </w:rPr>
        <w:t xml:space="preserve">Trata-se de parecer jurídico relativo à </w:t>
      </w:r>
      <w:r w:rsidR="00201CBB" w:rsidRPr="001D644A">
        <w:rPr>
          <w:rFonts w:asciiTheme="minorHAnsi" w:hAnsiTheme="minorHAnsi" w:cs="Calibri"/>
        </w:rPr>
        <w:t>sub</w:t>
      </w:r>
      <w:r w:rsidRPr="001D644A">
        <w:rPr>
          <w:rFonts w:asciiTheme="minorHAnsi" w:hAnsiTheme="minorHAnsi" w:cs="Calibri"/>
        </w:rPr>
        <w:t>emenda em epígrafe que</w:t>
      </w:r>
      <w:r w:rsidR="00473A76" w:rsidRPr="001D644A">
        <w:rPr>
          <w:rFonts w:asciiTheme="minorHAnsi" w:hAnsiTheme="minorHAnsi" w:cs="Calibri"/>
        </w:rPr>
        <w:t xml:space="preserve"> </w:t>
      </w:r>
      <w:r w:rsidR="00473A76" w:rsidRPr="001D644A">
        <w:rPr>
          <w:rFonts w:asciiTheme="minorHAnsi" w:hAnsiTheme="minorHAnsi" w:cs="Calibri"/>
          <w:color w:val="auto"/>
        </w:rPr>
        <w:t>tenciona</w:t>
      </w:r>
      <w:r w:rsidR="00810ED4" w:rsidRPr="001D644A">
        <w:rPr>
          <w:rFonts w:asciiTheme="minorHAnsi" w:hAnsiTheme="minorHAnsi" w:cs="Calibri"/>
          <w:color w:val="auto"/>
        </w:rPr>
        <w:t xml:space="preserve"> </w:t>
      </w:r>
      <w:r w:rsidR="00B554F6" w:rsidRPr="001D644A">
        <w:rPr>
          <w:rFonts w:asciiTheme="minorHAnsi" w:hAnsiTheme="minorHAnsi" w:cs="Calibri"/>
          <w:color w:val="auto"/>
        </w:rPr>
        <w:t>alterar</w:t>
      </w:r>
      <w:r w:rsidR="001D644A">
        <w:rPr>
          <w:rFonts w:asciiTheme="minorHAnsi" w:hAnsiTheme="minorHAnsi" w:cs="Calibri"/>
          <w:color w:val="auto"/>
        </w:rPr>
        <w:t xml:space="preserve"> o</w:t>
      </w:r>
      <w:r w:rsidR="001D644A" w:rsidRPr="001D644A">
        <w:rPr>
          <w:rFonts w:asciiTheme="minorHAnsi" w:hAnsiTheme="minorHAnsi" w:cs="Calibri"/>
          <w:color w:val="auto"/>
        </w:rPr>
        <w:t xml:space="preserve"> </w:t>
      </w:r>
      <w:r w:rsidR="001D644A" w:rsidRPr="001D644A">
        <w:rPr>
          <w:rFonts w:asciiTheme="minorHAnsi" w:hAnsiTheme="minorHAnsi"/>
        </w:rPr>
        <w:t xml:space="preserve">mapa de </w:t>
      </w:r>
      <w:r w:rsidR="0063694E">
        <w:rPr>
          <w:rFonts w:asciiTheme="minorHAnsi" w:hAnsiTheme="minorHAnsi"/>
        </w:rPr>
        <w:t>áreas estratégicas</w:t>
      </w:r>
      <w:r w:rsidR="001D644A" w:rsidRPr="001D644A">
        <w:rPr>
          <w:rFonts w:asciiTheme="minorHAnsi" w:hAnsiTheme="minorHAnsi"/>
        </w:rPr>
        <w:t xml:space="preserve"> </w:t>
      </w:r>
      <w:r w:rsidR="001D644A" w:rsidRPr="001D644A">
        <w:rPr>
          <w:rFonts w:asciiTheme="minorHAnsi" w:hAnsiTheme="minorHAnsi" w:cs="Calibri"/>
          <w:color w:val="auto"/>
        </w:rPr>
        <w:t xml:space="preserve">da </w:t>
      </w:r>
      <w:r w:rsidR="00201CBB" w:rsidRPr="001D644A">
        <w:rPr>
          <w:rFonts w:asciiTheme="minorHAnsi" w:hAnsiTheme="minorHAnsi" w:cs="Calibri"/>
          <w:color w:val="auto"/>
        </w:rPr>
        <w:t xml:space="preserve">Emenda </w:t>
      </w:r>
      <w:r w:rsidR="001D644A" w:rsidRPr="001D644A">
        <w:rPr>
          <w:rFonts w:asciiTheme="minorHAnsi" w:hAnsiTheme="minorHAnsi" w:cs="Calibri"/>
          <w:color w:val="auto"/>
        </w:rPr>
        <w:t>5</w:t>
      </w:r>
      <w:r w:rsidR="0063694E">
        <w:rPr>
          <w:rFonts w:asciiTheme="minorHAnsi" w:hAnsiTheme="minorHAnsi" w:cs="Calibri"/>
          <w:color w:val="auto"/>
        </w:rPr>
        <w:t>7</w:t>
      </w:r>
      <w:r w:rsidR="00201CBB" w:rsidRPr="001D644A">
        <w:rPr>
          <w:rFonts w:asciiTheme="minorHAnsi" w:hAnsiTheme="minorHAnsi" w:cs="Calibri"/>
          <w:color w:val="auto"/>
        </w:rPr>
        <w:t xml:space="preserve"> ao</w:t>
      </w:r>
      <w:r w:rsidR="000368DD" w:rsidRPr="001D644A">
        <w:rPr>
          <w:rFonts w:asciiTheme="minorHAnsi" w:hAnsiTheme="minorHAnsi" w:cs="Calibri"/>
          <w:color w:val="auto"/>
        </w:rPr>
        <w:t xml:space="preserve"> P</w:t>
      </w:r>
      <w:r w:rsidR="000368DD" w:rsidRPr="001D644A">
        <w:rPr>
          <w:rFonts w:asciiTheme="minorHAnsi" w:hAnsiTheme="minorHAnsi" w:cs="Calibri"/>
        </w:rPr>
        <w:t xml:space="preserve">rojeto de Lei </w:t>
      </w:r>
      <w:r w:rsidR="00D7536E" w:rsidRPr="001D644A">
        <w:rPr>
          <w:rFonts w:asciiTheme="minorHAnsi" w:hAnsiTheme="minorHAnsi" w:cs="Calibri"/>
        </w:rPr>
        <w:t>185</w:t>
      </w:r>
      <w:r w:rsidR="000368DD" w:rsidRPr="001D644A">
        <w:rPr>
          <w:rFonts w:asciiTheme="minorHAnsi" w:hAnsiTheme="minorHAnsi" w:cs="Calibri"/>
        </w:rPr>
        <w:t>/202</w:t>
      </w:r>
      <w:r w:rsidR="00D7536E" w:rsidRPr="001D644A">
        <w:rPr>
          <w:rFonts w:asciiTheme="minorHAnsi" w:hAnsiTheme="minorHAnsi" w:cs="Calibri"/>
        </w:rPr>
        <w:t>2</w:t>
      </w:r>
      <w:r w:rsidR="000368DD" w:rsidRPr="001D644A">
        <w:rPr>
          <w:rFonts w:asciiTheme="minorHAnsi" w:hAnsiTheme="minorHAnsi" w:cs="Calibri"/>
        </w:rPr>
        <w:t xml:space="preserve">, que </w:t>
      </w:r>
      <w:r w:rsidR="000368DD" w:rsidRPr="001D644A">
        <w:rPr>
          <w:rFonts w:asciiTheme="minorHAnsi" w:hAnsiTheme="minorHAnsi" w:cs="Calibri"/>
          <w:i/>
        </w:rPr>
        <w:t>“</w:t>
      </w:r>
      <w:r w:rsidR="00D7536E" w:rsidRPr="001D644A">
        <w:rPr>
          <w:rFonts w:asciiTheme="minorHAnsi" w:hAnsiTheme="minorHAnsi" w:cs="Calibri"/>
          <w:i/>
        </w:rPr>
        <w:t>Institui o Plano Diretor Municipal de Valinhos e dá outras providências”</w:t>
      </w:r>
      <w:r w:rsidR="00473A76" w:rsidRPr="001D644A">
        <w:rPr>
          <w:rFonts w:asciiTheme="minorHAnsi" w:hAnsiTheme="minorHAnsi" w:cs="Calibri"/>
          <w:i/>
        </w:rPr>
        <w:t>,</w:t>
      </w:r>
      <w:r w:rsidR="00B33EC1" w:rsidRPr="001D644A">
        <w:rPr>
          <w:rFonts w:asciiTheme="minorHAnsi" w:hAnsiTheme="minorHAnsi" w:cs="Calibri"/>
          <w:i/>
        </w:rPr>
        <w:t xml:space="preserve"> </w:t>
      </w:r>
      <w:r w:rsidR="00473A76" w:rsidRPr="001D644A">
        <w:rPr>
          <w:rFonts w:asciiTheme="minorHAnsi" w:hAnsiTheme="minorHAnsi" w:cs="Calibri"/>
        </w:rPr>
        <w:t>nos seguintes termos:</w:t>
      </w:r>
    </w:p>
    <w:tbl>
      <w:tblPr>
        <w:tblStyle w:val="Tabelacomgrade"/>
        <w:tblW w:w="8613" w:type="dxa"/>
        <w:tblLook w:val="04A0" w:firstRow="1" w:lastRow="0" w:firstColumn="1" w:lastColumn="0" w:noHBand="0" w:noVBand="1"/>
      </w:tblPr>
      <w:tblGrid>
        <w:gridCol w:w="3936"/>
        <w:gridCol w:w="4677"/>
      </w:tblGrid>
      <w:tr w:rsidR="00F97390" w:rsidRPr="001D644A" w:rsidTr="00F97390">
        <w:tc>
          <w:tcPr>
            <w:tcW w:w="3936" w:type="dxa"/>
          </w:tcPr>
          <w:p w:rsidR="00F97390" w:rsidRPr="001D644A" w:rsidRDefault="00F97390" w:rsidP="00E75131">
            <w:pPr>
              <w:pStyle w:val="Default"/>
              <w:tabs>
                <w:tab w:val="left" w:pos="2055"/>
              </w:tabs>
              <w:spacing w:line="276" w:lineRule="auto"/>
              <w:jc w:val="center"/>
              <w:rPr>
                <w:rFonts w:asciiTheme="minorHAnsi" w:eastAsia="Times New Roman" w:hAnsiTheme="minorHAnsi" w:cs="Calibri"/>
                <w:b/>
                <w:i/>
                <w:color w:val="auto"/>
                <w:sz w:val="22"/>
                <w:szCs w:val="22"/>
              </w:rPr>
            </w:pPr>
            <w:r w:rsidRPr="001D644A">
              <w:rPr>
                <w:rFonts w:asciiTheme="minorHAnsi" w:eastAsia="Times New Roman" w:hAnsiTheme="minorHAnsi" w:cs="Calibri"/>
                <w:b/>
                <w:i/>
                <w:color w:val="auto"/>
                <w:sz w:val="22"/>
                <w:szCs w:val="22"/>
              </w:rPr>
              <w:t>Emenda nº 5</w:t>
            </w:r>
            <w:r w:rsidR="00E75131">
              <w:rPr>
                <w:rFonts w:asciiTheme="minorHAnsi" w:eastAsia="Times New Roman" w:hAnsiTheme="minorHAnsi" w:cs="Calibri"/>
                <w:b/>
                <w:i/>
                <w:color w:val="auto"/>
                <w:sz w:val="22"/>
                <w:szCs w:val="22"/>
              </w:rPr>
              <w:t>7</w:t>
            </w:r>
            <w:bookmarkStart w:id="0" w:name="_GoBack"/>
            <w:bookmarkEnd w:id="0"/>
            <w:r w:rsidRPr="001D644A">
              <w:rPr>
                <w:rFonts w:asciiTheme="minorHAnsi" w:eastAsia="Times New Roman" w:hAnsiTheme="minorHAnsi" w:cs="Calibri"/>
                <w:b/>
                <w:i/>
                <w:color w:val="auto"/>
                <w:sz w:val="22"/>
                <w:szCs w:val="22"/>
              </w:rPr>
              <w:t xml:space="preserve"> ao PL 185/2022</w:t>
            </w:r>
          </w:p>
        </w:tc>
        <w:tc>
          <w:tcPr>
            <w:tcW w:w="4677" w:type="dxa"/>
          </w:tcPr>
          <w:p w:rsidR="00F97390" w:rsidRPr="001D644A" w:rsidRDefault="00F97390" w:rsidP="00473A76">
            <w:pPr>
              <w:pStyle w:val="Default"/>
              <w:tabs>
                <w:tab w:val="left" w:pos="2055"/>
              </w:tabs>
              <w:spacing w:line="276" w:lineRule="auto"/>
              <w:jc w:val="center"/>
              <w:rPr>
                <w:rFonts w:asciiTheme="minorHAnsi" w:eastAsia="Times New Roman" w:hAnsiTheme="minorHAnsi" w:cs="Calibri"/>
                <w:b/>
                <w:i/>
                <w:color w:val="auto"/>
                <w:sz w:val="22"/>
                <w:szCs w:val="22"/>
              </w:rPr>
            </w:pPr>
            <w:r w:rsidRPr="001D644A">
              <w:rPr>
                <w:rFonts w:asciiTheme="minorHAnsi" w:eastAsia="Times New Roman" w:hAnsiTheme="minorHAnsi" w:cs="Calibri"/>
                <w:b/>
                <w:i/>
                <w:color w:val="auto"/>
                <w:sz w:val="22"/>
                <w:szCs w:val="22"/>
              </w:rPr>
              <w:t>Subemenda 1 à Emenda nº 5</w:t>
            </w:r>
            <w:r>
              <w:rPr>
                <w:rFonts w:asciiTheme="minorHAnsi" w:eastAsia="Times New Roman" w:hAnsiTheme="minorHAnsi" w:cs="Calibri"/>
                <w:b/>
                <w:i/>
                <w:color w:val="auto"/>
                <w:sz w:val="22"/>
                <w:szCs w:val="22"/>
              </w:rPr>
              <w:t>7</w:t>
            </w:r>
            <w:r w:rsidRPr="001D644A">
              <w:rPr>
                <w:rFonts w:asciiTheme="minorHAnsi" w:eastAsia="Times New Roman" w:hAnsiTheme="minorHAnsi" w:cs="Calibri"/>
                <w:b/>
                <w:i/>
                <w:color w:val="auto"/>
                <w:sz w:val="22"/>
                <w:szCs w:val="22"/>
              </w:rPr>
              <w:t xml:space="preserve"> </w:t>
            </w:r>
          </w:p>
          <w:p w:rsidR="00F97390" w:rsidRPr="001D644A" w:rsidRDefault="00F97390" w:rsidP="00473A76">
            <w:pPr>
              <w:pStyle w:val="Default"/>
              <w:tabs>
                <w:tab w:val="left" w:pos="2055"/>
              </w:tabs>
              <w:spacing w:line="276" w:lineRule="auto"/>
              <w:jc w:val="center"/>
              <w:rPr>
                <w:rFonts w:asciiTheme="minorHAnsi" w:eastAsia="Times New Roman" w:hAnsiTheme="minorHAnsi" w:cs="Calibri"/>
                <w:b/>
                <w:i/>
                <w:color w:val="auto"/>
                <w:sz w:val="22"/>
                <w:szCs w:val="22"/>
              </w:rPr>
            </w:pPr>
            <w:r w:rsidRPr="001D644A">
              <w:rPr>
                <w:rFonts w:asciiTheme="minorHAnsi" w:eastAsia="Times New Roman" w:hAnsiTheme="minorHAnsi" w:cs="Calibri"/>
                <w:b/>
                <w:i/>
                <w:color w:val="auto"/>
                <w:sz w:val="22"/>
                <w:szCs w:val="22"/>
              </w:rPr>
              <w:t>ao PL 185/2022</w:t>
            </w:r>
          </w:p>
        </w:tc>
      </w:tr>
      <w:tr w:rsidR="00F97390" w:rsidRPr="001D644A" w:rsidTr="00F97390">
        <w:tc>
          <w:tcPr>
            <w:tcW w:w="3936" w:type="dxa"/>
          </w:tcPr>
          <w:p w:rsidR="00F97390" w:rsidRPr="001D644A" w:rsidRDefault="00F97390" w:rsidP="005974BC">
            <w:pPr>
              <w:pStyle w:val="Default"/>
              <w:ind w:left="176"/>
              <w:jc w:val="both"/>
              <w:rPr>
                <w:rFonts w:asciiTheme="minorHAnsi" w:hAnsiTheme="minorHAnsi" w:cs="Calibri"/>
                <w:b/>
                <w:i/>
                <w:sz w:val="22"/>
                <w:szCs w:val="22"/>
              </w:rPr>
            </w:pPr>
            <w:r w:rsidRPr="00F97390">
              <w:rPr>
                <w:rFonts w:asciiTheme="minorHAnsi" w:hAnsiTheme="minorHAnsi"/>
                <w:i/>
                <w:color w:val="auto"/>
                <w:sz w:val="22"/>
                <w:szCs w:val="22"/>
              </w:rPr>
              <w:t>Art. 1º Os Mapas de Estruturação Viária e de Áreas Estratégicas, Anexos II e III, respectivamente, do PL 185/2022, passam a ser de acordo com os apresentados nos Anexos.</w:t>
            </w:r>
          </w:p>
        </w:tc>
        <w:tc>
          <w:tcPr>
            <w:tcW w:w="4677" w:type="dxa"/>
          </w:tcPr>
          <w:p w:rsidR="00F97390" w:rsidRPr="001D644A" w:rsidRDefault="00F97390" w:rsidP="005974BC">
            <w:pPr>
              <w:pStyle w:val="Default"/>
              <w:ind w:left="176"/>
              <w:jc w:val="both"/>
              <w:rPr>
                <w:rFonts w:asciiTheme="minorHAnsi" w:hAnsiTheme="minorHAnsi" w:cs="Calibri"/>
                <w:b/>
                <w:i/>
                <w:sz w:val="22"/>
                <w:szCs w:val="22"/>
              </w:rPr>
            </w:pPr>
            <w:r w:rsidRPr="006F4A6E">
              <w:rPr>
                <w:rFonts w:asciiTheme="minorHAnsi" w:hAnsiTheme="minorHAnsi"/>
                <w:i/>
                <w:color w:val="auto"/>
                <w:sz w:val="22"/>
                <w:szCs w:val="22"/>
              </w:rPr>
              <w:t>Art</w:t>
            </w:r>
            <w:r>
              <w:rPr>
                <w:rFonts w:asciiTheme="minorHAnsi" w:hAnsiTheme="minorHAnsi"/>
                <w:i/>
                <w:color w:val="auto"/>
                <w:sz w:val="22"/>
                <w:szCs w:val="22"/>
              </w:rPr>
              <w:t>.</w:t>
            </w:r>
            <w:r w:rsidRPr="006F4A6E">
              <w:rPr>
                <w:rFonts w:asciiTheme="minorHAnsi" w:hAnsiTheme="minorHAnsi"/>
                <w:i/>
                <w:color w:val="auto"/>
                <w:sz w:val="22"/>
                <w:szCs w:val="22"/>
              </w:rPr>
              <w:t xml:space="preserve"> 1º. É alterado o Mapa de Áreas Estratégicas, Emenda 57, Anexo III do PL 185/2022, </w:t>
            </w:r>
            <w:r w:rsidRPr="006F4A6E">
              <w:rPr>
                <w:rFonts w:asciiTheme="minorHAnsi" w:hAnsiTheme="minorHAnsi"/>
                <w:b/>
                <w:i/>
                <w:color w:val="auto"/>
                <w:sz w:val="22"/>
                <w:szCs w:val="22"/>
              </w:rPr>
              <w:t>excluindo aos NUI-25 e NUI-27 da listagem da Seção IV - Áreas Estratégicas de Regularização Fundiária (AERF</w:t>
            </w:r>
            <w:r w:rsidRPr="006F4A6E">
              <w:rPr>
                <w:rFonts w:asciiTheme="minorHAnsi" w:hAnsiTheme="minorHAnsi"/>
                <w:i/>
                <w:color w:val="auto"/>
                <w:sz w:val="22"/>
                <w:szCs w:val="22"/>
              </w:rPr>
              <w:t>), conforme mapa anexo.</w:t>
            </w:r>
          </w:p>
        </w:tc>
      </w:tr>
    </w:tbl>
    <w:p w:rsidR="00473A76" w:rsidRPr="001D644A" w:rsidRDefault="00473A76" w:rsidP="00AA0675">
      <w:pPr>
        <w:pStyle w:val="Default"/>
        <w:spacing w:line="360" w:lineRule="auto"/>
        <w:ind w:firstLine="2268"/>
        <w:jc w:val="both"/>
        <w:rPr>
          <w:rFonts w:asciiTheme="minorHAnsi" w:hAnsiTheme="minorHAnsi" w:cs="Calibri"/>
          <w:i/>
          <w:sz w:val="12"/>
          <w:szCs w:val="12"/>
        </w:rPr>
      </w:pPr>
    </w:p>
    <w:p w:rsidR="001962C1" w:rsidRPr="005974BC" w:rsidRDefault="001962C1" w:rsidP="00AA0675">
      <w:pPr>
        <w:pStyle w:val="Default"/>
        <w:spacing w:line="360" w:lineRule="auto"/>
        <w:ind w:firstLine="2268"/>
        <w:jc w:val="both"/>
        <w:rPr>
          <w:rFonts w:asciiTheme="minorHAnsi" w:hAnsiTheme="minorHAnsi" w:cs="Calibri"/>
          <w:color w:val="auto"/>
        </w:rPr>
      </w:pPr>
      <w:r w:rsidRPr="005974BC">
        <w:rPr>
          <w:rFonts w:asciiTheme="minorHAnsi" w:hAnsiTheme="minorHAnsi" w:cs="Calibri"/>
          <w:color w:val="auto"/>
        </w:rPr>
        <w:t>Consta da justificativa do projeto:</w:t>
      </w:r>
    </w:p>
    <w:p w:rsidR="006F4A6E" w:rsidRPr="006F4A6E" w:rsidRDefault="006F4A6E" w:rsidP="006F4A6E">
      <w:pPr>
        <w:pStyle w:val="Default"/>
        <w:spacing w:after="240" w:line="300" w:lineRule="auto"/>
        <w:ind w:left="2835"/>
        <w:jc w:val="both"/>
        <w:rPr>
          <w:rFonts w:asciiTheme="minorHAnsi" w:hAnsiTheme="minorHAnsi"/>
          <w:i/>
          <w:color w:val="auto"/>
          <w:sz w:val="22"/>
          <w:szCs w:val="22"/>
        </w:rPr>
      </w:pPr>
      <w:r w:rsidRPr="006F4A6E">
        <w:rPr>
          <w:rFonts w:asciiTheme="minorHAnsi" w:hAnsiTheme="minorHAnsi"/>
          <w:i/>
          <w:color w:val="auto"/>
          <w:sz w:val="22"/>
          <w:szCs w:val="22"/>
        </w:rPr>
        <w:t>Esta alteração solicita a EXCLUSÃO do assentamento irregular denominado NUI-27: DOIS CORREGOS SOBRAPLAN da listagem da Seção IV - Áreas Estratégicas de Regularização Fundiária (AERF), dado o mesmo ser objeto de judicialização e inúmeros registros infracionais. Tal como, se faz necessária a supressão da listagem o NUI-25: COND AGRARIO NUCLEO CAPIVARI (AREA PUBLICA ESTADO SP), por ambas alterações serem veemente criticados pela população local, onde solicitam sua exclusão.</w:t>
      </w:r>
    </w:p>
    <w:p w:rsidR="006F4A6E" w:rsidRDefault="006F4A6E" w:rsidP="00AB20E0">
      <w:pPr>
        <w:pStyle w:val="Default"/>
        <w:spacing w:after="240" w:line="300" w:lineRule="auto"/>
        <w:ind w:firstLine="2268"/>
        <w:jc w:val="both"/>
        <w:rPr>
          <w:rFonts w:asciiTheme="minorHAnsi" w:hAnsiTheme="minorHAnsi" w:cs="Calibri"/>
          <w:i/>
        </w:rPr>
      </w:pPr>
    </w:p>
    <w:p w:rsidR="00A779B8" w:rsidRPr="001D644A" w:rsidRDefault="00A779B8" w:rsidP="00AB20E0">
      <w:pPr>
        <w:pStyle w:val="Default"/>
        <w:spacing w:after="240" w:line="300" w:lineRule="auto"/>
        <w:ind w:firstLine="2268"/>
        <w:jc w:val="both"/>
        <w:rPr>
          <w:rFonts w:asciiTheme="minorHAnsi" w:hAnsiTheme="minorHAnsi" w:cs="Calibri"/>
        </w:rPr>
      </w:pPr>
      <w:r w:rsidRPr="001D644A">
        <w:rPr>
          <w:rFonts w:asciiTheme="minorHAnsi" w:hAnsiTheme="minorHAnsi" w:cs="Calibri"/>
          <w:i/>
        </w:rPr>
        <w:lastRenderedPageBreak/>
        <w:t>Ab initio</w:t>
      </w:r>
      <w:r w:rsidRPr="001D644A">
        <w:rPr>
          <w:rFonts w:asciiTheme="minorHAnsi" w:hAnsiTheme="minorHAnsi" w:cs="Calibri"/>
        </w:rPr>
        <w:t>, cumpre destacar a competência regimental da Comissão de Justiça e Redação, estabelecida no artigo 38.</w:t>
      </w:r>
    </w:p>
    <w:p w:rsidR="00A779B8" w:rsidRPr="001D644A" w:rsidRDefault="00A779B8" w:rsidP="00AB20E0">
      <w:pPr>
        <w:spacing w:after="120" w:line="300" w:lineRule="auto"/>
        <w:ind w:firstLine="2268"/>
        <w:jc w:val="both"/>
        <w:rPr>
          <w:rFonts w:asciiTheme="minorHAnsi" w:hAnsiTheme="minorHAnsi" w:cs="Calibri"/>
        </w:rPr>
      </w:pPr>
      <w:r w:rsidRPr="001D644A">
        <w:rPr>
          <w:rFonts w:asciiTheme="minorHAnsi" w:hAnsiTheme="minorHAnsi" w:cs="Calibri"/>
          <w:szCs w:val="24"/>
        </w:rPr>
        <w:t xml:space="preserve">Outrossim, ressalta-se que a opinião jurídica exarada neste parecer </w:t>
      </w:r>
      <w:r w:rsidRPr="001D644A">
        <w:rPr>
          <w:rFonts w:asciiTheme="minorHAnsi" w:hAnsiTheme="minorHAnsi" w:cs="Calibri"/>
          <w:b/>
          <w:szCs w:val="24"/>
        </w:rPr>
        <w:t>não tem força vinculante,</w:t>
      </w:r>
      <w:r w:rsidR="00A36A7A" w:rsidRPr="001D644A">
        <w:rPr>
          <w:rFonts w:asciiTheme="minorHAnsi" w:hAnsiTheme="minorHAnsi" w:cs="Calibri"/>
          <w:szCs w:val="24"/>
        </w:rPr>
        <w:t xml:space="preserve"> sendo meramente opinativa</w:t>
      </w:r>
      <w:r w:rsidR="00DF22E1" w:rsidRPr="001D644A">
        <w:rPr>
          <w:rStyle w:val="Refdenotaderodap"/>
          <w:rFonts w:asciiTheme="minorHAnsi" w:hAnsiTheme="minorHAnsi" w:cs="Calibri"/>
        </w:rPr>
        <w:footnoteReference w:id="1"/>
      </w:r>
      <w:r w:rsidR="00DF22E1" w:rsidRPr="001D644A">
        <w:rPr>
          <w:rFonts w:asciiTheme="minorHAnsi" w:hAnsiTheme="minorHAnsi" w:cs="Calibri"/>
        </w:rPr>
        <w:t xml:space="preserve"> </w:t>
      </w:r>
      <w:r w:rsidRPr="001D644A">
        <w:rPr>
          <w:rFonts w:asciiTheme="minorHAnsi" w:hAnsiTheme="minorHAnsi" w:cs="Calibri"/>
          <w:szCs w:val="24"/>
        </w:rPr>
        <w:t xml:space="preserve"> não fundamentando decisão proferida pelas Comissões e/ou nobres vereadores.</w:t>
      </w:r>
      <w:r w:rsidR="00A36A7A" w:rsidRPr="001D644A">
        <w:rPr>
          <w:rFonts w:asciiTheme="minorHAnsi" w:hAnsiTheme="minorHAnsi" w:cs="Calibri"/>
          <w:szCs w:val="24"/>
        </w:rPr>
        <w:t xml:space="preserve"> </w:t>
      </w:r>
    </w:p>
    <w:p w:rsidR="00A779B8" w:rsidRPr="001D644A" w:rsidRDefault="00A779B8" w:rsidP="00AB20E0">
      <w:pPr>
        <w:tabs>
          <w:tab w:val="left" w:pos="1701"/>
        </w:tabs>
        <w:spacing w:after="240" w:line="300" w:lineRule="auto"/>
        <w:ind w:firstLine="2268"/>
        <w:jc w:val="both"/>
        <w:rPr>
          <w:rFonts w:asciiTheme="minorHAnsi" w:eastAsia="Calibri" w:hAnsiTheme="minorHAnsi" w:cs="Calibri"/>
          <w:color w:val="000000"/>
          <w:szCs w:val="24"/>
        </w:rPr>
      </w:pPr>
      <w:r w:rsidRPr="001D644A">
        <w:rPr>
          <w:rFonts w:asciiTheme="minorHAnsi" w:eastAsia="Calibri" w:hAnsiTheme="minorHAnsi" w:cs="Calibri"/>
          <w:color w:val="000000"/>
          <w:szCs w:val="24"/>
        </w:rPr>
        <w:t>Desta feita, considerando os aspectos jurídicos</w:t>
      </w:r>
      <w:r w:rsidR="001604ED" w:rsidRPr="001D644A">
        <w:rPr>
          <w:rFonts w:asciiTheme="minorHAnsi" w:eastAsia="Calibri" w:hAnsiTheme="minorHAnsi" w:cs="Calibri"/>
          <w:color w:val="000000"/>
          <w:szCs w:val="24"/>
        </w:rPr>
        <w:t xml:space="preserve"> passamos para</w:t>
      </w:r>
      <w:r w:rsidRPr="001D644A">
        <w:rPr>
          <w:rFonts w:asciiTheme="minorHAnsi" w:eastAsia="Calibri" w:hAnsiTheme="minorHAnsi" w:cs="Calibri"/>
          <w:color w:val="000000"/>
          <w:szCs w:val="24"/>
        </w:rPr>
        <w:t xml:space="preserve"> análise técnica do projeto em epígrafe solicitado.</w:t>
      </w:r>
    </w:p>
    <w:p w:rsidR="00A779B8" w:rsidRPr="001D644A" w:rsidRDefault="00A779B8" w:rsidP="00AB20E0">
      <w:pPr>
        <w:spacing w:before="240" w:after="240" w:line="300" w:lineRule="auto"/>
        <w:ind w:firstLine="2268"/>
        <w:jc w:val="both"/>
        <w:rPr>
          <w:rFonts w:asciiTheme="minorHAnsi" w:hAnsiTheme="minorHAnsi" w:cs="Calibri"/>
          <w:szCs w:val="24"/>
        </w:rPr>
      </w:pPr>
      <w:r w:rsidRPr="001D644A">
        <w:rPr>
          <w:rFonts w:asciiTheme="minorHAnsi" w:hAnsiTheme="minorHAnsi" w:cs="Calibri"/>
          <w:szCs w:val="24"/>
        </w:rPr>
        <w:t>No que tange aos projetos de emendas o Regimento Interno desta Casa de Leis assim estabelece:</w:t>
      </w:r>
    </w:p>
    <w:p w:rsidR="00A779B8" w:rsidRPr="001D644A" w:rsidRDefault="00A779B8" w:rsidP="00AB20E0">
      <w:pPr>
        <w:autoSpaceDE w:val="0"/>
        <w:autoSpaceDN w:val="0"/>
        <w:adjustRightInd w:val="0"/>
        <w:spacing w:after="0" w:line="240" w:lineRule="auto"/>
        <w:ind w:left="2835"/>
        <w:jc w:val="both"/>
        <w:rPr>
          <w:rFonts w:asciiTheme="minorHAnsi" w:hAnsiTheme="minorHAnsi" w:cs="Calibri"/>
          <w:i/>
          <w:color w:val="000000"/>
          <w:sz w:val="22"/>
          <w:szCs w:val="22"/>
          <w:u w:val="single"/>
        </w:rPr>
      </w:pPr>
      <w:r w:rsidRPr="001D644A">
        <w:rPr>
          <w:rFonts w:asciiTheme="minorHAnsi" w:hAnsiTheme="minorHAnsi" w:cs="Calibri"/>
          <w:i/>
          <w:color w:val="000000"/>
          <w:sz w:val="22"/>
          <w:szCs w:val="22"/>
        </w:rPr>
        <w:t xml:space="preserve">Art. 140. </w:t>
      </w:r>
      <w:r w:rsidRPr="001D644A">
        <w:rPr>
          <w:rFonts w:asciiTheme="minorHAnsi" w:hAnsiTheme="minorHAnsi" w:cs="Calibri"/>
          <w:b/>
          <w:i/>
          <w:color w:val="000000"/>
          <w:sz w:val="22"/>
          <w:szCs w:val="22"/>
          <w:u w:val="single"/>
        </w:rPr>
        <w:t>Emenda é a correção apresentada a um dispositivo de projeto de lei ou de resolução.</w:t>
      </w:r>
      <w:r w:rsidRPr="001D644A">
        <w:rPr>
          <w:rFonts w:asciiTheme="minorHAnsi" w:hAnsiTheme="minorHAnsi" w:cs="Calibri"/>
          <w:i/>
          <w:color w:val="000000"/>
          <w:sz w:val="22"/>
          <w:szCs w:val="22"/>
          <w:u w:val="single"/>
        </w:rPr>
        <w:t xml:space="preserve"> </w:t>
      </w:r>
    </w:p>
    <w:p w:rsidR="00A779B8" w:rsidRPr="001D644A" w:rsidRDefault="00A779B8"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1º. Emenda supressiva é a que manda suprimir, em parte ou no todo, o artigo do projeto. </w:t>
      </w:r>
    </w:p>
    <w:p w:rsidR="00A779B8" w:rsidRPr="001D644A" w:rsidRDefault="00A779B8"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2º. Emenda substitutiva é a que deve ser colocada no lugar do artigo. </w:t>
      </w:r>
    </w:p>
    <w:p w:rsidR="00A779B8" w:rsidRPr="001D644A" w:rsidRDefault="00A779B8" w:rsidP="00AB20E0">
      <w:pPr>
        <w:autoSpaceDE w:val="0"/>
        <w:autoSpaceDN w:val="0"/>
        <w:adjustRightInd w:val="0"/>
        <w:spacing w:after="0" w:line="240" w:lineRule="auto"/>
        <w:ind w:left="2835"/>
        <w:jc w:val="both"/>
        <w:rPr>
          <w:rFonts w:asciiTheme="minorHAnsi" w:hAnsiTheme="minorHAnsi" w:cs="Calibri"/>
          <w:b/>
          <w:i/>
          <w:color w:val="000000"/>
          <w:sz w:val="22"/>
          <w:szCs w:val="22"/>
        </w:rPr>
      </w:pPr>
      <w:r w:rsidRPr="001D644A">
        <w:rPr>
          <w:rFonts w:asciiTheme="minorHAnsi" w:hAnsiTheme="minorHAnsi" w:cs="Calibri"/>
          <w:i/>
          <w:color w:val="000000"/>
          <w:sz w:val="22"/>
          <w:szCs w:val="22"/>
        </w:rPr>
        <w:t>§ 3º. Emenda aditiva é a que deve ser acrescentada aos termos do artigo</w:t>
      </w:r>
      <w:r w:rsidRPr="001D644A">
        <w:rPr>
          <w:rFonts w:asciiTheme="minorHAnsi" w:hAnsiTheme="minorHAnsi" w:cs="Calibri"/>
          <w:b/>
          <w:i/>
          <w:color w:val="000000"/>
          <w:sz w:val="22"/>
          <w:szCs w:val="22"/>
        </w:rPr>
        <w:t xml:space="preserve">. </w:t>
      </w:r>
    </w:p>
    <w:p w:rsidR="00A779B8" w:rsidRPr="001D644A" w:rsidRDefault="00A779B8"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4º. Emenda modificativa é a que se refere apenas à redação do artigo, sem alterar a sua substância. </w:t>
      </w:r>
    </w:p>
    <w:p w:rsidR="00A779B8" w:rsidRPr="001D644A" w:rsidRDefault="00A779B8"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5º. A emenda apresentada à outra emenda denomina-se subemenda. </w:t>
      </w:r>
    </w:p>
    <w:p w:rsidR="00A779B8" w:rsidRPr="001D644A" w:rsidRDefault="00A779B8" w:rsidP="00AB20E0">
      <w:pPr>
        <w:autoSpaceDE w:val="0"/>
        <w:autoSpaceDN w:val="0"/>
        <w:adjustRightInd w:val="0"/>
        <w:spacing w:after="0" w:line="240" w:lineRule="auto"/>
        <w:ind w:left="2835"/>
        <w:jc w:val="both"/>
        <w:rPr>
          <w:rFonts w:asciiTheme="minorHAnsi" w:hAnsiTheme="minorHAnsi" w:cs="Calibri"/>
          <w:b/>
          <w:i/>
          <w:color w:val="000000"/>
          <w:sz w:val="22"/>
          <w:szCs w:val="22"/>
        </w:rPr>
      </w:pPr>
      <w:r w:rsidRPr="001D644A">
        <w:rPr>
          <w:rFonts w:asciiTheme="minorHAnsi" w:hAnsiTheme="minorHAnsi" w:cs="Calibri"/>
          <w:i/>
          <w:color w:val="000000"/>
          <w:sz w:val="22"/>
          <w:szCs w:val="22"/>
        </w:rPr>
        <w:t xml:space="preserve">Art. 141. </w:t>
      </w:r>
      <w:r w:rsidRPr="001D644A">
        <w:rPr>
          <w:rFonts w:asciiTheme="minorHAnsi" w:hAnsiTheme="minorHAnsi" w:cs="Calibri"/>
          <w:b/>
          <w:i/>
          <w:color w:val="000000"/>
          <w:sz w:val="22"/>
          <w:szCs w:val="22"/>
        </w:rPr>
        <w:t xml:space="preserve">Não serão aceitos substitutivos, emendas ou subemendas que não tenham relação direta ou imediata com a matéria da proposição principal. </w:t>
      </w:r>
    </w:p>
    <w:p w:rsidR="00A779B8" w:rsidRPr="001D644A" w:rsidRDefault="00A779B8"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1º. O autor do projeto que receber substitutivo ou emenda estranhos ao seu objetivo terá o direito de reclamar contra a sua admissão, competindo ao Presidente decidir sobre a reclamação. </w:t>
      </w:r>
    </w:p>
    <w:p w:rsidR="00A779B8" w:rsidRPr="001D644A" w:rsidRDefault="00A779B8"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2º. Da decisão do Presidente caberá recurso ao Plenário, a ser proposto pelo autor do projeto ou do substitutivo ou emenda.</w:t>
      </w:r>
    </w:p>
    <w:p w:rsidR="001F3E33" w:rsidRDefault="001F3E33" w:rsidP="001F3E33">
      <w:pPr>
        <w:autoSpaceDE w:val="0"/>
        <w:autoSpaceDN w:val="0"/>
        <w:adjustRightInd w:val="0"/>
        <w:spacing w:before="240" w:after="240" w:line="360" w:lineRule="auto"/>
        <w:ind w:firstLine="2268"/>
        <w:jc w:val="both"/>
        <w:rPr>
          <w:rFonts w:asciiTheme="minorHAnsi" w:hAnsiTheme="minorHAnsi" w:cs="Calibri"/>
        </w:rPr>
      </w:pPr>
      <w:r>
        <w:rPr>
          <w:rFonts w:asciiTheme="minorHAnsi" w:hAnsiTheme="minorHAnsi" w:cs="Calibri"/>
          <w:szCs w:val="24"/>
        </w:rPr>
        <w:lastRenderedPageBreak/>
        <w:t xml:space="preserve">Destarte, verifica-se que o projeto de subemenda atende aos dispositivos do Regimento Interno da Câmara, </w:t>
      </w:r>
      <w:r>
        <w:rPr>
          <w:rFonts w:asciiTheme="minorHAnsi" w:eastAsiaTheme="minorHAnsi" w:hAnsiTheme="minorHAnsi" w:cs="Calibri"/>
          <w:bCs/>
          <w:lang w:eastAsia="en-US"/>
        </w:rPr>
        <w:t>tratando-se de subemenda que tem relação direta com a matéria da proposição principal,</w:t>
      </w:r>
      <w:r>
        <w:rPr>
          <w:rFonts w:asciiTheme="minorHAnsi" w:hAnsiTheme="minorHAnsi" w:cs="Calibri"/>
        </w:rPr>
        <w:t xml:space="preserve"> não havendo óbice na sua tramitação.</w:t>
      </w:r>
    </w:p>
    <w:p w:rsidR="00E86B5F" w:rsidRPr="001D644A" w:rsidRDefault="00E86B5F" w:rsidP="00026560">
      <w:pPr>
        <w:autoSpaceDE w:val="0"/>
        <w:autoSpaceDN w:val="0"/>
        <w:adjustRightInd w:val="0"/>
        <w:spacing w:before="240" w:after="240" w:line="360" w:lineRule="auto"/>
        <w:ind w:firstLine="2268"/>
        <w:jc w:val="both"/>
        <w:rPr>
          <w:rFonts w:asciiTheme="minorHAnsi" w:eastAsiaTheme="minorHAnsi" w:hAnsiTheme="minorHAnsi" w:cs="Calibri"/>
          <w:bCs/>
          <w:szCs w:val="24"/>
          <w:lang w:eastAsia="en-US"/>
        </w:rPr>
      </w:pPr>
      <w:r w:rsidRPr="001D644A">
        <w:rPr>
          <w:rFonts w:asciiTheme="minorHAnsi" w:eastAsiaTheme="minorHAnsi" w:hAnsiTheme="minorHAnsi" w:cs="Calibri"/>
          <w:szCs w:val="24"/>
          <w:lang w:eastAsia="en-US"/>
        </w:rPr>
        <w:t xml:space="preserve">Noutro aspecto, cabe ressaltar que em projetos de iniciativa do Executivo resta pacifico na Suprema Corte a possibilidade de emendas parlamentares </w:t>
      </w:r>
      <w:r w:rsidRPr="001D644A">
        <w:rPr>
          <w:rFonts w:asciiTheme="minorHAnsi" w:eastAsiaTheme="minorHAnsi" w:hAnsiTheme="minorHAnsi" w:cs="Calibri"/>
          <w:b/>
          <w:szCs w:val="24"/>
          <w:u w:val="single"/>
          <w:lang w:eastAsia="en-US"/>
        </w:rPr>
        <w:t>desde que guardem pertinência temática com o projeto</w:t>
      </w:r>
      <w:r w:rsidRPr="001D644A">
        <w:rPr>
          <w:rFonts w:asciiTheme="minorHAnsi" w:eastAsiaTheme="minorHAnsi" w:hAnsiTheme="minorHAnsi" w:cs="Calibri"/>
          <w:b/>
          <w:szCs w:val="24"/>
          <w:lang w:eastAsia="en-US"/>
        </w:rPr>
        <w:t xml:space="preserve"> </w:t>
      </w:r>
      <w:r w:rsidRPr="001D644A">
        <w:rPr>
          <w:rFonts w:asciiTheme="minorHAnsi" w:eastAsiaTheme="minorHAnsi" w:hAnsiTheme="minorHAnsi" w:cs="Calibri"/>
          <w:b/>
          <w:szCs w:val="24"/>
          <w:u w:val="single"/>
          <w:lang w:eastAsia="en-US"/>
        </w:rPr>
        <w:t>e não importem em aumento de despesas</w:t>
      </w:r>
      <w:r w:rsidR="000368DD" w:rsidRPr="001D644A">
        <w:rPr>
          <w:rFonts w:asciiTheme="minorHAnsi" w:eastAsiaTheme="minorHAnsi" w:hAnsiTheme="minorHAnsi" w:cs="Calibri"/>
          <w:b/>
          <w:szCs w:val="24"/>
          <w:u w:val="single"/>
          <w:lang w:eastAsia="en-US"/>
        </w:rPr>
        <w:t xml:space="preserve">, </w:t>
      </w:r>
      <w:r w:rsidR="000368DD" w:rsidRPr="001D644A">
        <w:rPr>
          <w:rFonts w:asciiTheme="minorHAnsi" w:eastAsiaTheme="minorHAnsi" w:hAnsiTheme="minorHAnsi" w:cs="Calibri"/>
          <w:szCs w:val="24"/>
          <w:lang w:eastAsia="en-US"/>
        </w:rPr>
        <w:t>o que desde já se observa na emenda em análise</w:t>
      </w:r>
      <w:r w:rsidRPr="001D644A">
        <w:rPr>
          <w:rFonts w:asciiTheme="minorHAnsi" w:eastAsiaTheme="minorHAnsi" w:hAnsiTheme="minorHAnsi" w:cs="Calibri"/>
          <w:szCs w:val="24"/>
          <w:lang w:eastAsia="en-US"/>
        </w:rPr>
        <w:t>:</w:t>
      </w:r>
    </w:p>
    <w:p w:rsidR="00E86B5F" w:rsidRPr="001D644A" w:rsidRDefault="00E86B5F"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1D644A" w:rsidRDefault="00E86B5F"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 xml:space="preserve">1. </w:t>
      </w:r>
      <w:r w:rsidRPr="001D644A">
        <w:rPr>
          <w:rFonts w:asciiTheme="minorHAnsi" w:eastAsiaTheme="minorHAnsi" w:hAnsi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1D644A" w:rsidRDefault="00E86B5F"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1D644A" w:rsidRDefault="00E86B5F"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3. Ação direta de inconstitucionalidade julgada improcedente.</w:t>
      </w:r>
    </w:p>
    <w:p w:rsidR="00E86B5F" w:rsidRPr="001D644A" w:rsidRDefault="00E86B5F" w:rsidP="006643E0">
      <w:pPr>
        <w:shd w:val="clear" w:color="auto" w:fill="FFFFFF"/>
        <w:spacing w:after="0" w:line="240" w:lineRule="auto"/>
        <w:ind w:left="2835"/>
        <w:jc w:val="both"/>
        <w:rPr>
          <w:rFonts w:asciiTheme="minorHAnsi" w:hAnsiTheme="minorHAnsi" w:cs="Calibri"/>
          <w:i/>
        </w:rPr>
      </w:pPr>
      <w:r w:rsidRPr="001D644A">
        <w:rPr>
          <w:rFonts w:asciiTheme="minorHAnsi" w:hAnsiTheme="minorHAnsi" w:cs="Calibri"/>
          <w:i/>
        </w:rPr>
        <w:t>(STF. ADI 2583 RS. Plenário, 01.08.2011)</w:t>
      </w:r>
    </w:p>
    <w:p w:rsidR="00E86B5F" w:rsidRPr="001D644A" w:rsidRDefault="00E86B5F" w:rsidP="00E86B5F">
      <w:pPr>
        <w:shd w:val="clear" w:color="auto" w:fill="FFFFFF"/>
        <w:ind w:left="2268"/>
        <w:jc w:val="both"/>
        <w:rPr>
          <w:rFonts w:asciiTheme="minorHAnsi" w:hAnsiTheme="minorHAnsi" w:cs="Calibri"/>
          <w:i/>
          <w:sz w:val="12"/>
          <w:szCs w:val="12"/>
        </w:rPr>
      </w:pPr>
    </w:p>
    <w:p w:rsidR="00E86B5F" w:rsidRPr="001D644A" w:rsidRDefault="00E86B5F" w:rsidP="006643E0">
      <w:pPr>
        <w:spacing w:after="0" w:line="360" w:lineRule="auto"/>
        <w:ind w:firstLine="2268"/>
        <w:jc w:val="both"/>
        <w:rPr>
          <w:rFonts w:asciiTheme="minorHAnsi" w:hAnsiTheme="minorHAnsi" w:cs="Calibri"/>
          <w:szCs w:val="24"/>
        </w:rPr>
      </w:pPr>
      <w:r w:rsidRPr="001D644A">
        <w:rPr>
          <w:rFonts w:asciiTheme="minorHAnsi" w:hAnsiTheme="minorHAnsi" w:cs="Calibri"/>
          <w:szCs w:val="24"/>
        </w:rPr>
        <w:t>No mesmo sentido o Tribunal de Justiça do Estado de São Paulo:</w:t>
      </w:r>
    </w:p>
    <w:p w:rsidR="00E86B5F" w:rsidRPr="001D644A" w:rsidRDefault="00E86B5F" w:rsidP="006643E0">
      <w:pPr>
        <w:spacing w:after="0" w:line="240" w:lineRule="auto"/>
        <w:ind w:left="2835"/>
        <w:jc w:val="both"/>
        <w:rPr>
          <w:rFonts w:asciiTheme="minorHAnsi" w:hAnsiTheme="minorHAnsi" w:cs="Calibri"/>
          <w:i/>
          <w:sz w:val="22"/>
          <w:szCs w:val="22"/>
        </w:rPr>
      </w:pPr>
      <w:r w:rsidRPr="001D644A">
        <w:rPr>
          <w:rFonts w:asciiTheme="minorHAnsi" w:hAnsiTheme="minorHAnsi" w:cs="Calibri"/>
          <w:i/>
          <w:sz w:val="22"/>
          <w:szCs w:val="22"/>
        </w:rPr>
        <w:t xml:space="preserve">PARÂMETRO DE CONSTITUCIONALIDADE. Compatibilidade entre a norma impugnada e dispositivos da Lei Orgânica Municipal e do Regimento Interno da Câmara. Inadmissibilidade. Aplicação dos artigos 125, § 2º, da CF, e 74, </w:t>
      </w:r>
      <w:r w:rsidRPr="001D644A">
        <w:rPr>
          <w:rFonts w:asciiTheme="minorHAnsi" w:hAnsiTheme="minorHAnsi" w:cs="Calibri"/>
          <w:i/>
          <w:sz w:val="22"/>
          <w:szCs w:val="22"/>
        </w:rPr>
        <w:lastRenderedPageBreak/>
        <w:t xml:space="preserve">VI, da CE. Precedentes. Não conheço da ação quanto aos parâmetros apontados LOM e Regimento Interno da Câmara. </w:t>
      </w:r>
    </w:p>
    <w:p w:rsidR="00E86B5F" w:rsidRPr="001D644A" w:rsidRDefault="00E86B5F" w:rsidP="001153BC">
      <w:pPr>
        <w:spacing w:after="120" w:line="240" w:lineRule="auto"/>
        <w:ind w:left="2835"/>
        <w:jc w:val="both"/>
        <w:rPr>
          <w:rFonts w:asciiTheme="minorHAnsi" w:hAnsiTheme="minorHAnsi" w:cs="Calibri"/>
          <w:i/>
          <w:sz w:val="22"/>
          <w:szCs w:val="22"/>
        </w:rPr>
      </w:pPr>
      <w:r w:rsidRPr="001D644A">
        <w:rPr>
          <w:rFonts w:asciiTheme="minorHAnsi" w:hAnsiTheme="minorHAnsi" w:cs="Calibri"/>
          <w:i/>
          <w:sz w:val="22"/>
          <w:szCs w:val="22"/>
        </w:rPr>
        <w:t xml:space="preserve">AÇÃO DIRETA DE INCONSTITUCIONALIDADE Art. 1º da LC nº 2.064, de 04.03.20, do Município de Icém,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1D644A">
        <w:rPr>
          <w:rFonts w:asciiTheme="minorHAnsi" w:hAnsiTheme="minorHAnsi" w:cs="Calibri"/>
          <w:b/>
          <w:i/>
          <w:sz w:val="22"/>
          <w:szCs w:val="22"/>
        </w:rPr>
        <w:t>Emenda parlamentar. Possível a realização de emendas parlamentares em projetos de lei de iniciativa reservada ao Poder Executivo, desde que (i) mantenham pertinência temática com o objeto do projeto de lei e (ii) não acarretem aumento de despesa.</w:t>
      </w:r>
      <w:r w:rsidRPr="001D644A">
        <w:rPr>
          <w:rFonts w:asciiTheme="minorHAnsi" w:hAnsiTheme="minorHAns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são decorrência lógica do teor da emenda. Princípio da isonomia. Ausente a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Eg.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00026560" w:rsidRPr="001D644A">
        <w:rPr>
          <w:rFonts w:asciiTheme="minorHAnsi" w:hAnsiTheme="minorHAnsi" w:cs="Calibri"/>
          <w:i/>
          <w:sz w:val="22"/>
          <w:szCs w:val="22"/>
        </w:rPr>
        <w:t xml:space="preserve"> </w:t>
      </w:r>
      <w:r w:rsidRPr="001D644A">
        <w:rPr>
          <w:rFonts w:asciiTheme="minorHAnsi" w:hAnsiTheme="minorHAnsi" w:cs="Calibri"/>
          <w:i/>
          <w:sz w:val="22"/>
          <w:szCs w:val="22"/>
        </w:rPr>
        <w:t>(TJSP. Adin nº 2044212-77.2020.8.26.0000. Rel. Des. Evaristo dos Santos. Data de Julgamento: 12/08/2020)</w:t>
      </w:r>
    </w:p>
    <w:p w:rsidR="00F50ADA" w:rsidRPr="001D644A" w:rsidRDefault="00F50ADA" w:rsidP="00E86B5F">
      <w:pPr>
        <w:spacing w:after="240" w:line="240" w:lineRule="auto"/>
        <w:ind w:left="2268"/>
        <w:jc w:val="both"/>
        <w:rPr>
          <w:rFonts w:asciiTheme="minorHAnsi" w:hAnsiTheme="minorHAnsi" w:cs="Calibri"/>
          <w:i/>
          <w:sz w:val="4"/>
          <w:szCs w:val="4"/>
        </w:rPr>
      </w:pPr>
    </w:p>
    <w:p w:rsidR="001962C1" w:rsidRPr="001D644A" w:rsidRDefault="00074468" w:rsidP="00074468">
      <w:pPr>
        <w:pStyle w:val="Corpodetexto"/>
        <w:spacing w:after="240" w:line="360" w:lineRule="auto"/>
        <w:ind w:firstLine="2268"/>
        <w:jc w:val="both"/>
        <w:rPr>
          <w:rFonts w:asciiTheme="minorHAnsi" w:hAnsiTheme="minorHAnsi" w:cs="Calibri"/>
          <w:szCs w:val="24"/>
        </w:rPr>
      </w:pPr>
      <w:r w:rsidRPr="001D644A">
        <w:rPr>
          <w:rFonts w:asciiTheme="minorHAnsi" w:hAnsiTheme="minorHAnsi" w:cs="Calibri"/>
          <w:szCs w:val="24"/>
        </w:rPr>
        <w:t xml:space="preserve">Por fim, quanto ao aspecto gramatical e lógico </w:t>
      </w:r>
      <w:r w:rsidR="001962C1" w:rsidRPr="001D644A">
        <w:rPr>
          <w:rFonts w:asciiTheme="minorHAnsi" w:hAnsiTheme="minorHAnsi" w:cs="Calibri"/>
          <w:szCs w:val="24"/>
        </w:rPr>
        <w:t>o projeto atende aos</w:t>
      </w:r>
      <w:r w:rsidRPr="001D644A">
        <w:rPr>
          <w:rFonts w:asciiTheme="minorHAnsi" w:hAnsiTheme="minorHAnsi" w:cs="Calibri"/>
          <w:szCs w:val="24"/>
        </w:rPr>
        <w:t xml:space="preserve"> preceitos da Lei Complementar nº 95 de 1998 que dispõe sobre a elaboração, redação, alt</w:t>
      </w:r>
      <w:r w:rsidR="001962C1" w:rsidRPr="001D644A">
        <w:rPr>
          <w:rFonts w:asciiTheme="minorHAnsi" w:hAnsiTheme="minorHAnsi" w:cs="Calibri"/>
          <w:szCs w:val="24"/>
        </w:rPr>
        <w:t>eração e consolidação das leis.</w:t>
      </w:r>
    </w:p>
    <w:p w:rsidR="00F50ADA" w:rsidRPr="001D644A" w:rsidRDefault="00A56E27" w:rsidP="00074468">
      <w:pPr>
        <w:pStyle w:val="Corpodetexto"/>
        <w:spacing w:after="240" w:line="360" w:lineRule="auto"/>
        <w:ind w:firstLine="2268"/>
        <w:jc w:val="both"/>
        <w:rPr>
          <w:rFonts w:asciiTheme="minorHAnsi" w:hAnsiTheme="minorHAnsi" w:cs="Calibri"/>
          <w:bCs/>
          <w:snapToGrid w:val="0"/>
          <w:color w:val="000000"/>
          <w:szCs w:val="26"/>
        </w:rPr>
      </w:pPr>
      <w:r w:rsidRPr="001D644A">
        <w:rPr>
          <w:rFonts w:asciiTheme="minorHAnsi" w:hAnsiTheme="minorHAnsi" w:cs="Calibri"/>
          <w:szCs w:val="24"/>
        </w:rPr>
        <w:lastRenderedPageBreak/>
        <w:t xml:space="preserve">Ante o exposto, conclui-se pela constitucionalidade </w:t>
      </w:r>
      <w:r w:rsidR="001962C1" w:rsidRPr="001D644A">
        <w:rPr>
          <w:rFonts w:asciiTheme="minorHAnsi" w:hAnsiTheme="minorHAnsi" w:cs="Calibri"/>
          <w:szCs w:val="24"/>
        </w:rPr>
        <w:t xml:space="preserve">e legalidade </w:t>
      </w:r>
      <w:r w:rsidRPr="001D644A">
        <w:rPr>
          <w:rFonts w:asciiTheme="minorHAnsi" w:hAnsiTheme="minorHAnsi" w:cs="Calibri"/>
          <w:szCs w:val="24"/>
        </w:rPr>
        <w:t xml:space="preserve">do projeto de </w:t>
      </w:r>
      <w:r w:rsidR="00201CBB" w:rsidRPr="001D644A">
        <w:rPr>
          <w:rFonts w:asciiTheme="minorHAnsi" w:hAnsiTheme="minorHAnsi" w:cs="Calibri"/>
          <w:szCs w:val="24"/>
        </w:rPr>
        <w:t>sub</w:t>
      </w:r>
      <w:r w:rsidRPr="001D644A">
        <w:rPr>
          <w:rFonts w:asciiTheme="minorHAnsi" w:hAnsiTheme="minorHAnsi" w:cs="Calibri"/>
          <w:szCs w:val="24"/>
        </w:rPr>
        <w:t>emenda</w:t>
      </w:r>
      <w:r w:rsidR="001962C1" w:rsidRPr="001D644A">
        <w:rPr>
          <w:rFonts w:asciiTheme="minorHAnsi" w:hAnsiTheme="minorHAnsi" w:cs="Calibri"/>
          <w:szCs w:val="24"/>
        </w:rPr>
        <w:t>.</w:t>
      </w:r>
      <w:r w:rsidRPr="001D644A">
        <w:rPr>
          <w:rFonts w:asciiTheme="minorHAnsi" w:hAnsiTheme="minorHAnsi" w:cs="Calibri"/>
          <w:szCs w:val="24"/>
        </w:rPr>
        <w:t xml:space="preserve"> </w:t>
      </w:r>
      <w:r w:rsidR="00A779B8" w:rsidRPr="001D644A">
        <w:rPr>
          <w:rFonts w:asciiTheme="minorHAnsi" w:hAnsiTheme="minorHAnsi" w:cs="Calibri"/>
          <w:szCs w:val="24"/>
        </w:rPr>
        <w:t>Sobre o mérito, manifestar-se-á o Soberano Plenário.</w:t>
      </w:r>
    </w:p>
    <w:p w:rsidR="00F50ADA" w:rsidRPr="001D644A" w:rsidRDefault="00A779B8" w:rsidP="00026560">
      <w:pPr>
        <w:autoSpaceDE w:val="0"/>
        <w:autoSpaceDN w:val="0"/>
        <w:adjustRightInd w:val="0"/>
        <w:spacing w:before="120" w:after="120" w:line="360" w:lineRule="auto"/>
        <w:ind w:firstLine="2268"/>
        <w:jc w:val="both"/>
        <w:rPr>
          <w:rFonts w:asciiTheme="minorHAnsi" w:hAnsiTheme="minorHAnsi" w:cs="Calibri"/>
          <w:szCs w:val="24"/>
        </w:rPr>
      </w:pPr>
      <w:r w:rsidRPr="001D644A">
        <w:rPr>
          <w:rFonts w:asciiTheme="minorHAnsi" w:hAnsiTheme="minorHAnsi" w:cs="Calibri"/>
          <w:szCs w:val="24"/>
        </w:rPr>
        <w:t>É o parecer, a superior consideração.</w:t>
      </w:r>
    </w:p>
    <w:p w:rsidR="00A779B8" w:rsidRPr="007C788D" w:rsidRDefault="00A779B8" w:rsidP="00026560">
      <w:pPr>
        <w:autoSpaceDE w:val="0"/>
        <w:autoSpaceDN w:val="0"/>
        <w:adjustRightInd w:val="0"/>
        <w:spacing w:before="120" w:after="120" w:line="360" w:lineRule="auto"/>
        <w:ind w:firstLine="2268"/>
        <w:jc w:val="both"/>
        <w:rPr>
          <w:rFonts w:asciiTheme="minorHAnsi" w:hAnsiTheme="minorHAnsi" w:cs="Calibri"/>
          <w:szCs w:val="24"/>
        </w:rPr>
      </w:pPr>
      <w:r w:rsidRPr="001D644A">
        <w:rPr>
          <w:rFonts w:asciiTheme="minorHAnsi" w:hAnsiTheme="minorHAnsi" w:cs="Calibri"/>
          <w:szCs w:val="24"/>
        </w:rPr>
        <w:t xml:space="preserve">Procuradoria, </w:t>
      </w:r>
      <w:r w:rsidR="007C788D" w:rsidRPr="007C788D">
        <w:rPr>
          <w:rFonts w:asciiTheme="minorHAnsi" w:hAnsiTheme="minorHAnsi" w:cs="Calibri"/>
          <w:szCs w:val="24"/>
        </w:rPr>
        <w:t>29</w:t>
      </w:r>
      <w:r w:rsidRPr="007C788D">
        <w:rPr>
          <w:rFonts w:asciiTheme="minorHAnsi" w:hAnsiTheme="minorHAnsi" w:cs="Calibri"/>
          <w:szCs w:val="24"/>
        </w:rPr>
        <w:t xml:space="preserve"> de </w:t>
      </w:r>
      <w:r w:rsidR="00D7536E" w:rsidRPr="007C788D">
        <w:rPr>
          <w:rFonts w:asciiTheme="minorHAnsi" w:hAnsiTheme="minorHAnsi" w:cs="Calibri"/>
          <w:szCs w:val="24"/>
        </w:rPr>
        <w:t>novembro</w:t>
      </w:r>
      <w:r w:rsidRPr="007C788D">
        <w:rPr>
          <w:rFonts w:asciiTheme="minorHAnsi" w:hAnsiTheme="minorHAnsi" w:cs="Calibri"/>
          <w:szCs w:val="24"/>
        </w:rPr>
        <w:t xml:space="preserve"> de 202</w:t>
      </w:r>
      <w:r w:rsidR="000368DD" w:rsidRPr="007C788D">
        <w:rPr>
          <w:rFonts w:asciiTheme="minorHAnsi" w:hAnsiTheme="minorHAnsi" w:cs="Calibri"/>
          <w:szCs w:val="24"/>
        </w:rPr>
        <w:t>3</w:t>
      </w:r>
      <w:r w:rsidRPr="007C788D">
        <w:rPr>
          <w:rFonts w:asciiTheme="minorHAnsi" w:hAnsiTheme="minorHAnsi" w:cs="Calibri"/>
          <w:szCs w:val="24"/>
        </w:rPr>
        <w:t>.</w:t>
      </w:r>
    </w:p>
    <w:p w:rsidR="00766226" w:rsidRPr="001D644A" w:rsidRDefault="00766226" w:rsidP="00F50ADA">
      <w:pPr>
        <w:pStyle w:val="Corpodetexto"/>
        <w:spacing w:after="0" w:line="240" w:lineRule="auto"/>
        <w:jc w:val="center"/>
        <w:rPr>
          <w:rFonts w:asciiTheme="minorHAnsi" w:hAnsiTheme="minorHAnsi" w:cs="Calibri"/>
        </w:rPr>
      </w:pPr>
    </w:p>
    <w:p w:rsidR="00D7536E" w:rsidRPr="001D644A" w:rsidRDefault="00D7536E" w:rsidP="00D7536E">
      <w:pPr>
        <w:spacing w:after="0" w:line="360" w:lineRule="auto"/>
        <w:ind w:firstLine="1701"/>
        <w:jc w:val="both"/>
        <w:rPr>
          <w:rFonts w:asciiTheme="minorHAnsi" w:hAnsiTheme="minorHAnsi" w:cstheme="minorHAnsi"/>
          <w:szCs w:val="24"/>
        </w:rPr>
      </w:pPr>
    </w:p>
    <w:p w:rsidR="00D7536E" w:rsidRPr="001D644A" w:rsidRDefault="00D7536E" w:rsidP="00201CBB">
      <w:pPr>
        <w:tabs>
          <w:tab w:val="left" w:pos="2880"/>
        </w:tabs>
        <w:spacing w:after="0" w:line="240" w:lineRule="auto"/>
        <w:jc w:val="center"/>
        <w:rPr>
          <w:rFonts w:asciiTheme="minorHAnsi" w:hAnsiTheme="minorHAnsi" w:cstheme="minorHAnsi"/>
          <w:b/>
          <w:szCs w:val="24"/>
        </w:rPr>
      </w:pPr>
      <w:r w:rsidRPr="001D644A">
        <w:rPr>
          <w:rFonts w:asciiTheme="minorHAnsi" w:hAnsiTheme="minorHAnsi" w:cstheme="minorHAnsi"/>
          <w:b/>
          <w:szCs w:val="24"/>
        </w:rPr>
        <w:t>Rosemeire de Souza Cardoso Barbosa</w:t>
      </w:r>
    </w:p>
    <w:p w:rsidR="00D7536E" w:rsidRPr="001D644A" w:rsidRDefault="00D7536E" w:rsidP="00D7536E">
      <w:pPr>
        <w:tabs>
          <w:tab w:val="left" w:pos="2880"/>
        </w:tabs>
        <w:spacing w:after="0" w:line="240" w:lineRule="auto"/>
        <w:jc w:val="center"/>
        <w:rPr>
          <w:rFonts w:asciiTheme="minorHAnsi" w:hAnsiTheme="minorHAnsi" w:cstheme="minorHAnsi"/>
          <w:b/>
          <w:szCs w:val="24"/>
        </w:rPr>
      </w:pPr>
      <w:r w:rsidRPr="001D644A">
        <w:rPr>
          <w:rFonts w:asciiTheme="minorHAnsi" w:hAnsiTheme="minorHAnsi" w:cstheme="minorHAnsi"/>
          <w:b/>
          <w:szCs w:val="24"/>
        </w:rPr>
        <w:t xml:space="preserve">Procuradora – OAB/SP 308.298                               </w:t>
      </w:r>
    </w:p>
    <w:p w:rsidR="00D7536E" w:rsidRPr="001D644A" w:rsidRDefault="00D7536E" w:rsidP="00D7536E">
      <w:pPr>
        <w:pStyle w:val="Corpodetexto"/>
        <w:spacing w:after="0" w:line="240" w:lineRule="auto"/>
        <w:jc w:val="center"/>
        <w:rPr>
          <w:rFonts w:asciiTheme="minorHAnsi" w:hAnsiTheme="minorHAnsi" w:cs="Calibri"/>
        </w:rPr>
      </w:pPr>
      <w:r w:rsidRPr="001D644A">
        <w:rPr>
          <w:rFonts w:asciiTheme="minorHAnsi" w:hAnsiTheme="minorHAnsi" w:cstheme="minorHAnsi"/>
          <w:szCs w:val="24"/>
        </w:rPr>
        <w:t xml:space="preserve">Assinatura eletrônica                                                 </w:t>
      </w:r>
    </w:p>
    <w:sectPr w:rsidR="00D7536E" w:rsidRPr="001D644A" w:rsidSect="00A779B8">
      <w:headerReference w:type="default" r:id="rId9"/>
      <w:footerReference w:type="default" r:id="rId10"/>
      <w:pgSz w:w="11906" w:h="16838"/>
      <w:pgMar w:top="280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B4" w:rsidRDefault="00BD58B4">
      <w:pPr>
        <w:spacing w:after="0" w:line="240" w:lineRule="auto"/>
      </w:pPr>
      <w:r>
        <w:separator/>
      </w:r>
    </w:p>
  </w:endnote>
  <w:endnote w:type="continuationSeparator" w:id="0">
    <w:p w:rsidR="00BD58B4" w:rsidRDefault="00BD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025704"/>
      <w:docPartObj>
        <w:docPartGallery w:val="Page Numbers (Bottom of Page)"/>
        <w:docPartUnique/>
      </w:docPartObj>
    </w:sdtPr>
    <w:sdtEndPr/>
    <w:sdtContent>
      <w:sdt>
        <w:sdtPr>
          <w:id w:val="-1852948018"/>
          <w:docPartObj>
            <w:docPartGallery w:val="Page Numbers (Top of Page)"/>
            <w:docPartUnique/>
          </w:docPartObj>
        </w:sdtPr>
        <w:sdtEndPr/>
        <w:sdtContent>
          <w:p w:rsidR="00BD58B4" w:rsidRDefault="00BD58B4" w:rsidP="00E86B5F">
            <w:pPr>
              <w:pStyle w:val="Rodap"/>
              <w:jc w:val="right"/>
              <w:rPr>
                <w:sz w:val="18"/>
                <w:lang w:val="pt-PT"/>
              </w:rPr>
            </w:pPr>
          </w:p>
          <w:p w:rsidR="00BD58B4" w:rsidRDefault="00BD58B4" w:rsidP="00E86B5F">
            <w:pPr>
              <w:pStyle w:val="Rodap"/>
              <w:ind w:right="-313"/>
              <w:jc w:val="center"/>
              <w:rPr>
                <w:sz w:val="18"/>
                <w:lang w:val="pt-PT"/>
              </w:rPr>
            </w:pPr>
            <w:r>
              <w:rPr>
                <w:sz w:val="18"/>
                <w:lang w:val="pt-PT"/>
              </w:rPr>
              <w:t>________________________________________________________________________________________</w:t>
            </w:r>
          </w:p>
          <w:p w:rsidR="00BD58B4" w:rsidRDefault="00BD58B4" w:rsidP="00E86B5F">
            <w:pPr>
              <w:pStyle w:val="Rodap"/>
              <w:ind w:right="-313"/>
              <w:rPr>
                <w:sz w:val="18"/>
                <w:lang w:val="pt-PT"/>
              </w:rPr>
            </w:pPr>
            <w:r>
              <w:rPr>
                <w:sz w:val="18"/>
                <w:lang w:val="pt-PT"/>
              </w:rPr>
              <w:t xml:space="preserve">          Rua Antônio Schiavinato, 59, Residencial São Luis - Tel: (19) 3829.5310 - CEP: 13270-470</w:t>
            </w:r>
          </w:p>
          <w:p w:rsidR="00BD58B4" w:rsidRDefault="00BD58B4" w:rsidP="00E86B5F">
            <w:pPr>
              <w:pStyle w:val="Rodap"/>
              <w:ind w:left="-1985" w:right="-313"/>
              <w:jc w:val="center"/>
            </w:pPr>
            <w:r>
              <w:rPr>
                <w:sz w:val="18"/>
                <w:lang w:val="pt-PT"/>
              </w:rPr>
              <w:t xml:space="preserve">    site: www.camaravalinhos.sp.gov.br   </w:t>
            </w:r>
          </w:p>
          <w:p w:rsidR="00BD58B4" w:rsidRDefault="00BD58B4" w:rsidP="00E86B5F">
            <w:pPr>
              <w:pStyle w:val="Rodap"/>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E75131">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E75131">
              <w:rPr>
                <w:b/>
                <w:bCs/>
                <w:noProof/>
                <w:sz w:val="18"/>
                <w:szCs w:val="18"/>
              </w:rPr>
              <w:t>5</w:t>
            </w:r>
            <w:r w:rsidRPr="00F53BEF">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B4" w:rsidRDefault="00BD58B4">
      <w:pPr>
        <w:spacing w:after="0" w:line="240" w:lineRule="auto"/>
      </w:pPr>
      <w:r>
        <w:separator/>
      </w:r>
    </w:p>
  </w:footnote>
  <w:footnote w:type="continuationSeparator" w:id="0">
    <w:p w:rsidR="00BD58B4" w:rsidRDefault="00BD58B4">
      <w:pPr>
        <w:spacing w:after="0" w:line="240" w:lineRule="auto"/>
      </w:pPr>
      <w:r>
        <w:continuationSeparator/>
      </w:r>
    </w:p>
  </w:footnote>
  <w:footnote w:id="1">
    <w:p w:rsidR="00DF22E1" w:rsidRDefault="00DF22E1" w:rsidP="00DF22E1">
      <w:pPr>
        <w:pStyle w:val="Default"/>
        <w:jc w:val="both"/>
      </w:pPr>
      <w:r>
        <w:rPr>
          <w:rStyle w:val="Refdenotaderodap"/>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8B4" w:rsidRDefault="00BD58B4" w:rsidP="00E86B5F">
    <w:pPr>
      <w:pStyle w:val="Cabealho"/>
      <w:jc w:val="center"/>
      <w:rPr>
        <w:b/>
        <w:sz w:val="26"/>
        <w:lang w:val="pt-PT"/>
      </w:rPr>
    </w:pPr>
  </w:p>
  <w:p w:rsidR="00BD58B4" w:rsidRDefault="00BD58B4" w:rsidP="00E86B5F">
    <w:pPr>
      <w:pStyle w:val="Cabealho"/>
      <w:jc w:val="center"/>
      <w:rPr>
        <w:b/>
        <w:sz w:val="26"/>
        <w:lang w:val="pt-PT"/>
      </w:rPr>
    </w:pPr>
    <w:r>
      <w:rPr>
        <w:noProof/>
        <w:sz w:val="20"/>
      </w:rPr>
      <mc:AlternateContent>
        <mc:Choice Requires="wps">
          <w:drawing>
            <wp:anchor distT="0" distB="0" distL="114300" distR="114300" simplePos="0" relativeHeight="251659264" behindDoc="0" locked="0" layoutInCell="1" allowOverlap="1" wp14:anchorId="60C890B8" wp14:editId="0964D7BC">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94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8B4" w:rsidRDefault="00BD58B4" w:rsidP="00E86B5F">
                          <w:r>
                            <w:rPr>
                              <w:noProof/>
                            </w:rPr>
                            <w:drawing>
                              <wp:inline distT="0" distB="0" distL="0" distR="0" wp14:anchorId="59B9E6E9" wp14:editId="4BDC50FC">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
                                        <pic:cNvPicPr>
                                          <a:picLocks noChangeAspect="1" noChangeArrowheads="1"/>
                                        </pic:cNvPicPr>
                                      </pic:nvPicPr>
                                      <pic:blipFill>
                                        <a:blip r:embed="rId1"/>
                                        <a:srcRect/>
                                        <a:stretch>
                                          <a:fillRect/>
                                        </a:stretch>
                                      </pic:blipFill>
                                      <pic:spPr bwMode="auto">
                                        <a:xfrm>
                                          <a:off x="0" y="0"/>
                                          <a:ext cx="876300" cy="850900"/>
                                        </a:xfrm>
                                        <a:prstGeom prst="rect">
                                          <a:avLst/>
                                        </a:prstGeom>
                                        <a:noFill/>
                                        <a:ln w="9525">
                                          <a:noFill/>
                                          <a:miter lim="800000"/>
                                          <a:headEnd/>
                                          <a:tailEnd/>
                                        </a:ln>
                                      </pic:spPr>
                                    </pic:pic>
                                  </a:graphicData>
                                </a:graphic>
                              </wp:inline>
                            </w:drawing>
                          </w:r>
                          <w:r>
                            <w:object w:dxaOrig="138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69pt" o:ole="">
                                <v:imagedata r:id="rId2" o:title=""/>
                              </v:shape>
                              <o:OLEObject Type="Embed" ProgID="MSPhotoEd.3" ShapeID="_x0000_i1026" DrawAspect="Content" ObjectID="_1762866897" r:id="rId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5pt;margin-top:3.25pt;width:83.3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C1ggIAAA8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" stroked="f">
              <v:textbox>
                <w:txbxContent>
                  <w:p w:rsidR="00BD58B4" w:rsidRDefault="00BD58B4" w:rsidP="00E86B5F">
                    <w:r>
                      <w:rPr>
                        <w:noProof/>
                      </w:rPr>
                      <w:drawing>
                        <wp:inline distT="0" distB="0" distL="0" distR="0" wp14:anchorId="59B9E6E9" wp14:editId="4BDC50FC">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
                                  <pic:cNvPicPr>
                                    <a:picLocks noChangeAspect="1" noChangeArrowheads="1"/>
                                  </pic:cNvPicPr>
                                </pic:nvPicPr>
                                <pic:blipFill>
                                  <a:blip r:embed="rId4"/>
                                  <a:srcRect/>
                                  <a:stretch>
                                    <a:fillRect/>
                                  </a:stretch>
                                </pic:blipFill>
                                <pic:spPr bwMode="auto">
                                  <a:xfrm>
                                    <a:off x="0" y="0"/>
                                    <a:ext cx="876300" cy="850900"/>
                                  </a:xfrm>
                                  <a:prstGeom prst="rect">
                                    <a:avLst/>
                                  </a:prstGeom>
                                  <a:noFill/>
                                  <a:ln w="9525">
                                    <a:noFill/>
                                    <a:miter lim="800000"/>
                                    <a:headEnd/>
                                    <a:tailEnd/>
                                  </a:ln>
                                </pic:spPr>
                              </pic:pic>
                            </a:graphicData>
                          </a:graphic>
                        </wp:inline>
                      </w:drawing>
                    </w:r>
                    <w:r>
                      <w:object w:dxaOrig="1380" w:dyaOrig="1350">
                        <v:shape id="_x0000_i1026" type="#_x0000_t75" style="width:69pt;height:69pt" o:ole="">
                          <v:imagedata r:id="rId5" o:title=""/>
                        </v:shape>
                        <o:OLEObject Type="Embed" ProgID="MSPhotoEd.3" ShapeID="_x0000_i1026" DrawAspect="Content" ObjectID="_1762694601" r:id="rId6"/>
                      </w:object>
                    </w:r>
                  </w:p>
                </w:txbxContent>
              </v:textbox>
              <w10:wrap type="square"/>
            </v:shape>
          </w:pict>
        </mc:Fallback>
      </mc:AlternateContent>
    </w:r>
  </w:p>
  <w:p w:rsidR="00BD58B4" w:rsidRDefault="00BD58B4" w:rsidP="00E86B5F">
    <w:pPr>
      <w:pStyle w:val="Cabealho"/>
      <w:jc w:val="center"/>
      <w:rPr>
        <w:b/>
        <w:sz w:val="28"/>
        <w:lang w:val="pt-PT"/>
      </w:rPr>
    </w:pPr>
    <w:r>
      <w:rPr>
        <w:b/>
        <w:sz w:val="28"/>
        <w:lang w:val="pt-PT"/>
      </w:rPr>
      <w:t>CÂMARA MUNICIPAL DE VALINHOS</w:t>
    </w:r>
  </w:p>
  <w:p w:rsidR="00BD58B4" w:rsidRDefault="00BD58B4" w:rsidP="00E86B5F">
    <w:pPr>
      <w:pStyle w:val="Cabealho"/>
      <w:jc w:val="center"/>
    </w:pPr>
    <w:r>
      <w:rPr>
        <w:sz w:val="20"/>
        <w:lang w:val="pt-PT"/>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A4011"/>
    <w:multiLevelType w:val="hybridMultilevel"/>
    <w:tmpl w:val="3D1A672A"/>
    <w:lvl w:ilvl="0" w:tplc="13DE86DC">
      <w:start w:val="1"/>
      <w:numFmt w:val="upp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B8"/>
    <w:rsid w:val="00026560"/>
    <w:rsid w:val="000368DD"/>
    <w:rsid w:val="00074468"/>
    <w:rsid w:val="000D5368"/>
    <w:rsid w:val="000E2AF4"/>
    <w:rsid w:val="000F259D"/>
    <w:rsid w:val="00112DFC"/>
    <w:rsid w:val="001153BC"/>
    <w:rsid w:val="001604ED"/>
    <w:rsid w:val="001672D5"/>
    <w:rsid w:val="001962C1"/>
    <w:rsid w:val="001D644A"/>
    <w:rsid w:val="001F3E33"/>
    <w:rsid w:val="00200A82"/>
    <w:rsid w:val="00201CBB"/>
    <w:rsid w:val="0020224C"/>
    <w:rsid w:val="0023693B"/>
    <w:rsid w:val="00336C41"/>
    <w:rsid w:val="003A2F4F"/>
    <w:rsid w:val="003A49AF"/>
    <w:rsid w:val="00435E91"/>
    <w:rsid w:val="00473A76"/>
    <w:rsid w:val="005513B1"/>
    <w:rsid w:val="005723D1"/>
    <w:rsid w:val="005974BC"/>
    <w:rsid w:val="005C5CFD"/>
    <w:rsid w:val="005E2C70"/>
    <w:rsid w:val="005E6247"/>
    <w:rsid w:val="00621D83"/>
    <w:rsid w:val="00636403"/>
    <w:rsid w:val="0063694E"/>
    <w:rsid w:val="00646BC4"/>
    <w:rsid w:val="006643E0"/>
    <w:rsid w:val="006F2E14"/>
    <w:rsid w:val="006F4A6E"/>
    <w:rsid w:val="0071039A"/>
    <w:rsid w:val="00766226"/>
    <w:rsid w:val="007824E8"/>
    <w:rsid w:val="007C788D"/>
    <w:rsid w:val="007F660C"/>
    <w:rsid w:val="00810ED4"/>
    <w:rsid w:val="0089277F"/>
    <w:rsid w:val="008C4EFD"/>
    <w:rsid w:val="008E128F"/>
    <w:rsid w:val="009550F0"/>
    <w:rsid w:val="009A07D0"/>
    <w:rsid w:val="00A36A7A"/>
    <w:rsid w:val="00A56E27"/>
    <w:rsid w:val="00A779B8"/>
    <w:rsid w:val="00A87ED2"/>
    <w:rsid w:val="00A94458"/>
    <w:rsid w:val="00AA0675"/>
    <w:rsid w:val="00AB20E0"/>
    <w:rsid w:val="00AD055D"/>
    <w:rsid w:val="00B33EC1"/>
    <w:rsid w:val="00B554F6"/>
    <w:rsid w:val="00B62E93"/>
    <w:rsid w:val="00B80A2F"/>
    <w:rsid w:val="00BC5BCF"/>
    <w:rsid w:val="00BD58B4"/>
    <w:rsid w:val="00C669D7"/>
    <w:rsid w:val="00CA0155"/>
    <w:rsid w:val="00D34B79"/>
    <w:rsid w:val="00D6369B"/>
    <w:rsid w:val="00D7536E"/>
    <w:rsid w:val="00D75ECD"/>
    <w:rsid w:val="00DF22E1"/>
    <w:rsid w:val="00DF632C"/>
    <w:rsid w:val="00E75131"/>
    <w:rsid w:val="00E86B5F"/>
    <w:rsid w:val="00F33C89"/>
    <w:rsid w:val="00F47F95"/>
    <w:rsid w:val="00F50ADA"/>
    <w:rsid w:val="00F97390"/>
    <w:rsid w:val="00FA1470"/>
    <w:rsid w:val="00FC14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Ttulo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779B8"/>
    <w:pPr>
      <w:spacing w:after="120"/>
    </w:pPr>
  </w:style>
  <w:style w:type="character" w:customStyle="1" w:styleId="CorpodetextoChar">
    <w:name w:val="Corpo de texto Char"/>
    <w:basedOn w:val="Fontepargpadro"/>
    <w:link w:val="Corpodetexto"/>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abealho">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Fontepargpadro"/>
    <w:link w:val="Cabealho"/>
    <w:rsid w:val="00A779B8"/>
    <w:rPr>
      <w:rFonts w:ascii="Arial" w:eastAsia="Times New Roman" w:hAnsi="Arial" w:cs="Times New Roman"/>
      <w:sz w:val="24"/>
      <w:szCs w:val="20"/>
      <w:lang w:eastAsia="pt-BR"/>
    </w:rPr>
  </w:style>
  <w:style w:type="paragraph" w:styleId="Rodap">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Fontepargpadro"/>
    <w:link w:val="Rodap"/>
    <w:rsid w:val="00A779B8"/>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79B8"/>
    <w:rPr>
      <w:rFonts w:ascii="Tahoma" w:eastAsia="Times New Roman" w:hAnsi="Tahoma" w:cs="Tahoma"/>
      <w:sz w:val="16"/>
      <w:szCs w:val="16"/>
      <w:lang w:eastAsia="pt-BR"/>
    </w:rPr>
  </w:style>
  <w:style w:type="table" w:styleId="Tabelacomgrade">
    <w:name w:val="Table Grid"/>
    <w:basedOn w:val="Tabelanormal"/>
    <w:uiPriority w:val="59"/>
    <w:rsid w:val="001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Textodenotaderodap">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A36A7A"/>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A36A7A"/>
    <w:rPr>
      <w:vertAlign w:val="superscript"/>
    </w:rPr>
  </w:style>
  <w:style w:type="character" w:styleId="Hyperlink">
    <w:name w:val="Hyperlink"/>
    <w:basedOn w:val="Fontepargpadro"/>
    <w:uiPriority w:val="99"/>
    <w:unhideWhenUsed/>
    <w:rsid w:val="001D64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Ttulo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779B8"/>
    <w:pPr>
      <w:spacing w:after="120"/>
    </w:pPr>
  </w:style>
  <w:style w:type="character" w:customStyle="1" w:styleId="CorpodetextoChar">
    <w:name w:val="Corpo de texto Char"/>
    <w:basedOn w:val="Fontepargpadro"/>
    <w:link w:val="Corpodetexto"/>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abealho">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Fontepargpadro"/>
    <w:link w:val="Cabealho"/>
    <w:rsid w:val="00A779B8"/>
    <w:rPr>
      <w:rFonts w:ascii="Arial" w:eastAsia="Times New Roman" w:hAnsi="Arial" w:cs="Times New Roman"/>
      <w:sz w:val="24"/>
      <w:szCs w:val="20"/>
      <w:lang w:eastAsia="pt-BR"/>
    </w:rPr>
  </w:style>
  <w:style w:type="paragraph" w:styleId="Rodap">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Fontepargpadro"/>
    <w:link w:val="Rodap"/>
    <w:rsid w:val="00A779B8"/>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79B8"/>
    <w:rPr>
      <w:rFonts w:ascii="Tahoma" w:eastAsia="Times New Roman" w:hAnsi="Tahoma" w:cs="Tahoma"/>
      <w:sz w:val="16"/>
      <w:szCs w:val="16"/>
      <w:lang w:eastAsia="pt-BR"/>
    </w:rPr>
  </w:style>
  <w:style w:type="table" w:styleId="Tabelacomgrade">
    <w:name w:val="Table Grid"/>
    <w:basedOn w:val="Tabelanormal"/>
    <w:uiPriority w:val="59"/>
    <w:rsid w:val="001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Textodenotaderodap">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Fontepargpadro"/>
    <w:link w:val="Textodenotaderodap"/>
    <w:uiPriority w:val="99"/>
    <w:semiHidden/>
    <w:rsid w:val="00A36A7A"/>
    <w:rPr>
      <w:rFonts w:ascii="Arial" w:eastAsia="Times New Roman" w:hAnsi="Arial" w:cs="Times New Roman"/>
      <w:sz w:val="20"/>
      <w:szCs w:val="20"/>
      <w:lang w:eastAsia="pt-BR"/>
    </w:rPr>
  </w:style>
  <w:style w:type="character" w:styleId="Refdenotaderodap">
    <w:name w:val="footnote reference"/>
    <w:basedOn w:val="Fontepargpadro"/>
    <w:uiPriority w:val="99"/>
    <w:semiHidden/>
    <w:unhideWhenUsed/>
    <w:rsid w:val="00A36A7A"/>
    <w:rPr>
      <w:vertAlign w:val="superscript"/>
    </w:rPr>
  </w:style>
  <w:style w:type="character" w:styleId="Hyperlink">
    <w:name w:val="Hyperlink"/>
    <w:basedOn w:val="Fontepargpadro"/>
    <w:uiPriority w:val="99"/>
    <w:unhideWhenUsed/>
    <w:rsid w:val="001D6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9860">
      <w:bodyDiv w:val="1"/>
      <w:marLeft w:val="0"/>
      <w:marRight w:val="0"/>
      <w:marTop w:val="0"/>
      <w:marBottom w:val="0"/>
      <w:divBdr>
        <w:top w:val="none" w:sz="0" w:space="0" w:color="auto"/>
        <w:left w:val="none" w:sz="0" w:space="0" w:color="auto"/>
        <w:bottom w:val="none" w:sz="0" w:space="0" w:color="auto"/>
        <w:right w:val="none" w:sz="0" w:space="0" w:color="auto"/>
      </w:divBdr>
    </w:div>
    <w:div w:id="13772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oleObject" Target="embeddings/oleObject2.bin"/><Relationship Id="rId5" Type="http://schemas.openxmlformats.org/officeDocument/2006/relationships/image" Target="media/image20.png"/><Relationship Id="rId4"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A700E-9B8A-44FA-B779-B7F78B81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1170</Words>
  <Characters>6322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9</cp:revision>
  <dcterms:created xsi:type="dcterms:W3CDTF">2023-11-29T18:22:00Z</dcterms:created>
  <dcterms:modified xsi:type="dcterms:W3CDTF">2023-11-30T19:28:00Z</dcterms:modified>
</cp:coreProperties>
</file>