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7C788D" w:rsidP="00A779B8">
      <w:pPr>
        <w:pStyle w:val="Default"/>
        <w:jc w:val="both"/>
        <w:rPr>
          <w:rFonts w:eastAsia="Times New Roman" w:asciiTheme="minorHAnsi" w:hAnsiTheme="minorHAnsi" w:cs="Calibri"/>
          <w:bCs/>
          <w:color w:val="auto"/>
        </w:rPr>
      </w:pPr>
      <w:r w:rsidRPr="007C788D">
        <w:rPr>
          <w:rFonts w:asciiTheme="minorHAnsi" w:hAnsiTheme="minorHAnsi" w:cs="Calibri"/>
          <w:b/>
          <w:color w:val="auto"/>
        </w:rPr>
        <w:t>Parecer Jurídico nº</w:t>
      </w:r>
      <w:r w:rsidRPr="007C788D" w:rsidR="00F50ADA">
        <w:rPr>
          <w:rFonts w:asciiTheme="minorHAnsi" w:hAnsiTheme="minorHAnsi" w:cs="Calibri"/>
          <w:b/>
          <w:color w:val="auto"/>
        </w:rPr>
        <w:t xml:space="preserve"> </w:t>
      </w:r>
      <w:r w:rsidRPr="007C788D" w:rsidR="007C788D">
        <w:rPr>
          <w:rFonts w:asciiTheme="minorHAnsi" w:hAnsiTheme="minorHAnsi" w:cs="Calibri"/>
          <w:b/>
          <w:color w:val="auto"/>
        </w:rPr>
        <w:tab/>
        <w:t>52</w:t>
      </w:r>
      <w:r w:rsidR="00C85CC1">
        <w:rPr>
          <w:rFonts w:asciiTheme="minorHAnsi" w:hAnsiTheme="minorHAnsi" w:cs="Calibri"/>
          <w:b/>
          <w:color w:val="auto"/>
        </w:rPr>
        <w:t>5</w:t>
      </w:r>
      <w:r w:rsidRPr="007C788D">
        <w:rPr>
          <w:rFonts w:asciiTheme="minorHAnsi" w:hAnsiTheme="minorHAnsi" w:cs="Calibri"/>
          <w:b/>
          <w:color w:val="auto"/>
        </w:rPr>
        <w:t>/202</w:t>
      </w:r>
      <w:r w:rsidRPr="007C788D" w:rsidR="00473A76">
        <w:rPr>
          <w:rFonts w:asciiTheme="minorHAnsi" w:hAnsiTheme="minorHAnsi" w:cs="Calibri"/>
          <w:b/>
          <w:color w:val="auto"/>
        </w:rPr>
        <w:t>3</w:t>
      </w:r>
      <w:r w:rsidRPr="007C788D">
        <w:rPr>
          <w:rFonts w:asciiTheme="minorHAnsi" w:hAnsiTheme="minorHAnsi" w:cs="Calibri"/>
          <w:b/>
          <w:color w:val="auto"/>
        </w:rPr>
        <w:t>.</w:t>
      </w:r>
    </w:p>
    <w:p w:rsidR="00200A82" w:rsidRPr="001D644A" w:rsidP="00473A76">
      <w:pPr>
        <w:spacing w:after="0" w:line="240" w:lineRule="auto"/>
        <w:jc w:val="both"/>
        <w:rPr>
          <w:rFonts w:eastAsia="Calibri" w:asciiTheme="minorHAnsi" w:hAnsiTheme="minorHAnsi" w:cs="Calibri"/>
          <w:color w:val="000000"/>
          <w:szCs w:val="24"/>
        </w:rPr>
      </w:pPr>
      <w:r w:rsidRPr="001D644A">
        <w:rPr>
          <w:rFonts w:asciiTheme="minorHAnsi" w:hAnsiTheme="minorHAnsi" w:cs="Calibri"/>
          <w:b/>
          <w:bCs/>
          <w:szCs w:val="24"/>
        </w:rPr>
        <w:t xml:space="preserve">Assunto: </w:t>
      </w:r>
      <w:r w:rsidRPr="001D644A" w:rsidR="00201CBB">
        <w:rPr>
          <w:rFonts w:asciiTheme="minorHAnsi" w:hAnsiTheme="minorHAnsi" w:cs="Calibri"/>
          <w:b/>
          <w:bCs/>
          <w:szCs w:val="24"/>
        </w:rPr>
        <w:t xml:space="preserve">Subemenda </w:t>
      </w:r>
      <w:r w:rsidR="00C85CC1">
        <w:rPr>
          <w:rFonts w:asciiTheme="minorHAnsi" w:hAnsiTheme="minorHAnsi" w:cs="Calibri"/>
          <w:b/>
          <w:bCs/>
          <w:szCs w:val="24"/>
        </w:rPr>
        <w:t>2</w:t>
      </w:r>
      <w:r w:rsidRPr="001D644A" w:rsidR="00201CBB">
        <w:rPr>
          <w:rFonts w:asciiTheme="minorHAnsi" w:hAnsiTheme="minorHAnsi" w:cs="Calibri"/>
          <w:b/>
          <w:bCs/>
          <w:color w:val="FF0000"/>
          <w:szCs w:val="24"/>
        </w:rPr>
        <w:t xml:space="preserve"> </w:t>
      </w:r>
      <w:r w:rsidRPr="001D644A" w:rsidR="00201CBB">
        <w:rPr>
          <w:rFonts w:asciiTheme="minorHAnsi" w:hAnsiTheme="minorHAnsi" w:cs="Calibri"/>
          <w:b/>
          <w:bCs/>
          <w:szCs w:val="24"/>
        </w:rPr>
        <w:t xml:space="preserve">à </w:t>
      </w:r>
      <w:r w:rsidRPr="001D644A">
        <w:rPr>
          <w:rFonts w:asciiTheme="minorHAnsi" w:hAnsiTheme="minorHAnsi" w:cs="Calibri"/>
          <w:b/>
          <w:bCs/>
          <w:szCs w:val="24"/>
        </w:rPr>
        <w:t xml:space="preserve">Emenda </w:t>
      </w:r>
      <w:r w:rsidR="00C85CC1">
        <w:rPr>
          <w:rFonts w:asciiTheme="minorHAnsi" w:hAnsiTheme="minorHAnsi" w:cs="Calibri"/>
          <w:b/>
          <w:bCs/>
          <w:szCs w:val="24"/>
        </w:rPr>
        <w:t>2</w:t>
      </w:r>
      <w:r w:rsidR="0063694E">
        <w:rPr>
          <w:rFonts w:asciiTheme="minorHAnsi" w:hAnsiTheme="minorHAnsi" w:cs="Calibri"/>
          <w:b/>
          <w:bCs/>
          <w:szCs w:val="24"/>
        </w:rPr>
        <w:t>7</w:t>
      </w:r>
      <w:r w:rsidRPr="001D644A" w:rsidR="00A779B8">
        <w:rPr>
          <w:rFonts w:asciiTheme="minorHAnsi" w:hAnsiTheme="minorHAnsi" w:cs="Calibri"/>
          <w:b/>
          <w:bCs/>
          <w:color w:val="FF0000"/>
          <w:szCs w:val="24"/>
        </w:rPr>
        <w:t xml:space="preserve"> </w:t>
      </w:r>
      <w:r w:rsidRPr="001D644A" w:rsidR="00A779B8">
        <w:rPr>
          <w:rFonts w:asciiTheme="minorHAnsi" w:hAnsiTheme="minorHAnsi" w:cs="Calibri"/>
          <w:b/>
          <w:bCs/>
          <w:szCs w:val="24"/>
        </w:rPr>
        <w:t>ao</w:t>
      </w:r>
      <w:r w:rsidRPr="001D644A" w:rsidR="00FC140B">
        <w:rPr>
          <w:rFonts w:asciiTheme="minorHAnsi" w:hAnsiTheme="minorHAnsi" w:cs="Calibri"/>
          <w:b/>
          <w:bCs/>
          <w:szCs w:val="24"/>
        </w:rPr>
        <w:t xml:space="preserve"> </w:t>
      </w:r>
      <w:r w:rsidRPr="001D644A" w:rsidR="00FC140B">
        <w:rPr>
          <w:rFonts w:asciiTheme="minorHAnsi" w:hAnsiTheme="minorHAnsi" w:cs="Calibri"/>
          <w:b/>
          <w:bCs/>
        </w:rPr>
        <w:t xml:space="preserve">Projeto de Lei nº </w:t>
      </w:r>
      <w:r w:rsidRPr="001D644A">
        <w:rPr>
          <w:rFonts w:asciiTheme="minorHAnsi" w:hAnsiTheme="minorHAnsi" w:cs="Calibri"/>
          <w:b/>
          <w:bCs/>
        </w:rPr>
        <w:t>185</w:t>
      </w:r>
      <w:r w:rsidRPr="001D644A" w:rsidR="001604ED">
        <w:rPr>
          <w:rFonts w:asciiTheme="minorHAnsi" w:hAnsiTheme="minorHAnsi" w:cs="Calibri"/>
          <w:b/>
          <w:bCs/>
        </w:rPr>
        <w:t>/202</w:t>
      </w:r>
      <w:r w:rsidRPr="001D644A">
        <w:rPr>
          <w:rFonts w:asciiTheme="minorHAnsi" w:hAnsiTheme="minorHAnsi" w:cs="Calibri"/>
          <w:b/>
          <w:bCs/>
        </w:rPr>
        <w:t>2</w:t>
      </w:r>
      <w:r w:rsidRPr="001D644A" w:rsidR="0023693B">
        <w:rPr>
          <w:rFonts w:asciiTheme="minorHAnsi" w:hAnsiTheme="minorHAnsi" w:cs="Calibri"/>
          <w:b/>
          <w:bCs/>
        </w:rPr>
        <w:t xml:space="preserve"> </w:t>
      </w:r>
      <w:r w:rsidRPr="001D644A" w:rsidR="000368DD">
        <w:rPr>
          <w:rFonts w:asciiTheme="minorHAnsi" w:hAnsiTheme="minorHAnsi" w:cs="Calibri"/>
          <w:bCs/>
        </w:rPr>
        <w:t xml:space="preserve">que </w:t>
      </w:r>
      <w:r w:rsidRPr="001D644A" w:rsidR="000368DD">
        <w:rPr>
          <w:rFonts w:eastAsia="Calibri" w:asciiTheme="minorHAnsi" w:hAnsiTheme="minorHAnsi" w:cs="Calibri"/>
          <w:szCs w:val="24"/>
        </w:rPr>
        <w:t>“</w:t>
      </w:r>
      <w:r w:rsidRPr="001D644A">
        <w:rPr>
          <w:rFonts w:eastAsia="Calibri" w:asciiTheme="minorHAnsi" w:hAnsiTheme="minorHAnsi" w:cs="Calibri"/>
          <w:szCs w:val="24"/>
        </w:rPr>
        <w:t xml:space="preserve">Institui o Plano Diretor Municipal de Valinhos </w:t>
      </w:r>
      <w:r w:rsidRPr="001D644A">
        <w:rPr>
          <w:rFonts w:eastAsia="Calibri" w:asciiTheme="minorHAnsi" w:hAnsiTheme="minorHAnsi" w:cs="Calibri"/>
          <w:color w:val="000000"/>
          <w:szCs w:val="24"/>
        </w:rPr>
        <w:t>e dá outras providências</w:t>
      </w:r>
      <w:r w:rsidRPr="001D644A" w:rsidR="0071039A">
        <w:rPr>
          <w:rFonts w:eastAsia="Calibri" w:asciiTheme="minorHAnsi" w:hAnsiTheme="minorHAnsi" w:cs="Calibri"/>
          <w:color w:val="000000"/>
          <w:szCs w:val="24"/>
        </w:rPr>
        <w:t>”</w:t>
      </w:r>
      <w:r w:rsidRPr="001D644A">
        <w:rPr>
          <w:rFonts w:eastAsia="Calibri" w:asciiTheme="minorHAnsi" w:hAnsiTheme="minorHAnsi" w:cs="Calibri"/>
          <w:color w:val="000000"/>
          <w:szCs w:val="24"/>
        </w:rPr>
        <w:t>.</w:t>
      </w:r>
    </w:p>
    <w:p w:rsidR="00A779B8" w:rsidRPr="001D644A" w:rsidP="0023693B">
      <w:pPr>
        <w:spacing w:after="0" w:line="240" w:lineRule="auto"/>
        <w:jc w:val="both"/>
        <w:rPr>
          <w:rFonts w:asciiTheme="minorHAnsi" w:hAnsiTheme="minorHAnsi" w:cs="Calibri"/>
          <w:b/>
          <w:bCs/>
          <w:szCs w:val="24"/>
        </w:rPr>
      </w:pPr>
      <w:r>
        <w:rPr>
          <w:rFonts w:asciiTheme="minorHAnsi" w:hAnsiTheme="minorHAnsi" w:cs="Calibri"/>
          <w:b/>
          <w:bCs/>
        </w:rPr>
        <w:t>Sube</w:t>
      </w:r>
      <w:r w:rsidRPr="001D644A" w:rsidR="001604ED">
        <w:rPr>
          <w:rFonts w:asciiTheme="minorHAnsi" w:hAnsiTheme="minorHAnsi" w:cs="Calibri"/>
          <w:b/>
          <w:bCs/>
        </w:rPr>
        <w:t>menda de a</w:t>
      </w:r>
      <w:r w:rsidRPr="001D644A" w:rsidR="0023693B">
        <w:rPr>
          <w:rFonts w:asciiTheme="minorHAnsi" w:hAnsiTheme="minorHAnsi" w:cs="Calibri"/>
          <w:b/>
          <w:bCs/>
          <w:szCs w:val="24"/>
        </w:rPr>
        <w:t xml:space="preserve">utoria </w:t>
      </w:r>
      <w:r w:rsidRPr="001D644A" w:rsidR="006643E0">
        <w:rPr>
          <w:rFonts w:asciiTheme="minorHAnsi" w:hAnsiTheme="minorHAnsi" w:cs="Calibri"/>
          <w:b/>
          <w:bCs/>
          <w:szCs w:val="24"/>
        </w:rPr>
        <w:t>do Vereador Henrique Conti.</w:t>
      </w:r>
    </w:p>
    <w:p w:rsidR="00A779B8" w:rsidRPr="001D644A" w:rsidP="00A779B8">
      <w:pPr>
        <w:pStyle w:val="Default"/>
        <w:jc w:val="both"/>
        <w:rPr>
          <w:rFonts w:asciiTheme="minorHAnsi" w:hAnsiTheme="minorHAnsi" w:cs="Calibri"/>
          <w:b/>
          <w:i/>
          <w:color w:val="auto"/>
        </w:rPr>
      </w:pPr>
    </w:p>
    <w:p w:rsidR="000F259D" w:rsidRPr="001D644A" w:rsidP="00A779B8">
      <w:pPr>
        <w:pStyle w:val="Default"/>
        <w:jc w:val="both"/>
        <w:rPr>
          <w:rFonts w:asciiTheme="minorHAnsi" w:hAnsiTheme="minorHAnsi" w:cs="Calibri"/>
          <w:b/>
          <w:i/>
          <w:color w:val="auto"/>
        </w:rPr>
      </w:pPr>
    </w:p>
    <w:p w:rsidR="00A779B8" w:rsidRPr="001D644A" w:rsidP="00A779B8">
      <w:pPr>
        <w:pStyle w:val="Default"/>
        <w:jc w:val="both"/>
        <w:rPr>
          <w:rFonts w:asciiTheme="minorHAnsi" w:hAnsiTheme="minorHAnsi" w:cs="Calibri"/>
          <w:b/>
          <w:i/>
          <w:color w:val="auto"/>
        </w:rPr>
      </w:pPr>
      <w:r w:rsidRPr="001D644A">
        <w:rPr>
          <w:rFonts w:asciiTheme="minorHAnsi" w:hAnsiTheme="minorHAnsi" w:cs="Calibri"/>
          <w:b/>
          <w:i/>
          <w:color w:val="auto"/>
        </w:rPr>
        <w:t>À Comissão de Justiça e Redação,</w:t>
      </w:r>
    </w:p>
    <w:p w:rsidR="00A779B8" w:rsidRPr="001D644A" w:rsidP="00A779B8">
      <w:pPr>
        <w:pStyle w:val="Default"/>
        <w:jc w:val="both"/>
        <w:rPr>
          <w:rFonts w:asciiTheme="minorHAnsi" w:hAnsiTheme="minorHAnsi" w:cs="Calibri"/>
          <w:b/>
          <w:i/>
          <w:color w:val="auto"/>
        </w:rPr>
      </w:pPr>
      <w:r w:rsidRPr="001D644A">
        <w:rPr>
          <w:rFonts w:asciiTheme="minorHAnsi" w:hAnsiTheme="minorHAnsi" w:cs="Calibri"/>
          <w:b/>
          <w:i/>
          <w:color w:val="auto"/>
        </w:rPr>
        <w:t xml:space="preserve">Exmo. </w:t>
      </w:r>
      <w:r w:rsidRPr="001D644A" w:rsidR="00473A76">
        <w:rPr>
          <w:rFonts w:asciiTheme="minorHAnsi" w:hAnsiTheme="minorHAnsi" w:cs="Calibri"/>
          <w:b/>
          <w:i/>
          <w:color w:val="auto"/>
        </w:rPr>
        <w:t>Sr.</w:t>
      </w:r>
      <w:r w:rsidRPr="001D644A" w:rsidR="00473A76">
        <w:rPr>
          <w:rFonts w:asciiTheme="minorHAnsi" w:hAnsiTheme="minorHAnsi" w:cs="Calibri"/>
          <w:b/>
          <w:i/>
          <w:color w:val="auto"/>
        </w:rPr>
        <w:t xml:space="preserve"> </w:t>
      </w:r>
      <w:r w:rsidRPr="001D644A">
        <w:rPr>
          <w:rFonts w:asciiTheme="minorHAnsi" w:hAnsiTheme="minorHAnsi" w:cs="Calibri"/>
          <w:b/>
          <w:i/>
          <w:color w:val="auto"/>
        </w:rPr>
        <w:t>Presidente</w:t>
      </w:r>
      <w:r w:rsidRPr="001D644A" w:rsidR="00473A76">
        <w:rPr>
          <w:rFonts w:asciiTheme="minorHAnsi" w:hAnsiTheme="minorHAnsi" w:cs="Calibri"/>
          <w:b/>
          <w:i/>
          <w:color w:val="auto"/>
        </w:rPr>
        <w:t xml:space="preserve"> Vereador Gabriel Bueno</w:t>
      </w:r>
      <w:r w:rsidRPr="001D644A">
        <w:rPr>
          <w:rFonts w:asciiTheme="minorHAnsi" w:hAnsiTheme="minorHAnsi" w:cs="Calibri"/>
          <w:b/>
          <w:i/>
          <w:color w:val="auto"/>
        </w:rPr>
        <w:t>.</w:t>
      </w:r>
    </w:p>
    <w:p w:rsidR="00A779B8" w:rsidRPr="001D644A" w:rsidP="00A779B8">
      <w:pPr>
        <w:pStyle w:val="Default"/>
        <w:jc w:val="both"/>
        <w:rPr>
          <w:rFonts w:asciiTheme="minorHAnsi" w:hAnsiTheme="minorHAnsi" w:cs="Calibri"/>
          <w:b/>
          <w:i/>
          <w:color w:val="auto"/>
        </w:rPr>
      </w:pPr>
    </w:p>
    <w:p w:rsidR="00A779B8" w:rsidRPr="001D644A" w:rsidP="00A779B8">
      <w:pPr>
        <w:pStyle w:val="Default"/>
        <w:spacing w:after="120" w:line="360" w:lineRule="auto"/>
        <w:jc w:val="both"/>
        <w:rPr>
          <w:rFonts w:asciiTheme="minorHAnsi" w:hAnsiTheme="minorHAnsi" w:cs="Calibri"/>
          <w:sz w:val="12"/>
          <w:szCs w:val="12"/>
        </w:rPr>
      </w:pPr>
    </w:p>
    <w:p w:rsidR="0023693B" w:rsidP="00C85CC1">
      <w:pPr>
        <w:pStyle w:val="Default"/>
        <w:spacing w:after="240" w:line="360" w:lineRule="auto"/>
        <w:ind w:firstLine="2268"/>
        <w:jc w:val="both"/>
        <w:rPr>
          <w:rFonts w:asciiTheme="minorHAnsi" w:hAnsiTheme="minorHAnsi" w:cs="Calibri"/>
        </w:rPr>
      </w:pPr>
      <w:r w:rsidRPr="001D644A">
        <w:rPr>
          <w:rFonts w:asciiTheme="minorHAnsi" w:hAnsiTheme="minorHAnsi" w:cs="Calibri"/>
        </w:rPr>
        <w:t xml:space="preserve">Trata-se de parecer jurídico relativo à </w:t>
      </w:r>
      <w:r w:rsidRPr="001D644A" w:rsidR="00201CBB">
        <w:rPr>
          <w:rFonts w:asciiTheme="minorHAnsi" w:hAnsiTheme="minorHAnsi" w:cs="Calibri"/>
        </w:rPr>
        <w:t>sub</w:t>
      </w:r>
      <w:r w:rsidRPr="001D644A">
        <w:rPr>
          <w:rFonts w:asciiTheme="minorHAnsi" w:hAnsiTheme="minorHAnsi" w:cs="Calibri"/>
        </w:rPr>
        <w:t>emenda em epígrafe que</w:t>
      </w:r>
      <w:r w:rsidRPr="001D644A" w:rsidR="00473A76">
        <w:rPr>
          <w:rFonts w:asciiTheme="minorHAnsi" w:hAnsiTheme="minorHAnsi" w:cs="Calibri"/>
        </w:rPr>
        <w:t xml:space="preserve"> </w:t>
      </w:r>
      <w:r w:rsidRPr="001D644A" w:rsidR="00473A76">
        <w:rPr>
          <w:rFonts w:asciiTheme="minorHAnsi" w:hAnsiTheme="minorHAnsi" w:cs="Calibri"/>
          <w:color w:val="auto"/>
        </w:rPr>
        <w:t>tenciona</w:t>
      </w:r>
      <w:r w:rsidRPr="001D644A" w:rsidR="00810ED4">
        <w:rPr>
          <w:rFonts w:asciiTheme="minorHAnsi" w:hAnsiTheme="minorHAnsi" w:cs="Calibri"/>
          <w:color w:val="auto"/>
        </w:rPr>
        <w:t xml:space="preserve"> </w:t>
      </w:r>
      <w:r w:rsidR="00C85CC1">
        <w:rPr>
          <w:rFonts w:asciiTheme="minorHAnsi" w:hAnsiTheme="minorHAnsi" w:cs="Calibri"/>
          <w:color w:val="auto"/>
        </w:rPr>
        <w:t>i</w:t>
      </w:r>
      <w:r w:rsidRPr="00C85CC1" w:rsidR="00C85CC1">
        <w:rPr>
          <w:rFonts w:asciiTheme="minorHAnsi" w:hAnsiTheme="minorHAnsi" w:cs="Calibri"/>
          <w:color w:val="auto"/>
        </w:rPr>
        <w:t>nclui</w:t>
      </w:r>
      <w:r w:rsidR="00C85CC1">
        <w:rPr>
          <w:rFonts w:asciiTheme="minorHAnsi" w:hAnsiTheme="minorHAnsi" w:cs="Calibri"/>
          <w:color w:val="auto"/>
        </w:rPr>
        <w:t>r</w:t>
      </w:r>
      <w:r w:rsidRPr="00C85CC1" w:rsidR="00C85CC1">
        <w:rPr>
          <w:rFonts w:asciiTheme="minorHAnsi" w:hAnsiTheme="minorHAnsi" w:cs="Calibri"/>
          <w:color w:val="auto"/>
        </w:rPr>
        <w:t xml:space="preserve"> inciso V no § 1º do art. 115 incluído pelo art. 2º da</w:t>
      </w:r>
      <w:r w:rsidR="00C85CC1">
        <w:t xml:space="preserve"> </w:t>
      </w:r>
      <w:r w:rsidRPr="00C85CC1" w:rsidR="00C85CC1">
        <w:rPr>
          <w:rFonts w:asciiTheme="minorHAnsi" w:hAnsiTheme="minorHAnsi" w:cs="Calibri"/>
          <w:color w:val="auto"/>
        </w:rPr>
        <w:t>Emenda 27</w:t>
      </w:r>
      <w:r w:rsidR="00C85CC1">
        <w:rPr>
          <w:rFonts w:asciiTheme="minorHAnsi" w:hAnsiTheme="minorHAnsi" w:cs="Calibri"/>
          <w:color w:val="auto"/>
        </w:rPr>
        <w:t xml:space="preserve"> </w:t>
      </w:r>
      <w:r w:rsidRPr="001D644A" w:rsidR="00201CBB">
        <w:rPr>
          <w:rFonts w:asciiTheme="minorHAnsi" w:hAnsiTheme="minorHAnsi" w:cs="Calibri"/>
          <w:color w:val="auto"/>
        </w:rPr>
        <w:t>ao</w:t>
      </w:r>
      <w:r w:rsidRPr="001D644A" w:rsidR="000368DD">
        <w:rPr>
          <w:rFonts w:asciiTheme="minorHAnsi" w:hAnsiTheme="minorHAnsi" w:cs="Calibri"/>
          <w:color w:val="auto"/>
        </w:rPr>
        <w:t xml:space="preserve"> P</w:t>
      </w:r>
      <w:r w:rsidRPr="001D644A" w:rsidR="000368DD">
        <w:rPr>
          <w:rFonts w:asciiTheme="minorHAnsi" w:hAnsiTheme="minorHAnsi" w:cs="Calibri"/>
        </w:rPr>
        <w:t xml:space="preserve">rojeto de Lei </w:t>
      </w:r>
      <w:r w:rsidRPr="001D644A" w:rsidR="00D7536E">
        <w:rPr>
          <w:rFonts w:asciiTheme="minorHAnsi" w:hAnsiTheme="minorHAnsi" w:cs="Calibri"/>
        </w:rPr>
        <w:t>185</w:t>
      </w:r>
      <w:r w:rsidRPr="001D644A" w:rsidR="000368DD">
        <w:rPr>
          <w:rFonts w:asciiTheme="minorHAnsi" w:hAnsiTheme="minorHAnsi" w:cs="Calibri"/>
        </w:rPr>
        <w:t>/202</w:t>
      </w:r>
      <w:r w:rsidRPr="001D644A" w:rsidR="00D7536E">
        <w:rPr>
          <w:rFonts w:asciiTheme="minorHAnsi" w:hAnsiTheme="minorHAnsi" w:cs="Calibri"/>
        </w:rPr>
        <w:t>2</w:t>
      </w:r>
      <w:r w:rsidRPr="001D644A" w:rsidR="000368DD">
        <w:rPr>
          <w:rFonts w:asciiTheme="minorHAnsi" w:hAnsiTheme="minorHAnsi" w:cs="Calibri"/>
        </w:rPr>
        <w:t xml:space="preserve">, que </w:t>
      </w:r>
      <w:r w:rsidRPr="001D644A" w:rsidR="000368DD">
        <w:rPr>
          <w:rFonts w:asciiTheme="minorHAnsi" w:hAnsiTheme="minorHAnsi" w:cs="Calibri"/>
          <w:i/>
        </w:rPr>
        <w:t>“</w:t>
      </w:r>
      <w:r w:rsidRPr="001D644A" w:rsidR="00D7536E">
        <w:rPr>
          <w:rFonts w:asciiTheme="minorHAnsi" w:hAnsiTheme="minorHAnsi" w:cs="Calibri"/>
          <w:i/>
        </w:rPr>
        <w:t>Institui o Plano Diretor Municipal de Valinhos e dá outras providências”</w:t>
      </w:r>
      <w:r w:rsidRPr="001D644A" w:rsidR="00473A76">
        <w:rPr>
          <w:rFonts w:asciiTheme="minorHAnsi" w:hAnsiTheme="minorHAnsi" w:cs="Calibri"/>
          <w:i/>
        </w:rPr>
        <w:t>,</w:t>
      </w:r>
      <w:r w:rsidRPr="001D644A" w:rsidR="00B33EC1">
        <w:rPr>
          <w:rFonts w:asciiTheme="minorHAnsi" w:hAnsiTheme="minorHAnsi" w:cs="Calibri"/>
          <w:i/>
        </w:rPr>
        <w:t xml:space="preserve"> </w:t>
      </w:r>
      <w:r w:rsidRPr="001D644A" w:rsidR="00473A76">
        <w:rPr>
          <w:rFonts w:asciiTheme="minorHAnsi" w:hAnsiTheme="minorHAnsi" w:cs="Calibri"/>
        </w:rPr>
        <w:t>nos seguintes termos:</w:t>
      </w:r>
    </w:p>
    <w:tbl>
      <w:tblPr>
        <w:tblStyle w:val="TableGrid"/>
        <w:tblW w:w="8613" w:type="dxa"/>
        <w:tblLook w:val="04A0"/>
      </w:tblPr>
      <w:tblGrid>
        <w:gridCol w:w="4361"/>
        <w:gridCol w:w="4252"/>
      </w:tblGrid>
      <w:tr w:rsidTr="00C85CC1">
        <w:tblPrEx>
          <w:tblW w:w="8613" w:type="dxa"/>
          <w:tblLook w:val="04A0"/>
        </w:tblPrEx>
        <w:tc>
          <w:tcPr>
            <w:tcW w:w="4361" w:type="dxa"/>
          </w:tcPr>
          <w:p w:rsidR="00C85CC1" w:rsidRPr="004B4374" w:rsidP="003D1DC4">
            <w:pPr>
              <w:pStyle w:val="Default"/>
              <w:tabs>
                <w:tab w:val="left" w:pos="2055"/>
              </w:tabs>
              <w:spacing w:line="276" w:lineRule="auto"/>
              <w:jc w:val="center"/>
              <w:rPr>
                <w:rFonts w:ascii="Calibri" w:eastAsia="Times New Roman" w:hAnsi="Calibri" w:cs="Calibri"/>
                <w:b/>
                <w:color w:val="auto"/>
              </w:rPr>
            </w:pPr>
          </w:p>
          <w:p w:rsidR="00C85CC1" w:rsidRPr="004B4374" w:rsidP="003D1DC4">
            <w:pPr>
              <w:pStyle w:val="Default"/>
              <w:tabs>
                <w:tab w:val="left" w:pos="2055"/>
              </w:tabs>
              <w:spacing w:line="276" w:lineRule="auto"/>
              <w:jc w:val="center"/>
              <w:rPr>
                <w:rFonts w:ascii="Calibri" w:eastAsia="Times New Roman" w:hAnsi="Calibri" w:cs="Calibri"/>
                <w:b/>
                <w:color w:val="auto"/>
              </w:rPr>
            </w:pPr>
            <w:r w:rsidRPr="004B4374">
              <w:rPr>
                <w:rFonts w:ascii="Calibri" w:eastAsia="Times New Roman" w:hAnsi="Calibri" w:cs="Calibri"/>
                <w:b/>
                <w:color w:val="auto"/>
              </w:rPr>
              <w:t>Emenda nº 27 ao PL 185/2022</w:t>
            </w:r>
          </w:p>
        </w:tc>
        <w:tc>
          <w:tcPr>
            <w:tcW w:w="4252" w:type="dxa"/>
          </w:tcPr>
          <w:p w:rsidR="00C85CC1" w:rsidRPr="00C85CC1" w:rsidP="00C85CC1">
            <w:pPr>
              <w:pStyle w:val="Default"/>
              <w:tabs>
                <w:tab w:val="left" w:pos="2055"/>
              </w:tabs>
              <w:spacing w:line="276" w:lineRule="auto"/>
              <w:jc w:val="center"/>
              <w:rPr>
                <w:rFonts w:ascii="Calibri" w:eastAsia="Times New Roman" w:hAnsi="Calibri" w:cs="Calibri"/>
                <w:b/>
                <w:color w:val="auto"/>
              </w:rPr>
            </w:pPr>
            <w:r w:rsidRPr="00C85CC1">
              <w:rPr>
                <w:rFonts w:ascii="Calibri" w:eastAsia="Times New Roman" w:hAnsi="Calibri" w:cs="Calibri"/>
                <w:b/>
                <w:color w:val="auto"/>
              </w:rPr>
              <w:t xml:space="preserve">Subemenda </w:t>
            </w:r>
            <w:r>
              <w:rPr>
                <w:rFonts w:ascii="Calibri" w:eastAsia="Times New Roman" w:hAnsi="Calibri" w:cs="Calibri"/>
                <w:b/>
                <w:color w:val="auto"/>
              </w:rPr>
              <w:t>2</w:t>
            </w:r>
            <w:r w:rsidRPr="00C85CC1">
              <w:rPr>
                <w:rFonts w:ascii="Calibri" w:eastAsia="Times New Roman" w:hAnsi="Calibri" w:cs="Calibri"/>
                <w:b/>
                <w:color w:val="auto"/>
              </w:rPr>
              <w:t xml:space="preserve"> à Emenda nº </w:t>
            </w:r>
            <w:r>
              <w:rPr>
                <w:rFonts w:ascii="Calibri" w:eastAsia="Times New Roman" w:hAnsi="Calibri" w:cs="Calibri"/>
                <w:b/>
                <w:color w:val="auto"/>
              </w:rPr>
              <w:t>2</w:t>
            </w:r>
            <w:r w:rsidRPr="00C85CC1">
              <w:rPr>
                <w:rFonts w:ascii="Calibri" w:eastAsia="Times New Roman" w:hAnsi="Calibri" w:cs="Calibri"/>
                <w:b/>
                <w:color w:val="auto"/>
              </w:rPr>
              <w:t xml:space="preserve">7 </w:t>
            </w:r>
          </w:p>
          <w:p w:rsidR="00C85CC1" w:rsidRPr="004B4374" w:rsidP="00C85CC1">
            <w:pPr>
              <w:pStyle w:val="Default"/>
              <w:tabs>
                <w:tab w:val="left" w:pos="2055"/>
              </w:tabs>
              <w:spacing w:line="276" w:lineRule="auto"/>
              <w:jc w:val="center"/>
              <w:rPr>
                <w:rFonts w:ascii="Calibri" w:eastAsia="Times New Roman" w:hAnsi="Calibri" w:cs="Calibri"/>
                <w:b/>
                <w:color w:val="auto"/>
              </w:rPr>
            </w:pPr>
            <w:r w:rsidRPr="00C85CC1">
              <w:rPr>
                <w:rFonts w:ascii="Calibri" w:eastAsia="Times New Roman" w:hAnsi="Calibri" w:cs="Calibri"/>
                <w:b/>
                <w:color w:val="auto"/>
              </w:rPr>
              <w:t>ao</w:t>
            </w:r>
            <w:r w:rsidRPr="00C85CC1">
              <w:rPr>
                <w:rFonts w:ascii="Calibri" w:eastAsia="Times New Roman" w:hAnsi="Calibri" w:cs="Calibri"/>
                <w:b/>
                <w:color w:val="auto"/>
              </w:rPr>
              <w:t xml:space="preserve"> PL 185/2022</w:t>
            </w:r>
          </w:p>
        </w:tc>
      </w:tr>
      <w:tr w:rsidTr="00C85CC1">
        <w:tblPrEx>
          <w:tblW w:w="8613" w:type="dxa"/>
          <w:tblLook w:val="04A0"/>
        </w:tblPrEx>
        <w:tc>
          <w:tcPr>
            <w:tcW w:w="4361" w:type="dxa"/>
          </w:tcPr>
          <w:p w:rsidR="00C85CC1" w:rsidRPr="004B4374" w:rsidP="003D1DC4">
            <w:pPr>
              <w:pStyle w:val="Default"/>
              <w:tabs>
                <w:tab w:val="left" w:pos="2055"/>
              </w:tabs>
              <w:jc w:val="both"/>
              <w:rPr>
                <w:rFonts w:asciiTheme="minorHAnsi" w:hAnsiTheme="minorHAnsi"/>
                <w:i/>
                <w:color w:val="auto"/>
              </w:rPr>
            </w:pPr>
            <w:r w:rsidRPr="004B4374">
              <w:rPr>
                <w:rFonts w:asciiTheme="minorHAnsi" w:hAnsiTheme="minorHAnsi"/>
                <w:i/>
                <w:color w:val="auto"/>
              </w:rPr>
              <w:t>Art. 2º É incluída a Seção IX ao Capítulo III do Título IV do Projeto de Lei 185/2022, com a seguinte redação, a partir do Art. 115, renumerando demais artigos:</w:t>
            </w:r>
          </w:p>
          <w:p w:rsidR="00C85CC1" w:rsidRPr="004B4374" w:rsidP="003D1DC4">
            <w:pPr>
              <w:pStyle w:val="Default"/>
              <w:tabs>
                <w:tab w:val="left" w:pos="2055"/>
              </w:tabs>
              <w:jc w:val="both"/>
              <w:rPr>
                <w:rFonts w:ascii="Calibri" w:hAnsi="Calibri" w:cs="Calibri"/>
                <w:b/>
                <w:color w:val="auto"/>
              </w:rPr>
            </w:pPr>
          </w:p>
          <w:p w:rsidR="00C85CC1" w:rsidRPr="004B4374" w:rsidP="003D1DC4">
            <w:pPr>
              <w:pStyle w:val="Default"/>
              <w:tabs>
                <w:tab w:val="left" w:pos="2055"/>
              </w:tabs>
              <w:jc w:val="both"/>
              <w:rPr>
                <w:rFonts w:ascii="Calibri" w:hAnsi="Calibri" w:cs="Calibri"/>
                <w:b/>
                <w:color w:val="auto"/>
              </w:rPr>
            </w:pPr>
            <w:r w:rsidRPr="004B4374">
              <w:rPr>
                <w:rFonts w:ascii="Calibri" w:hAnsi="Calibri" w:cs="Calibri"/>
                <w:b/>
                <w:color w:val="auto"/>
              </w:rPr>
              <w:t>Seção IX - Área Estratégica de Preservação Histórico-Cultural (AEPHC)</w:t>
            </w:r>
          </w:p>
          <w:p w:rsidR="00C85CC1" w:rsidRPr="004B4374" w:rsidP="003D1DC4">
            <w:pPr>
              <w:pStyle w:val="Default"/>
              <w:tabs>
                <w:tab w:val="left" w:pos="2055"/>
              </w:tabs>
              <w:jc w:val="both"/>
              <w:rPr>
                <w:rFonts w:ascii="Calibri" w:hAnsi="Calibri" w:cs="Calibri"/>
                <w:b/>
                <w:color w:val="auto"/>
              </w:rPr>
            </w:pPr>
          </w:p>
          <w:p w:rsidR="00C85CC1" w:rsidRPr="004B4374" w:rsidP="003D1DC4">
            <w:pPr>
              <w:pStyle w:val="Default"/>
              <w:tabs>
                <w:tab w:val="left" w:pos="2055"/>
              </w:tabs>
              <w:jc w:val="both"/>
              <w:rPr>
                <w:rFonts w:ascii="Calibri" w:hAnsi="Calibri" w:cs="Calibri"/>
                <w:b/>
                <w:color w:val="auto"/>
              </w:rPr>
            </w:pPr>
            <w:r w:rsidRPr="004B4374">
              <w:rPr>
                <w:rFonts w:ascii="Calibri" w:hAnsi="Calibri" w:cs="Calibri"/>
                <w:b/>
                <w:color w:val="auto"/>
              </w:rPr>
              <w:t>Art. 115. As Áreas Estratégicas de Preservação Histórico-Cultural (AEPHC) são porções do território destinadas à preservação, recuperação e manutenção do patrimônio histórico, artístico e arqueológico, podendo se configurar como sítios, edifícios ou conjuntos urbanos.</w:t>
            </w:r>
          </w:p>
          <w:p w:rsidR="00C85CC1" w:rsidRPr="004B4374" w:rsidP="003D1DC4">
            <w:pPr>
              <w:pStyle w:val="Default"/>
              <w:tabs>
                <w:tab w:val="left" w:pos="2055"/>
              </w:tabs>
              <w:jc w:val="both"/>
              <w:rPr>
                <w:rFonts w:ascii="Calibri" w:hAnsi="Calibri" w:cs="Calibri"/>
                <w:b/>
                <w:color w:val="auto"/>
              </w:rPr>
            </w:pPr>
            <w:r w:rsidRPr="004B4374">
              <w:rPr>
                <w:rFonts w:ascii="Calibri" w:hAnsi="Calibri" w:cs="Calibri"/>
                <w:b/>
                <w:color w:val="auto"/>
              </w:rPr>
              <w:t xml:space="preserve"> § 1º. São consideradas como AEPHC:</w:t>
            </w:r>
          </w:p>
          <w:p w:rsidR="00C85CC1" w:rsidRPr="004B4374" w:rsidP="003D1DC4">
            <w:pPr>
              <w:pStyle w:val="Default"/>
              <w:tabs>
                <w:tab w:val="left" w:pos="2055"/>
              </w:tabs>
              <w:jc w:val="both"/>
              <w:rPr>
                <w:rFonts w:ascii="Calibri" w:hAnsi="Calibri" w:cs="Calibri"/>
                <w:b/>
                <w:color w:val="auto"/>
              </w:rPr>
            </w:pPr>
            <w:r w:rsidRPr="004B4374">
              <w:rPr>
                <w:rFonts w:ascii="Calibri" w:hAnsi="Calibri" w:cs="Calibri"/>
                <w:b/>
                <w:color w:val="auto"/>
              </w:rPr>
              <w:t xml:space="preserve">I – AEPHC </w:t>
            </w:r>
            <w:r w:rsidRPr="004B4374">
              <w:rPr>
                <w:rFonts w:ascii="Calibri" w:hAnsi="Calibri" w:cs="Calibri"/>
                <w:b/>
                <w:color w:val="auto"/>
              </w:rPr>
              <w:t>1</w:t>
            </w:r>
            <w:r w:rsidRPr="004B4374">
              <w:rPr>
                <w:rFonts w:ascii="Calibri" w:hAnsi="Calibri" w:cs="Calibri"/>
                <w:b/>
                <w:color w:val="auto"/>
              </w:rPr>
              <w:t>: Casa de Flávio de Carvalho;</w:t>
            </w:r>
          </w:p>
          <w:p w:rsidR="00C85CC1" w:rsidRPr="004B4374" w:rsidP="003D1DC4">
            <w:pPr>
              <w:pStyle w:val="Default"/>
              <w:tabs>
                <w:tab w:val="left" w:pos="2055"/>
              </w:tabs>
              <w:jc w:val="both"/>
              <w:rPr>
                <w:rFonts w:ascii="Calibri" w:hAnsi="Calibri" w:cs="Calibri"/>
                <w:b/>
                <w:color w:val="auto"/>
              </w:rPr>
            </w:pPr>
            <w:r w:rsidRPr="004B4374">
              <w:rPr>
                <w:rFonts w:ascii="Calibri" w:hAnsi="Calibri" w:cs="Calibri"/>
                <w:b/>
                <w:color w:val="auto"/>
              </w:rPr>
              <w:t xml:space="preserve">II – AEPHC </w:t>
            </w:r>
            <w:r w:rsidRPr="004B4374">
              <w:rPr>
                <w:rFonts w:ascii="Calibri" w:hAnsi="Calibri" w:cs="Calibri"/>
                <w:b/>
                <w:color w:val="auto"/>
              </w:rPr>
              <w:t>2</w:t>
            </w:r>
            <w:r w:rsidRPr="004B4374">
              <w:rPr>
                <w:rFonts w:ascii="Calibri" w:hAnsi="Calibri" w:cs="Calibri"/>
                <w:b/>
                <w:color w:val="auto"/>
              </w:rPr>
              <w:t>: Conjunto Ferroviário de Valinhos;</w:t>
            </w:r>
          </w:p>
          <w:p w:rsidR="00C85CC1" w:rsidRPr="004B4374" w:rsidP="003D1DC4">
            <w:pPr>
              <w:pStyle w:val="Default"/>
              <w:tabs>
                <w:tab w:val="left" w:pos="2055"/>
              </w:tabs>
              <w:jc w:val="both"/>
              <w:rPr>
                <w:rFonts w:ascii="Calibri" w:hAnsi="Calibri" w:cs="Calibri"/>
                <w:b/>
                <w:color w:val="auto"/>
              </w:rPr>
            </w:pPr>
            <w:r w:rsidRPr="004B4374">
              <w:rPr>
                <w:rFonts w:ascii="Calibri" w:hAnsi="Calibri" w:cs="Calibri"/>
                <w:b/>
                <w:color w:val="auto"/>
              </w:rPr>
              <w:t xml:space="preserve">III – AEPHC </w:t>
            </w:r>
            <w:r w:rsidRPr="004B4374">
              <w:rPr>
                <w:rFonts w:ascii="Calibri" w:hAnsi="Calibri" w:cs="Calibri"/>
                <w:b/>
                <w:color w:val="auto"/>
              </w:rPr>
              <w:t>3</w:t>
            </w:r>
            <w:r w:rsidRPr="004B4374">
              <w:rPr>
                <w:rFonts w:ascii="Calibri" w:hAnsi="Calibri" w:cs="Calibri"/>
                <w:b/>
                <w:color w:val="auto"/>
              </w:rPr>
              <w:t>: Edifícios da antiga fábrica da</w:t>
            </w:r>
          </w:p>
          <w:p w:rsidR="00C85CC1" w:rsidRPr="004B4374" w:rsidP="003D1DC4">
            <w:pPr>
              <w:pStyle w:val="Default"/>
              <w:tabs>
                <w:tab w:val="left" w:pos="2055"/>
              </w:tabs>
              <w:jc w:val="both"/>
              <w:rPr>
                <w:rFonts w:ascii="Calibri" w:hAnsi="Calibri" w:cs="Calibri"/>
                <w:b/>
                <w:color w:val="auto"/>
              </w:rPr>
            </w:pPr>
            <w:r w:rsidRPr="004B4374">
              <w:rPr>
                <w:rFonts w:ascii="Calibri" w:hAnsi="Calibri" w:cs="Calibri"/>
                <w:b/>
                <w:color w:val="auto"/>
              </w:rPr>
              <w:t>Companhia Gessy Industrial;</w:t>
            </w:r>
          </w:p>
          <w:p w:rsidR="00C85CC1" w:rsidRPr="004B4374" w:rsidP="003D1DC4">
            <w:pPr>
              <w:pStyle w:val="Default"/>
              <w:tabs>
                <w:tab w:val="left" w:pos="2055"/>
              </w:tabs>
              <w:jc w:val="both"/>
              <w:rPr>
                <w:rFonts w:ascii="Calibri" w:hAnsi="Calibri" w:cs="Calibri"/>
                <w:b/>
                <w:color w:val="auto"/>
              </w:rPr>
            </w:pPr>
            <w:r w:rsidRPr="004B4374">
              <w:rPr>
                <w:rFonts w:ascii="Calibri" w:hAnsi="Calibri" w:cs="Calibri"/>
                <w:b/>
                <w:color w:val="auto"/>
              </w:rPr>
              <w:t xml:space="preserve">IV – AEPHC </w:t>
            </w:r>
            <w:r w:rsidRPr="004B4374">
              <w:rPr>
                <w:rFonts w:ascii="Calibri" w:hAnsi="Calibri" w:cs="Calibri"/>
                <w:b/>
                <w:color w:val="auto"/>
              </w:rPr>
              <w:t>4</w:t>
            </w:r>
            <w:r w:rsidRPr="004B4374">
              <w:rPr>
                <w:rFonts w:ascii="Calibri" w:hAnsi="Calibri" w:cs="Calibri"/>
                <w:b/>
                <w:color w:val="auto"/>
              </w:rPr>
              <w:t xml:space="preserve">: Sede da antiga fazenda </w:t>
            </w:r>
            <w:r w:rsidRPr="004B4374">
              <w:rPr>
                <w:rFonts w:ascii="Calibri" w:hAnsi="Calibri" w:cs="Calibri"/>
                <w:b/>
                <w:color w:val="auto"/>
              </w:rPr>
              <w:t>Cacutá</w:t>
            </w:r>
            <w:r w:rsidRPr="004B4374">
              <w:rPr>
                <w:rFonts w:ascii="Calibri" w:hAnsi="Calibri" w:cs="Calibri"/>
                <w:b/>
                <w:color w:val="auto"/>
              </w:rPr>
              <w:t>.</w:t>
            </w:r>
          </w:p>
          <w:p w:rsidR="00C85CC1" w:rsidRPr="004B4374" w:rsidP="00C85CC1">
            <w:pPr>
              <w:pStyle w:val="Default"/>
              <w:tabs>
                <w:tab w:val="left" w:pos="2055"/>
              </w:tabs>
              <w:jc w:val="both"/>
              <w:rPr>
                <w:rFonts w:ascii="Calibri" w:hAnsi="Calibri" w:cs="Calibri"/>
                <w:b/>
                <w:color w:val="auto"/>
              </w:rPr>
            </w:pPr>
            <w:r w:rsidRPr="004B4374">
              <w:rPr>
                <w:rFonts w:ascii="Calibri" w:hAnsi="Calibri" w:cs="Calibri"/>
                <w:b/>
                <w:color w:val="auto"/>
              </w:rPr>
              <w:t>§ 2º. Também se enquadram como AEPHC os imóveis ou áreas tombadas ou preservadas por legislação Municipal, Estadual ou Federal.</w:t>
            </w:r>
          </w:p>
        </w:tc>
        <w:tc>
          <w:tcPr>
            <w:tcW w:w="4252" w:type="dxa"/>
          </w:tcPr>
          <w:p w:rsidR="00C85CC1" w:rsidP="003D1DC4">
            <w:pPr>
              <w:pStyle w:val="Default"/>
              <w:tabs>
                <w:tab w:val="left" w:pos="2055"/>
              </w:tabs>
              <w:jc w:val="both"/>
              <w:rPr>
                <w:rFonts w:asciiTheme="minorHAnsi" w:hAnsiTheme="minorHAnsi"/>
                <w:i/>
                <w:color w:val="auto"/>
              </w:rPr>
            </w:pPr>
            <w:r w:rsidRPr="00C85CC1">
              <w:rPr>
                <w:rFonts w:asciiTheme="minorHAnsi" w:hAnsiTheme="minorHAnsi"/>
                <w:b/>
                <w:i/>
                <w:color w:val="auto"/>
              </w:rPr>
              <w:t>Art. 1º.</w:t>
            </w:r>
            <w:r w:rsidRPr="00C85CC1">
              <w:rPr>
                <w:rFonts w:asciiTheme="minorHAnsi" w:hAnsiTheme="minorHAnsi"/>
                <w:i/>
                <w:color w:val="auto"/>
              </w:rPr>
              <w:t xml:space="preserve"> Inclui inciso V no § 1º do art. 115 incluído pelo art. 2º da Emenda 27 do Projeto de Lei 185/2022 que “Institui o Plano Diretor Municipal de Valinhos e dá outras providências”. </w:t>
            </w:r>
          </w:p>
          <w:p w:rsidR="00C85CC1" w:rsidP="003D1DC4">
            <w:pPr>
              <w:pStyle w:val="Default"/>
              <w:tabs>
                <w:tab w:val="left" w:pos="2055"/>
              </w:tabs>
              <w:jc w:val="both"/>
              <w:rPr>
                <w:rFonts w:asciiTheme="minorHAnsi" w:hAnsiTheme="minorHAnsi"/>
                <w:i/>
                <w:color w:val="auto"/>
              </w:rPr>
            </w:pPr>
          </w:p>
          <w:p w:rsidR="00C85CC1" w:rsidRPr="00C85CC1" w:rsidP="003D1DC4">
            <w:pPr>
              <w:pStyle w:val="Default"/>
              <w:tabs>
                <w:tab w:val="left" w:pos="2055"/>
              </w:tabs>
              <w:jc w:val="both"/>
              <w:rPr>
                <w:rFonts w:ascii="Calibri" w:hAnsi="Calibri" w:cs="Calibri"/>
                <w:b/>
                <w:color w:val="auto"/>
              </w:rPr>
            </w:pPr>
            <w:r w:rsidRPr="00C85CC1">
              <w:rPr>
                <w:rFonts w:asciiTheme="minorHAnsi" w:hAnsiTheme="minorHAnsi"/>
                <w:b/>
                <w:i/>
                <w:color w:val="auto"/>
              </w:rPr>
              <w:t>V - o Monumento do Cristo Redentor situado na Fazenda Fonte Sônia, o antigo casarão da Fazenda Fonte Sônia, as lagoas, nascentes e mananciais da propriedade.</w:t>
            </w:r>
          </w:p>
        </w:tc>
      </w:tr>
    </w:tbl>
    <w:p w:rsidR="00C85CC1" w:rsidP="00AA0675">
      <w:pPr>
        <w:pStyle w:val="Default"/>
        <w:spacing w:line="360" w:lineRule="auto"/>
        <w:ind w:firstLine="2268"/>
        <w:jc w:val="both"/>
        <w:rPr>
          <w:rFonts w:asciiTheme="minorHAnsi" w:hAnsiTheme="minorHAnsi" w:cs="Calibri"/>
          <w:color w:val="auto"/>
        </w:rPr>
      </w:pPr>
    </w:p>
    <w:p w:rsidR="001962C1" w:rsidRPr="005974BC" w:rsidP="00AA0675">
      <w:pPr>
        <w:pStyle w:val="Default"/>
        <w:spacing w:line="360" w:lineRule="auto"/>
        <w:ind w:firstLine="2268"/>
        <w:jc w:val="both"/>
        <w:rPr>
          <w:rFonts w:asciiTheme="minorHAnsi" w:hAnsiTheme="minorHAnsi" w:cs="Calibri"/>
          <w:color w:val="auto"/>
        </w:rPr>
      </w:pPr>
      <w:r w:rsidRPr="005974BC">
        <w:rPr>
          <w:rFonts w:asciiTheme="minorHAnsi" w:hAnsiTheme="minorHAnsi" w:cs="Calibri"/>
          <w:color w:val="auto"/>
        </w:rPr>
        <w:t>Consta da justificativa do projeto:</w:t>
      </w:r>
    </w:p>
    <w:p w:rsidR="006F4A6E" w:rsidP="00C85CC1">
      <w:pPr>
        <w:pStyle w:val="Default"/>
        <w:spacing w:after="240"/>
        <w:ind w:left="2835"/>
        <w:jc w:val="both"/>
        <w:rPr>
          <w:rFonts w:asciiTheme="minorHAnsi" w:hAnsiTheme="minorHAnsi" w:cs="Calibri"/>
          <w:i/>
        </w:rPr>
      </w:pPr>
      <w:r w:rsidRPr="00C85CC1">
        <w:rPr>
          <w:rFonts w:asciiTheme="minorHAnsi" w:hAnsiTheme="minorHAnsi" w:cs="Calibri"/>
          <w:i/>
        </w:rPr>
        <w:t>O Patrimônio Cultural de cada Município guarda em si referências à identidade, à ação e a memória. A ideia de tombamento vem ao encontro à necessidade de preservar os bens de valor histórico, cultural, arquitetônico, ambiental e afetivo, impedindo assim a sua destruição, ou até mesmo, a sua descaracterização. Pois, se não existirem mecanismos legais de controle e direcionamento destes patrimônios históricos, culturais e ambientais, estas belezas naturais ou arquitetônicas estarão fadadas a desaparecer. Trata-se de um tesouro de grande valor, portanto, o objetivo é preservar os elementos da área que ainda povoam as lembranças de quem costumava a frequentar o local.</w:t>
      </w:r>
    </w:p>
    <w:p w:rsidR="00A779B8" w:rsidRPr="001D644A" w:rsidP="00AB20E0">
      <w:pPr>
        <w:pStyle w:val="Default"/>
        <w:spacing w:after="240" w:line="300" w:lineRule="auto"/>
        <w:ind w:firstLine="2268"/>
        <w:jc w:val="both"/>
        <w:rPr>
          <w:rFonts w:asciiTheme="minorHAnsi" w:hAnsiTheme="minorHAnsi" w:cs="Calibri"/>
        </w:rPr>
      </w:pPr>
      <w:r w:rsidRPr="001D644A">
        <w:rPr>
          <w:rFonts w:asciiTheme="minorHAnsi" w:hAnsiTheme="minorHAnsi" w:cs="Calibri"/>
          <w:i/>
        </w:rPr>
        <w:t>Ab initio</w:t>
      </w:r>
      <w:r w:rsidRPr="001D644A">
        <w:rPr>
          <w:rFonts w:asciiTheme="minorHAnsi" w:hAnsiTheme="minorHAnsi" w:cs="Calibri"/>
        </w:rPr>
        <w:t>, cumpre destacar a competência regimental da Comissão de Justiça e Redação, estabelecida no artigo 38.</w:t>
      </w:r>
    </w:p>
    <w:p w:rsidR="00A779B8" w:rsidRPr="001D644A" w:rsidP="00AB20E0">
      <w:pPr>
        <w:spacing w:after="120" w:line="300" w:lineRule="auto"/>
        <w:ind w:firstLine="2268"/>
        <w:jc w:val="both"/>
        <w:rPr>
          <w:rFonts w:asciiTheme="minorHAnsi" w:hAnsiTheme="minorHAnsi" w:cs="Calibri"/>
        </w:rPr>
      </w:pPr>
      <w:r w:rsidRPr="001D644A">
        <w:rPr>
          <w:rFonts w:asciiTheme="minorHAnsi" w:hAnsiTheme="minorHAnsi" w:cs="Calibri"/>
          <w:szCs w:val="24"/>
        </w:rPr>
        <w:t>Outrossim</w:t>
      </w:r>
      <w:r w:rsidRPr="001D644A">
        <w:rPr>
          <w:rFonts w:asciiTheme="minorHAnsi" w:hAnsiTheme="minorHAnsi" w:cs="Calibri"/>
          <w:szCs w:val="24"/>
        </w:rPr>
        <w:t xml:space="preserve">, ressalta-se que a opinião jurídica exarada neste parecer </w:t>
      </w:r>
      <w:r w:rsidRPr="001D644A">
        <w:rPr>
          <w:rFonts w:asciiTheme="minorHAnsi" w:hAnsiTheme="minorHAnsi" w:cs="Calibri"/>
          <w:b/>
          <w:szCs w:val="24"/>
        </w:rPr>
        <w:t>não tem força vinculante,</w:t>
      </w:r>
      <w:r w:rsidRPr="001D644A" w:rsidR="00A36A7A">
        <w:rPr>
          <w:rFonts w:asciiTheme="minorHAnsi" w:hAnsiTheme="minorHAnsi" w:cs="Calibri"/>
          <w:szCs w:val="24"/>
        </w:rPr>
        <w:t xml:space="preserve"> sendo meramente opinativa</w:t>
      </w:r>
      <w:r>
        <w:rPr>
          <w:rStyle w:val="FootnoteReference"/>
          <w:rFonts w:asciiTheme="minorHAnsi" w:hAnsiTheme="minorHAnsi" w:cs="Calibri"/>
        </w:rPr>
        <w:footnoteReference w:id="2"/>
      </w:r>
      <w:r w:rsidRPr="001D644A" w:rsidR="00DF22E1">
        <w:rPr>
          <w:rFonts w:asciiTheme="minorHAnsi" w:hAnsiTheme="minorHAnsi" w:cs="Calibri"/>
        </w:rPr>
        <w:t xml:space="preserve"> </w:t>
      </w:r>
      <w:r w:rsidRPr="001D644A">
        <w:rPr>
          <w:rFonts w:asciiTheme="minorHAnsi" w:hAnsiTheme="minorHAnsi" w:cs="Calibri"/>
          <w:szCs w:val="24"/>
        </w:rPr>
        <w:t xml:space="preserve"> não fundamentando decisão proferida pelas Comissões e/ou nobres vereadores.</w:t>
      </w:r>
      <w:r w:rsidRPr="001D644A" w:rsidR="00A36A7A">
        <w:rPr>
          <w:rFonts w:asciiTheme="minorHAnsi" w:hAnsiTheme="minorHAnsi" w:cs="Calibri"/>
          <w:szCs w:val="24"/>
        </w:rPr>
        <w:t xml:space="preserve"> </w:t>
      </w:r>
    </w:p>
    <w:p w:rsidR="00A779B8" w:rsidRPr="001D644A" w:rsidP="00AB20E0">
      <w:pPr>
        <w:tabs>
          <w:tab w:val="left" w:pos="1701"/>
        </w:tabs>
        <w:spacing w:after="240" w:line="300" w:lineRule="auto"/>
        <w:ind w:firstLine="2268"/>
        <w:jc w:val="both"/>
        <w:rPr>
          <w:rFonts w:eastAsia="Calibri" w:asciiTheme="minorHAnsi" w:hAnsiTheme="minorHAnsi" w:cs="Calibri"/>
          <w:color w:val="000000"/>
          <w:szCs w:val="24"/>
        </w:rPr>
      </w:pPr>
      <w:r w:rsidRPr="001D644A">
        <w:rPr>
          <w:rFonts w:eastAsia="Calibri" w:asciiTheme="minorHAnsi" w:hAnsiTheme="minorHAnsi" w:cs="Calibri"/>
          <w:color w:val="000000"/>
          <w:szCs w:val="24"/>
        </w:rPr>
        <w:t>Desta feita, considerando os aspectos jurídicos</w:t>
      </w:r>
      <w:r w:rsidRPr="001D644A" w:rsidR="001604ED">
        <w:rPr>
          <w:rFonts w:eastAsia="Calibri" w:asciiTheme="minorHAnsi" w:hAnsiTheme="minorHAnsi" w:cs="Calibri"/>
          <w:color w:val="000000"/>
          <w:szCs w:val="24"/>
        </w:rPr>
        <w:t xml:space="preserve"> passamos para</w:t>
      </w:r>
      <w:r w:rsidRPr="001D644A">
        <w:rPr>
          <w:rFonts w:eastAsia="Calibri" w:asciiTheme="minorHAnsi" w:hAnsiTheme="minorHAnsi" w:cs="Calibri"/>
          <w:color w:val="000000"/>
          <w:szCs w:val="24"/>
        </w:rPr>
        <w:t xml:space="preserve"> análise técnica do projeto em epígrafe solicitado.</w:t>
      </w:r>
    </w:p>
    <w:p w:rsidR="00A779B8" w:rsidRPr="001D644A" w:rsidP="00AB20E0">
      <w:pPr>
        <w:spacing w:before="240" w:after="240" w:line="300" w:lineRule="auto"/>
        <w:ind w:firstLine="2268"/>
        <w:jc w:val="both"/>
        <w:rPr>
          <w:rFonts w:asciiTheme="minorHAnsi" w:hAnsiTheme="minorHAnsi" w:cs="Calibri"/>
          <w:szCs w:val="24"/>
        </w:rPr>
      </w:pPr>
      <w:r w:rsidRPr="001D644A">
        <w:rPr>
          <w:rFonts w:asciiTheme="minorHAnsi" w:hAnsiTheme="minorHAnsi" w:cs="Calibri"/>
          <w:szCs w:val="24"/>
        </w:rPr>
        <w:t>No que tange aos projetos de emendas o Regimento Interno desta Casa de Leis assim estabelece:</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u w:val="single"/>
        </w:rPr>
      </w:pPr>
      <w:r w:rsidRPr="001D644A">
        <w:rPr>
          <w:rFonts w:asciiTheme="minorHAnsi" w:hAnsiTheme="minorHAnsi" w:cs="Calibri"/>
          <w:i/>
          <w:color w:val="000000"/>
          <w:sz w:val="22"/>
          <w:szCs w:val="22"/>
        </w:rPr>
        <w:t xml:space="preserve">Art. 140. </w:t>
      </w:r>
      <w:r w:rsidRPr="001D644A">
        <w:rPr>
          <w:rFonts w:asciiTheme="minorHAnsi" w:hAnsiTheme="minorHAnsi" w:cs="Calibri"/>
          <w:b/>
          <w:i/>
          <w:color w:val="000000"/>
          <w:sz w:val="22"/>
          <w:szCs w:val="22"/>
          <w:u w:val="single"/>
        </w:rPr>
        <w:t>Emenda é a correção apresentada a um dispositivo de projeto de lei ou de resolução.</w:t>
      </w:r>
      <w:r w:rsidRPr="001D644A">
        <w:rPr>
          <w:rFonts w:asciiTheme="minorHAnsi" w:hAnsiTheme="minorHAnsi" w:cs="Calibri"/>
          <w:i/>
          <w:color w:val="000000"/>
          <w:sz w:val="22"/>
          <w:szCs w:val="22"/>
          <w:u w:val="single"/>
        </w:rPr>
        <w:t xml:space="preserve">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1º. Emenda supressiva é a que manda suprimir, em parte ou no todo, o artigo do projeto.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2º. Emenda substitutiva é a que deve ser colocada no lugar do artigo. </w:t>
      </w:r>
    </w:p>
    <w:p w:rsidR="00A779B8" w:rsidRPr="001D644A" w:rsidP="00AB20E0">
      <w:pPr>
        <w:autoSpaceDE w:val="0"/>
        <w:autoSpaceDN w:val="0"/>
        <w:adjustRightInd w:val="0"/>
        <w:spacing w:after="0" w:line="240" w:lineRule="auto"/>
        <w:ind w:left="2835"/>
        <w:jc w:val="both"/>
        <w:rPr>
          <w:rFonts w:asciiTheme="minorHAnsi" w:hAnsiTheme="minorHAnsi" w:cs="Calibri"/>
          <w:b/>
          <w:i/>
          <w:color w:val="000000"/>
          <w:sz w:val="22"/>
          <w:szCs w:val="22"/>
        </w:rPr>
      </w:pPr>
      <w:r w:rsidRPr="001D644A">
        <w:rPr>
          <w:rFonts w:asciiTheme="minorHAnsi" w:hAnsiTheme="minorHAnsi" w:cs="Calibri"/>
          <w:i/>
          <w:color w:val="000000"/>
          <w:sz w:val="22"/>
          <w:szCs w:val="22"/>
        </w:rPr>
        <w:t>§ 3º. Emenda aditiva é a que deve ser acrescentada aos termos do artigo</w:t>
      </w:r>
      <w:r w:rsidRPr="001D644A">
        <w:rPr>
          <w:rFonts w:asciiTheme="minorHAnsi" w:hAnsiTheme="minorHAnsi" w:cs="Calibri"/>
          <w:b/>
          <w:i/>
          <w:color w:val="000000"/>
          <w:sz w:val="22"/>
          <w:szCs w:val="22"/>
        </w:rPr>
        <w:t xml:space="preserve">.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4º. Emenda modificativa é a que se refere apenas à redação do artigo, sem alterar a sua substância.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5º. A emenda apresentada à outra emenda denomina-se subemenda. </w:t>
      </w:r>
    </w:p>
    <w:p w:rsidR="00A779B8" w:rsidRPr="001D644A" w:rsidP="00AB20E0">
      <w:pPr>
        <w:autoSpaceDE w:val="0"/>
        <w:autoSpaceDN w:val="0"/>
        <w:adjustRightInd w:val="0"/>
        <w:spacing w:after="0" w:line="240" w:lineRule="auto"/>
        <w:ind w:left="2835"/>
        <w:jc w:val="both"/>
        <w:rPr>
          <w:rFonts w:asciiTheme="minorHAnsi" w:hAnsiTheme="minorHAnsi" w:cs="Calibri"/>
          <w:b/>
          <w:i/>
          <w:color w:val="000000"/>
          <w:sz w:val="22"/>
          <w:szCs w:val="22"/>
        </w:rPr>
      </w:pPr>
      <w:r w:rsidRPr="001D644A">
        <w:rPr>
          <w:rFonts w:asciiTheme="minorHAnsi" w:hAnsiTheme="minorHAnsi" w:cs="Calibri"/>
          <w:i/>
          <w:color w:val="000000"/>
          <w:sz w:val="22"/>
          <w:szCs w:val="22"/>
        </w:rPr>
        <w:t xml:space="preserve">Art. 141. </w:t>
      </w:r>
      <w:r w:rsidRPr="001D644A">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1º. O autor do projeto que receber substitutivo ou </w:t>
      </w:r>
      <w:r w:rsidRPr="001D644A">
        <w:rPr>
          <w:rFonts w:asciiTheme="minorHAnsi" w:hAnsiTheme="minorHAnsi" w:cs="Calibri"/>
          <w:i/>
          <w:color w:val="000000"/>
          <w:sz w:val="22"/>
          <w:szCs w:val="22"/>
        </w:rPr>
        <w:t>emenda estranhos</w:t>
      </w:r>
      <w:r w:rsidRPr="001D644A">
        <w:rPr>
          <w:rFonts w:asciiTheme="minorHAnsi" w:hAnsiTheme="minorHAnsi" w:cs="Calibri"/>
          <w:i/>
          <w:color w:val="000000"/>
          <w:sz w:val="22"/>
          <w:szCs w:val="22"/>
        </w:rPr>
        <w:t xml:space="preserve"> ao seu objetivo terá o direito de reclamar contra a sua admissão, competindo ao Presidente decidir sobre a reclamação.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2º. Da decisão do Presidente caberá recurso ao Plenário, a ser proposto pelo autor do projeto ou do substitutivo ou emenda.</w:t>
      </w:r>
    </w:p>
    <w:p w:rsidR="00496AA7" w:rsidP="00496AA7">
      <w:pPr>
        <w:autoSpaceDE w:val="0"/>
        <w:autoSpaceDN w:val="0"/>
        <w:adjustRightInd w:val="0"/>
        <w:spacing w:before="240" w:after="240" w:line="360" w:lineRule="auto"/>
        <w:ind w:firstLine="2268"/>
        <w:jc w:val="both"/>
        <w:rPr>
          <w:rFonts w:asciiTheme="minorHAnsi" w:hAnsiTheme="minorHAnsi" w:cs="Calibri"/>
        </w:rPr>
      </w:pPr>
      <w:r>
        <w:rPr>
          <w:rFonts w:asciiTheme="minorHAnsi" w:hAnsiTheme="minorHAnsi" w:cs="Calibri"/>
          <w:szCs w:val="24"/>
        </w:rPr>
        <w:t xml:space="preserve">Destarte, verifica-se que o projeto de subemenda atende aos dispositivos do Regimento Interno da Câmara, </w:t>
      </w:r>
      <w:r>
        <w:rPr>
          <w:rFonts w:asciiTheme="minorHAnsi" w:eastAsiaTheme="minorHAnsi" w:hAnsiTheme="minorHAnsi" w:cs="Calibri"/>
          <w:bCs/>
          <w:lang w:eastAsia="en-US"/>
        </w:rPr>
        <w:t>tratando-se de subemenda que tem relação direta com a matéria da proposição principal,</w:t>
      </w:r>
      <w:r>
        <w:rPr>
          <w:rFonts w:asciiTheme="minorHAnsi" w:hAnsiTheme="minorHAnsi" w:cs="Calibri"/>
        </w:rPr>
        <w:t xml:space="preserve"> não havendo óbice na sua tramitação.</w:t>
      </w:r>
    </w:p>
    <w:p w:rsidR="00E86B5F" w:rsidRPr="001D644A" w:rsidP="00026560">
      <w:pPr>
        <w:autoSpaceDE w:val="0"/>
        <w:autoSpaceDN w:val="0"/>
        <w:adjustRightInd w:val="0"/>
        <w:spacing w:before="240" w:after="240" w:line="360" w:lineRule="auto"/>
        <w:ind w:firstLine="2268"/>
        <w:jc w:val="both"/>
        <w:rPr>
          <w:rFonts w:asciiTheme="minorHAnsi" w:eastAsiaTheme="minorHAnsi" w:hAnsiTheme="minorHAnsi" w:cs="Calibri"/>
          <w:bCs/>
          <w:szCs w:val="24"/>
          <w:lang w:eastAsia="en-US"/>
        </w:rPr>
      </w:pPr>
      <w:bookmarkStart w:id="0" w:name="_GoBack"/>
      <w:bookmarkEnd w:id="0"/>
      <w:r w:rsidRPr="001D644A">
        <w:rPr>
          <w:rFonts w:asciiTheme="minorHAnsi" w:eastAsiaTheme="minorHAnsi" w:hAnsiTheme="minorHAnsi" w:cs="Calibri"/>
          <w:szCs w:val="24"/>
          <w:lang w:eastAsia="en-US"/>
        </w:rPr>
        <w:t xml:space="preserve">Noutro aspecto, cabe ressaltar que em projetos de iniciativa do Executivo resta pacifico na Suprema Corte a possibilidade de emendas parlamentares </w:t>
      </w:r>
      <w:r w:rsidRPr="001D644A">
        <w:rPr>
          <w:rFonts w:asciiTheme="minorHAnsi" w:eastAsiaTheme="minorHAnsi" w:hAnsiTheme="minorHAnsi" w:cs="Calibri"/>
          <w:b/>
          <w:szCs w:val="24"/>
          <w:u w:val="single"/>
          <w:lang w:eastAsia="en-US"/>
        </w:rPr>
        <w:t>desde que guardem pertinência temática com o projeto</w:t>
      </w:r>
      <w:r w:rsidRPr="001D644A">
        <w:rPr>
          <w:rFonts w:asciiTheme="minorHAnsi" w:eastAsiaTheme="minorHAnsi" w:hAnsiTheme="minorHAnsi" w:cs="Calibri"/>
          <w:b/>
          <w:szCs w:val="24"/>
          <w:lang w:eastAsia="en-US"/>
        </w:rPr>
        <w:t xml:space="preserve"> </w:t>
      </w:r>
      <w:r w:rsidRPr="001D644A">
        <w:rPr>
          <w:rFonts w:asciiTheme="minorHAnsi" w:eastAsiaTheme="minorHAnsi" w:hAnsiTheme="minorHAnsi" w:cs="Calibri"/>
          <w:b/>
          <w:szCs w:val="24"/>
          <w:u w:val="single"/>
          <w:lang w:eastAsia="en-US"/>
        </w:rPr>
        <w:t xml:space="preserve">e não </w:t>
      </w:r>
      <w:r w:rsidRPr="001D644A">
        <w:rPr>
          <w:rFonts w:asciiTheme="minorHAnsi" w:eastAsiaTheme="minorHAnsi" w:hAnsiTheme="minorHAnsi" w:cs="Calibri"/>
          <w:b/>
          <w:szCs w:val="24"/>
          <w:u w:val="single"/>
          <w:lang w:eastAsia="en-US"/>
        </w:rPr>
        <w:t>importem</w:t>
      </w:r>
      <w:r w:rsidRPr="001D644A">
        <w:rPr>
          <w:rFonts w:asciiTheme="minorHAnsi" w:eastAsiaTheme="minorHAnsi" w:hAnsiTheme="minorHAnsi" w:cs="Calibri"/>
          <w:b/>
          <w:szCs w:val="24"/>
          <w:u w:val="single"/>
          <w:lang w:eastAsia="en-US"/>
        </w:rPr>
        <w:t xml:space="preserve"> em aumento de despesas</w:t>
      </w:r>
      <w:r w:rsidRPr="001D644A" w:rsidR="000368DD">
        <w:rPr>
          <w:rFonts w:asciiTheme="minorHAnsi" w:eastAsiaTheme="minorHAnsi" w:hAnsiTheme="minorHAnsi" w:cs="Calibri"/>
          <w:b/>
          <w:szCs w:val="24"/>
          <w:u w:val="single"/>
          <w:lang w:eastAsia="en-US"/>
        </w:rPr>
        <w:t xml:space="preserve">, </w:t>
      </w:r>
      <w:r w:rsidRPr="001D644A" w:rsidR="000368DD">
        <w:rPr>
          <w:rFonts w:asciiTheme="minorHAnsi" w:eastAsiaTheme="minorHAnsi" w:hAnsiTheme="minorHAnsi" w:cs="Calibri"/>
          <w:szCs w:val="24"/>
          <w:lang w:eastAsia="en-US"/>
        </w:rPr>
        <w:t>o que desde já se observa na emenda em análise</w:t>
      </w:r>
      <w:r w:rsidRPr="001D644A">
        <w:rPr>
          <w:rFonts w:asciiTheme="minorHAnsi" w:eastAsiaTheme="minorHAnsi" w:hAnsiTheme="minorHAnsi" w:cs="Calibri"/>
          <w:szCs w:val="24"/>
          <w:lang w:eastAsia="en-US"/>
        </w:rPr>
        <w:t>:</w:t>
      </w:r>
    </w:p>
    <w:p w:rsidR="00E86B5F" w:rsidRPr="001D644A"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 xml:space="preserve">AÇÃO DIRETA DE INCONSTITUCIONALIDADE. ART. 2º DA LEI GAÚCHA N. 11.639/2001. CADASTRO DE CONTRATAÇÕES TEMPORÁRIAS. CRIAÇÃO DE PROCEDIMENTOS ADMINISTRATIVOS QUE DEVEM SER OBSERVADOS PELO PODER EXECUTIVO NA CONTRATAÇÃO DE SERVIDORES TEMPORÁRIOS. </w:t>
      </w:r>
      <w:r w:rsidRPr="001D644A">
        <w:rPr>
          <w:rFonts w:asciiTheme="minorHAnsi" w:eastAsiaTheme="minorHAnsi" w:hAnsiTheme="minorHAnsi" w:cs="Calibri"/>
          <w:i/>
          <w:sz w:val="22"/>
          <w:szCs w:val="22"/>
          <w:lang w:eastAsia="en-US"/>
        </w:rPr>
        <w:t>EMENDAS PARLAMENTARES EM PROJETO DE LEI DE INICIATIVA DO GOVERNADOR DO ESTADO. INOCORRÊNCIA DE INVASÃO DA COMPETÊNCIA DO CHEFE DO PODER EXECUTIVO. AÇÃO DIRETA DE INCONSTITUCIONALIDADE JULGADA IMPROCEDENTE.</w:t>
      </w:r>
    </w:p>
    <w:p w:rsidR="00E86B5F" w:rsidRPr="001D644A"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 xml:space="preserve">1. </w:t>
      </w:r>
      <w:r w:rsidRPr="001D644A">
        <w:rPr>
          <w:rFonts w:asciiTheme="minorHAnsi" w:eastAsiaTheme="minorHAnsi" w:hAnsi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1D644A"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1D644A"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3. Ação direta de inconstitucionalidade julgada improcedente.</w:t>
      </w:r>
    </w:p>
    <w:p w:rsidR="00E86B5F" w:rsidRPr="001D644A" w:rsidP="006643E0">
      <w:pPr>
        <w:shd w:val="clear" w:color="auto" w:fill="FFFFFF"/>
        <w:spacing w:after="0" w:line="240" w:lineRule="auto"/>
        <w:ind w:left="2835"/>
        <w:jc w:val="both"/>
        <w:rPr>
          <w:rFonts w:asciiTheme="minorHAnsi" w:hAnsiTheme="minorHAnsi" w:cs="Calibri"/>
          <w:i/>
        </w:rPr>
      </w:pPr>
      <w:r w:rsidRPr="001D644A">
        <w:rPr>
          <w:rFonts w:asciiTheme="minorHAnsi" w:hAnsiTheme="minorHAnsi" w:cs="Calibri"/>
          <w:i/>
        </w:rPr>
        <w:t>(STF. ADI 2583 RS. Plenário, 01.08.2011</w:t>
      </w:r>
      <w:r w:rsidRPr="001D644A">
        <w:rPr>
          <w:rFonts w:asciiTheme="minorHAnsi" w:hAnsiTheme="minorHAnsi" w:cs="Calibri"/>
          <w:i/>
        </w:rPr>
        <w:t>)</w:t>
      </w:r>
    </w:p>
    <w:p w:rsidR="00E86B5F" w:rsidRPr="001D644A" w:rsidP="00E86B5F">
      <w:pPr>
        <w:shd w:val="clear" w:color="auto" w:fill="FFFFFF"/>
        <w:ind w:left="2268"/>
        <w:jc w:val="both"/>
        <w:rPr>
          <w:rFonts w:asciiTheme="minorHAnsi" w:hAnsiTheme="minorHAnsi" w:cs="Calibri"/>
          <w:i/>
          <w:sz w:val="12"/>
          <w:szCs w:val="12"/>
        </w:rPr>
      </w:pPr>
    </w:p>
    <w:p w:rsidR="00E86B5F" w:rsidRPr="001D644A" w:rsidP="006643E0">
      <w:pPr>
        <w:spacing w:after="0" w:line="360" w:lineRule="auto"/>
        <w:ind w:firstLine="2268"/>
        <w:jc w:val="both"/>
        <w:rPr>
          <w:rFonts w:asciiTheme="minorHAnsi" w:hAnsiTheme="minorHAnsi" w:cs="Calibri"/>
          <w:szCs w:val="24"/>
        </w:rPr>
      </w:pPr>
      <w:r w:rsidRPr="001D644A">
        <w:rPr>
          <w:rFonts w:asciiTheme="minorHAnsi" w:hAnsiTheme="minorHAnsi" w:cs="Calibri"/>
          <w:szCs w:val="24"/>
        </w:rPr>
        <w:t>No mesmo sentido o Tribunal de Justiça do Estado de São Paulo:</w:t>
      </w:r>
    </w:p>
    <w:p w:rsidR="00E86B5F" w:rsidRPr="001D644A" w:rsidP="006643E0">
      <w:pPr>
        <w:spacing w:after="0" w:line="240" w:lineRule="auto"/>
        <w:ind w:left="2835"/>
        <w:jc w:val="both"/>
        <w:rPr>
          <w:rFonts w:asciiTheme="minorHAnsi" w:hAnsiTheme="minorHAnsi" w:cs="Calibri"/>
          <w:i/>
          <w:sz w:val="22"/>
          <w:szCs w:val="22"/>
        </w:rPr>
      </w:pPr>
      <w:r w:rsidRPr="001D644A">
        <w:rPr>
          <w:rFonts w:asciiTheme="minorHAnsi" w:hAnsiTheme="minorHAnsi" w:cs="Calibri"/>
          <w:i/>
          <w:sz w:val="22"/>
          <w:szCs w:val="22"/>
        </w:rPr>
        <w:t xml:space="preserve">PARÂMETRO DE CONSTITUCIONALIDADE. Compatibilidade entre a norma </w:t>
      </w:r>
      <w:r w:rsidRPr="001D644A">
        <w:rPr>
          <w:rFonts w:asciiTheme="minorHAnsi" w:hAnsiTheme="minorHAnsi" w:cs="Calibri"/>
          <w:i/>
          <w:sz w:val="22"/>
          <w:szCs w:val="22"/>
        </w:rPr>
        <w:t>impugnada e dispositivos da Lei Orgânica Municipal e do Regimento Interno da Câmara</w:t>
      </w:r>
      <w:r w:rsidRPr="001D644A">
        <w:rPr>
          <w:rFonts w:asciiTheme="minorHAnsi" w:hAnsiTheme="minorHAnsi" w:cs="Calibri"/>
          <w:i/>
          <w:sz w:val="22"/>
          <w:szCs w:val="22"/>
        </w:rPr>
        <w:t xml:space="preserve">. Inadmissibilidade. Aplicação dos artigos 125, § 2º, da CF, e 74, </w:t>
      </w:r>
      <w:r w:rsidRPr="001D644A">
        <w:rPr>
          <w:rFonts w:asciiTheme="minorHAnsi" w:hAnsiTheme="minorHAnsi" w:cs="Calibri"/>
          <w:i/>
          <w:sz w:val="22"/>
          <w:szCs w:val="22"/>
        </w:rPr>
        <w:t>VI</w:t>
      </w:r>
      <w:r w:rsidRPr="001D644A">
        <w:rPr>
          <w:rFonts w:asciiTheme="minorHAnsi" w:hAnsiTheme="minorHAnsi" w:cs="Calibri"/>
          <w:i/>
          <w:sz w:val="22"/>
          <w:szCs w:val="22"/>
        </w:rPr>
        <w:t xml:space="preserve">, da CE. Precedentes. Não conheço da ação quanto aos parâmetros apontados LOM e Regimento Interno da Câmara. </w:t>
      </w:r>
    </w:p>
    <w:p w:rsidR="00E86B5F" w:rsidRPr="001D644A" w:rsidP="001153BC">
      <w:pPr>
        <w:spacing w:after="120" w:line="240" w:lineRule="auto"/>
        <w:ind w:left="2835"/>
        <w:jc w:val="both"/>
        <w:rPr>
          <w:rFonts w:asciiTheme="minorHAnsi" w:hAnsiTheme="minorHAnsi" w:cs="Calibri"/>
          <w:i/>
          <w:sz w:val="22"/>
          <w:szCs w:val="22"/>
        </w:rPr>
      </w:pPr>
      <w:r w:rsidRPr="001D644A">
        <w:rPr>
          <w:rFonts w:asciiTheme="minorHAnsi" w:hAnsiTheme="minorHAnsi" w:cs="Calibri"/>
          <w:i/>
          <w:sz w:val="22"/>
          <w:szCs w:val="22"/>
        </w:rPr>
        <w:t xml:space="preserve">AÇÃO DIRETA DE INCONSTITUCIONALIDADE Art. 1º da LC nº 2.064, de 04.03.20, do Município de </w:t>
      </w:r>
      <w:r w:rsidRPr="001D644A">
        <w:rPr>
          <w:rFonts w:asciiTheme="minorHAnsi" w:hAnsiTheme="minorHAnsi" w:cs="Calibri"/>
          <w:i/>
          <w:sz w:val="22"/>
          <w:szCs w:val="22"/>
        </w:rPr>
        <w:t>Icém</w:t>
      </w:r>
      <w:r w:rsidRPr="001D644A">
        <w:rPr>
          <w:rFonts w:asciiTheme="minorHAnsi" w:hAnsiTheme="minorHAns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1D644A">
        <w:rPr>
          <w:rFonts w:asciiTheme="minorHAnsi" w:hAnsiTheme="minorHAnsi" w:cs="Calibri"/>
          <w:b/>
          <w:i/>
          <w:sz w:val="22"/>
          <w:szCs w:val="22"/>
        </w:rPr>
        <w:t>Emenda parlamentar. Possível a realização de emendas parlamentares em projetos de lei de iniciativa reservada ao Poder Executivo, desde que (i) mantenham pertinência temática com o objeto do projeto de lei e (</w:t>
      </w:r>
      <w:r w:rsidRPr="001D644A">
        <w:rPr>
          <w:rFonts w:asciiTheme="minorHAnsi" w:hAnsiTheme="minorHAnsi" w:cs="Calibri"/>
          <w:b/>
          <w:i/>
          <w:sz w:val="22"/>
          <w:szCs w:val="22"/>
        </w:rPr>
        <w:t>ii</w:t>
      </w:r>
      <w:r w:rsidRPr="001D644A">
        <w:rPr>
          <w:rFonts w:asciiTheme="minorHAnsi" w:hAnsiTheme="minorHAnsi" w:cs="Calibri"/>
          <w:b/>
          <w:i/>
          <w:sz w:val="22"/>
          <w:szCs w:val="22"/>
        </w:rPr>
        <w:t>) não acarretem aumento de despesa.</w:t>
      </w:r>
      <w:r w:rsidRPr="001D644A">
        <w:rPr>
          <w:rFonts w:asciiTheme="minorHAnsi" w:hAnsiTheme="minorHAns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1D644A">
        <w:rPr>
          <w:rFonts w:asciiTheme="minorHAnsi" w:hAnsiTheme="minorHAnsi" w:cs="Calibri"/>
          <w:i/>
          <w:sz w:val="22"/>
          <w:szCs w:val="22"/>
        </w:rPr>
        <w:t>são</w:t>
      </w:r>
      <w:r w:rsidRPr="001D644A">
        <w:rPr>
          <w:rFonts w:asciiTheme="minorHAnsi" w:hAnsiTheme="minorHAnsi" w:cs="Calibri"/>
          <w:i/>
          <w:sz w:val="22"/>
          <w:szCs w:val="22"/>
        </w:rPr>
        <w:t xml:space="preserve"> decorrência lógica do teor da emenda. Princípio da isonomia. Ausente </w:t>
      </w:r>
      <w:r w:rsidRPr="001D644A">
        <w:rPr>
          <w:rFonts w:asciiTheme="minorHAnsi" w:hAnsiTheme="minorHAnsi" w:cs="Calibri"/>
          <w:i/>
          <w:sz w:val="22"/>
          <w:szCs w:val="22"/>
        </w:rPr>
        <w:t>a</w:t>
      </w:r>
      <w:r w:rsidRPr="001D644A">
        <w:rPr>
          <w:rFonts w:asciiTheme="minorHAnsi" w:hAnsiTheme="minorHAnsi" w:cs="Calibri"/>
          <w:i/>
          <w:sz w:val="22"/>
          <w:szCs w:val="22"/>
        </w:rPr>
        <w:t xml:space="preserve"> apontada violação. Restrição </w:t>
      </w:r>
      <w:r w:rsidRPr="001D644A">
        <w:rPr>
          <w:rFonts w:asciiTheme="minorHAnsi" w:hAnsiTheme="minorHAnsi" w:cs="Calibri"/>
          <w:i/>
          <w:sz w:val="22"/>
          <w:szCs w:val="22"/>
        </w:rPr>
        <w:t xml:space="preserve">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1D644A">
        <w:rPr>
          <w:rFonts w:asciiTheme="minorHAnsi" w:hAnsiTheme="minorHAnsi" w:cs="Calibri"/>
          <w:i/>
          <w:sz w:val="22"/>
          <w:szCs w:val="22"/>
        </w:rPr>
        <w:t>Eg</w:t>
      </w:r>
      <w:r w:rsidRPr="001D644A">
        <w:rPr>
          <w:rFonts w:asciiTheme="minorHAnsi" w:hAnsiTheme="minorHAns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1D644A" w:rsidR="00026560">
        <w:rPr>
          <w:rFonts w:asciiTheme="minorHAnsi" w:hAnsiTheme="minorHAnsi" w:cs="Calibri"/>
          <w:i/>
          <w:sz w:val="22"/>
          <w:szCs w:val="22"/>
        </w:rPr>
        <w:t xml:space="preserve"> </w:t>
      </w:r>
      <w:r w:rsidRPr="001D644A">
        <w:rPr>
          <w:rFonts w:asciiTheme="minorHAnsi" w:hAnsiTheme="minorHAnsi" w:cs="Calibri"/>
          <w:i/>
          <w:sz w:val="22"/>
          <w:szCs w:val="22"/>
        </w:rPr>
        <w:t>(TJSP. Adin nº 2044212-77.2020.8.26.0000. Rel. Des. Evaristo dos Santos. Data de Julgamento: 12/08/2020</w:t>
      </w:r>
      <w:r w:rsidRPr="001D644A">
        <w:rPr>
          <w:rFonts w:asciiTheme="minorHAnsi" w:hAnsiTheme="minorHAnsi" w:cs="Calibri"/>
          <w:i/>
          <w:sz w:val="22"/>
          <w:szCs w:val="22"/>
        </w:rPr>
        <w:t>)</w:t>
      </w:r>
    </w:p>
    <w:p w:rsidR="00F50ADA" w:rsidRPr="001D644A" w:rsidP="00E86B5F">
      <w:pPr>
        <w:spacing w:after="240" w:line="240" w:lineRule="auto"/>
        <w:ind w:left="2268"/>
        <w:jc w:val="both"/>
        <w:rPr>
          <w:rFonts w:asciiTheme="minorHAnsi" w:hAnsiTheme="minorHAnsi" w:cs="Calibri"/>
          <w:i/>
          <w:sz w:val="4"/>
          <w:szCs w:val="4"/>
        </w:rPr>
      </w:pPr>
    </w:p>
    <w:p w:rsidR="001962C1" w:rsidRPr="001D644A" w:rsidP="00074468">
      <w:pPr>
        <w:pStyle w:val="BodyText"/>
        <w:spacing w:after="240" w:line="360" w:lineRule="auto"/>
        <w:ind w:firstLine="2268"/>
        <w:jc w:val="both"/>
        <w:rPr>
          <w:rFonts w:asciiTheme="minorHAnsi" w:hAnsiTheme="minorHAnsi" w:cs="Calibri"/>
          <w:szCs w:val="24"/>
        </w:rPr>
      </w:pPr>
      <w:r w:rsidRPr="001D644A">
        <w:rPr>
          <w:rFonts w:asciiTheme="minorHAnsi" w:hAnsiTheme="minorHAnsi" w:cs="Calibri"/>
          <w:szCs w:val="24"/>
        </w:rPr>
        <w:t xml:space="preserve">Por fim, quanto ao aspecto gramatical e lógico </w:t>
      </w:r>
      <w:r w:rsidRPr="001D644A">
        <w:rPr>
          <w:rFonts w:asciiTheme="minorHAnsi" w:hAnsiTheme="minorHAnsi" w:cs="Calibri"/>
          <w:szCs w:val="24"/>
        </w:rPr>
        <w:t>o projeto atende aos</w:t>
      </w:r>
      <w:r w:rsidRPr="001D644A">
        <w:rPr>
          <w:rFonts w:asciiTheme="minorHAnsi" w:hAnsiTheme="minorHAnsi" w:cs="Calibri"/>
          <w:szCs w:val="24"/>
        </w:rPr>
        <w:t xml:space="preserve"> preceitos da Lei Complementar nº 95 de 1998 que dispõe sobre a elaboração, redação, alt</w:t>
      </w:r>
      <w:r w:rsidRPr="001D644A">
        <w:rPr>
          <w:rFonts w:asciiTheme="minorHAnsi" w:hAnsiTheme="minorHAnsi" w:cs="Calibri"/>
          <w:szCs w:val="24"/>
        </w:rPr>
        <w:t>eração e consolidação das leis.</w:t>
      </w:r>
    </w:p>
    <w:p w:rsidR="00F50ADA" w:rsidRPr="001D644A" w:rsidP="00074468">
      <w:pPr>
        <w:pStyle w:val="BodyText"/>
        <w:spacing w:after="240" w:line="360" w:lineRule="auto"/>
        <w:ind w:firstLine="2268"/>
        <w:jc w:val="both"/>
        <w:rPr>
          <w:rFonts w:asciiTheme="minorHAnsi" w:hAnsiTheme="minorHAnsi" w:cs="Calibri"/>
          <w:bCs/>
          <w:snapToGrid w:val="0"/>
          <w:color w:val="000000"/>
          <w:szCs w:val="26"/>
        </w:rPr>
      </w:pPr>
      <w:r w:rsidRPr="001D644A">
        <w:rPr>
          <w:rFonts w:asciiTheme="minorHAnsi" w:hAnsiTheme="minorHAnsi" w:cs="Calibri"/>
          <w:szCs w:val="24"/>
        </w:rPr>
        <w:t xml:space="preserve">Ante o exposto, conclui-se pela constitucionalidade </w:t>
      </w:r>
      <w:r w:rsidRPr="001D644A" w:rsidR="001962C1">
        <w:rPr>
          <w:rFonts w:asciiTheme="minorHAnsi" w:hAnsiTheme="minorHAnsi" w:cs="Calibri"/>
          <w:szCs w:val="24"/>
        </w:rPr>
        <w:t xml:space="preserve">e legalidade </w:t>
      </w:r>
      <w:r w:rsidRPr="001D644A">
        <w:rPr>
          <w:rFonts w:asciiTheme="minorHAnsi" w:hAnsiTheme="minorHAnsi" w:cs="Calibri"/>
          <w:szCs w:val="24"/>
        </w:rPr>
        <w:t xml:space="preserve">do projeto de </w:t>
      </w:r>
      <w:r w:rsidRPr="001D644A" w:rsidR="00201CBB">
        <w:rPr>
          <w:rFonts w:asciiTheme="minorHAnsi" w:hAnsiTheme="minorHAnsi" w:cs="Calibri"/>
          <w:szCs w:val="24"/>
        </w:rPr>
        <w:t>sub</w:t>
      </w:r>
      <w:r w:rsidRPr="001D644A">
        <w:rPr>
          <w:rFonts w:asciiTheme="minorHAnsi" w:hAnsiTheme="minorHAnsi" w:cs="Calibri"/>
          <w:szCs w:val="24"/>
        </w:rPr>
        <w:t>emenda</w:t>
      </w:r>
      <w:r w:rsidRPr="001D644A" w:rsidR="001962C1">
        <w:rPr>
          <w:rFonts w:asciiTheme="minorHAnsi" w:hAnsiTheme="minorHAnsi" w:cs="Calibri"/>
          <w:szCs w:val="24"/>
        </w:rPr>
        <w:t>.</w:t>
      </w:r>
      <w:r w:rsidRPr="001D644A">
        <w:rPr>
          <w:rFonts w:asciiTheme="minorHAnsi" w:hAnsiTheme="minorHAnsi" w:cs="Calibri"/>
          <w:szCs w:val="24"/>
        </w:rPr>
        <w:t xml:space="preserve"> </w:t>
      </w:r>
      <w:r w:rsidRPr="001D644A" w:rsidR="00A779B8">
        <w:rPr>
          <w:rFonts w:asciiTheme="minorHAnsi" w:hAnsiTheme="minorHAnsi" w:cs="Calibri"/>
          <w:szCs w:val="24"/>
        </w:rPr>
        <w:t>Sobre o mérito, manifestar-se-á o Soberano Plenário.</w:t>
      </w:r>
    </w:p>
    <w:p w:rsidR="00F50ADA" w:rsidRPr="001D644A" w:rsidP="00026560">
      <w:pPr>
        <w:autoSpaceDE w:val="0"/>
        <w:autoSpaceDN w:val="0"/>
        <w:adjustRightInd w:val="0"/>
        <w:spacing w:before="120" w:after="120" w:line="360" w:lineRule="auto"/>
        <w:ind w:firstLine="2268"/>
        <w:jc w:val="both"/>
        <w:rPr>
          <w:rFonts w:asciiTheme="minorHAnsi" w:hAnsiTheme="minorHAnsi" w:cs="Calibri"/>
          <w:szCs w:val="24"/>
        </w:rPr>
      </w:pPr>
      <w:r w:rsidRPr="001D644A">
        <w:rPr>
          <w:rFonts w:asciiTheme="minorHAnsi" w:hAnsiTheme="minorHAnsi" w:cs="Calibri"/>
          <w:szCs w:val="24"/>
        </w:rPr>
        <w:t>É o parecer, a superior consideração.</w:t>
      </w:r>
    </w:p>
    <w:p w:rsidR="00A779B8" w:rsidRPr="007C788D" w:rsidP="00026560">
      <w:pPr>
        <w:autoSpaceDE w:val="0"/>
        <w:autoSpaceDN w:val="0"/>
        <w:adjustRightInd w:val="0"/>
        <w:spacing w:before="120" w:after="120" w:line="360" w:lineRule="auto"/>
        <w:ind w:firstLine="2268"/>
        <w:jc w:val="both"/>
        <w:rPr>
          <w:rFonts w:asciiTheme="minorHAnsi" w:hAnsiTheme="minorHAnsi" w:cs="Calibri"/>
          <w:szCs w:val="24"/>
        </w:rPr>
      </w:pPr>
      <w:r w:rsidRPr="001D644A">
        <w:rPr>
          <w:rFonts w:asciiTheme="minorHAnsi" w:hAnsiTheme="minorHAnsi" w:cs="Calibri"/>
          <w:szCs w:val="24"/>
        </w:rPr>
        <w:t xml:space="preserve">Procuradoria, </w:t>
      </w:r>
      <w:r w:rsidRPr="007C788D" w:rsidR="007C788D">
        <w:rPr>
          <w:rFonts w:asciiTheme="minorHAnsi" w:hAnsiTheme="minorHAnsi" w:cs="Calibri"/>
          <w:szCs w:val="24"/>
        </w:rPr>
        <w:t>29</w:t>
      </w:r>
      <w:r w:rsidRPr="007C788D">
        <w:rPr>
          <w:rFonts w:asciiTheme="minorHAnsi" w:hAnsiTheme="minorHAnsi" w:cs="Calibri"/>
          <w:szCs w:val="24"/>
        </w:rPr>
        <w:t xml:space="preserve"> de </w:t>
      </w:r>
      <w:r w:rsidRPr="007C788D" w:rsidR="00D7536E">
        <w:rPr>
          <w:rFonts w:asciiTheme="minorHAnsi" w:hAnsiTheme="minorHAnsi" w:cs="Calibri"/>
          <w:szCs w:val="24"/>
        </w:rPr>
        <w:t>novembro</w:t>
      </w:r>
      <w:r w:rsidRPr="007C788D">
        <w:rPr>
          <w:rFonts w:asciiTheme="minorHAnsi" w:hAnsiTheme="minorHAnsi" w:cs="Calibri"/>
          <w:szCs w:val="24"/>
        </w:rPr>
        <w:t xml:space="preserve"> de 202</w:t>
      </w:r>
      <w:r w:rsidRPr="007C788D" w:rsidR="000368DD">
        <w:rPr>
          <w:rFonts w:asciiTheme="minorHAnsi" w:hAnsiTheme="minorHAnsi" w:cs="Calibri"/>
          <w:szCs w:val="24"/>
        </w:rPr>
        <w:t>3</w:t>
      </w:r>
      <w:r w:rsidRPr="007C788D">
        <w:rPr>
          <w:rFonts w:asciiTheme="minorHAnsi" w:hAnsiTheme="minorHAnsi" w:cs="Calibri"/>
          <w:szCs w:val="24"/>
        </w:rPr>
        <w:t>.</w:t>
      </w:r>
    </w:p>
    <w:p w:rsidR="00766226" w:rsidRPr="001D644A" w:rsidP="00F50ADA">
      <w:pPr>
        <w:pStyle w:val="BodyText"/>
        <w:spacing w:after="0" w:line="240" w:lineRule="auto"/>
        <w:jc w:val="center"/>
        <w:rPr>
          <w:rFonts w:asciiTheme="minorHAnsi" w:hAnsiTheme="minorHAnsi" w:cs="Calibri"/>
        </w:rPr>
      </w:pPr>
    </w:p>
    <w:p w:rsidR="00D7536E" w:rsidRPr="001D644A" w:rsidP="00D7536E">
      <w:pPr>
        <w:spacing w:after="0" w:line="360" w:lineRule="auto"/>
        <w:ind w:firstLine="1701"/>
        <w:jc w:val="both"/>
        <w:rPr>
          <w:rFonts w:asciiTheme="minorHAnsi" w:hAnsiTheme="minorHAnsi" w:cstheme="minorHAnsi"/>
          <w:szCs w:val="24"/>
        </w:rPr>
      </w:pPr>
    </w:p>
    <w:p w:rsidR="00D7536E" w:rsidRPr="001D644A" w:rsidP="00201CBB">
      <w:pPr>
        <w:tabs>
          <w:tab w:val="left" w:pos="2880"/>
        </w:tabs>
        <w:spacing w:after="0" w:line="240" w:lineRule="auto"/>
        <w:jc w:val="center"/>
        <w:rPr>
          <w:rFonts w:asciiTheme="minorHAnsi" w:hAnsiTheme="minorHAnsi" w:cstheme="minorHAnsi"/>
          <w:b/>
          <w:szCs w:val="24"/>
        </w:rPr>
      </w:pPr>
      <w:r w:rsidRPr="001D644A">
        <w:rPr>
          <w:rFonts w:asciiTheme="minorHAnsi" w:hAnsiTheme="minorHAnsi" w:cstheme="minorHAnsi"/>
          <w:b/>
          <w:szCs w:val="24"/>
        </w:rPr>
        <w:t>Rosemeire de Souza Cardoso Barbosa</w:t>
      </w:r>
    </w:p>
    <w:p w:rsidR="00D7536E" w:rsidRPr="001D644A" w:rsidP="00D7536E">
      <w:pPr>
        <w:tabs>
          <w:tab w:val="left" w:pos="2880"/>
        </w:tabs>
        <w:spacing w:after="0" w:line="240" w:lineRule="auto"/>
        <w:jc w:val="center"/>
        <w:rPr>
          <w:rFonts w:asciiTheme="minorHAnsi" w:hAnsiTheme="minorHAnsi" w:cstheme="minorHAnsi"/>
          <w:b/>
          <w:szCs w:val="24"/>
        </w:rPr>
      </w:pPr>
      <w:r w:rsidRPr="001D644A">
        <w:rPr>
          <w:rFonts w:asciiTheme="minorHAnsi" w:hAnsiTheme="minorHAnsi" w:cstheme="minorHAnsi"/>
          <w:b/>
          <w:szCs w:val="24"/>
        </w:rPr>
        <w:t xml:space="preserve">Procuradora – OAB/SP 308.298                               </w:t>
      </w:r>
    </w:p>
    <w:p w:rsidR="00D7536E" w:rsidRPr="001D644A" w:rsidP="00D7536E">
      <w:pPr>
        <w:pStyle w:val="BodyText"/>
        <w:spacing w:after="0" w:line="240" w:lineRule="auto"/>
        <w:jc w:val="center"/>
        <w:rPr>
          <w:rFonts w:asciiTheme="minorHAnsi" w:hAnsiTheme="minorHAnsi" w:cs="Calibri"/>
        </w:rPr>
      </w:pPr>
      <w:r w:rsidRPr="001D644A">
        <w:rPr>
          <w:rFonts w:asciiTheme="minorHAnsi" w:hAnsiTheme="minorHAnsi" w:cstheme="minorHAnsi"/>
          <w:szCs w:val="24"/>
        </w:rPr>
        <w:t xml:space="preserve">Assinatura eletrônica                                                 </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496AA7">
              <w:rPr>
                <w:b/>
                <w:bCs/>
                <w:noProof/>
                <w:sz w:val="18"/>
                <w:szCs w:val="18"/>
              </w:rPr>
              <w:t>5</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496AA7">
              <w:rPr>
                <w:b/>
                <w:bCs/>
                <w:noProof/>
                <w:sz w:val="18"/>
                <w:szCs w:val="18"/>
              </w:rPr>
              <w:t>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4113791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3155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285674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65285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2778834"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D5368"/>
    <w:rsid w:val="000E2AF4"/>
    <w:rsid w:val="000F259D"/>
    <w:rsid w:val="00112DFC"/>
    <w:rsid w:val="001153BC"/>
    <w:rsid w:val="001604ED"/>
    <w:rsid w:val="001672D5"/>
    <w:rsid w:val="001962C1"/>
    <w:rsid w:val="001D644A"/>
    <w:rsid w:val="00200A82"/>
    <w:rsid w:val="00201CBB"/>
    <w:rsid w:val="0020224C"/>
    <w:rsid w:val="0023693B"/>
    <w:rsid w:val="00336C41"/>
    <w:rsid w:val="003A2F4F"/>
    <w:rsid w:val="003A49AF"/>
    <w:rsid w:val="003D1DC4"/>
    <w:rsid w:val="00435E91"/>
    <w:rsid w:val="00473A76"/>
    <w:rsid w:val="00496AA7"/>
    <w:rsid w:val="004B4374"/>
    <w:rsid w:val="005513B1"/>
    <w:rsid w:val="005723D1"/>
    <w:rsid w:val="005974BC"/>
    <w:rsid w:val="005C5CFD"/>
    <w:rsid w:val="005E2C70"/>
    <w:rsid w:val="005E6247"/>
    <w:rsid w:val="00621D83"/>
    <w:rsid w:val="00636403"/>
    <w:rsid w:val="0063694E"/>
    <w:rsid w:val="00646BC4"/>
    <w:rsid w:val="006643E0"/>
    <w:rsid w:val="006F2E14"/>
    <w:rsid w:val="006F4A6E"/>
    <w:rsid w:val="0071039A"/>
    <w:rsid w:val="00766226"/>
    <w:rsid w:val="007C788D"/>
    <w:rsid w:val="00810ED4"/>
    <w:rsid w:val="008662E5"/>
    <w:rsid w:val="0089277F"/>
    <w:rsid w:val="008C4EFD"/>
    <w:rsid w:val="008E128F"/>
    <w:rsid w:val="009550F0"/>
    <w:rsid w:val="009A07D0"/>
    <w:rsid w:val="00A36A7A"/>
    <w:rsid w:val="00A56E27"/>
    <w:rsid w:val="00A779B8"/>
    <w:rsid w:val="00A87ED2"/>
    <w:rsid w:val="00A94458"/>
    <w:rsid w:val="00AA0675"/>
    <w:rsid w:val="00AB20E0"/>
    <w:rsid w:val="00AD055D"/>
    <w:rsid w:val="00B33EC1"/>
    <w:rsid w:val="00B554F6"/>
    <w:rsid w:val="00B62E93"/>
    <w:rsid w:val="00B80A2F"/>
    <w:rsid w:val="00BC5BCF"/>
    <w:rsid w:val="00BD58B4"/>
    <w:rsid w:val="00C669D7"/>
    <w:rsid w:val="00C85CC1"/>
    <w:rsid w:val="00CA0155"/>
    <w:rsid w:val="00D34B79"/>
    <w:rsid w:val="00D6369B"/>
    <w:rsid w:val="00D7536E"/>
    <w:rsid w:val="00D75ECD"/>
    <w:rsid w:val="00DF22E1"/>
    <w:rsid w:val="00DF632C"/>
    <w:rsid w:val="00E86B5F"/>
    <w:rsid w:val="00F33C89"/>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 w:type="character" w:styleId="Hyperlink">
    <w:name w:val="Hyperlink"/>
    <w:basedOn w:val="DefaultParagraphFont"/>
    <w:uiPriority w:val="99"/>
    <w:unhideWhenUsed/>
    <w:rsid w:val="001D6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96E4-603F-4199-B01D-AC855A0A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1334</Words>
  <Characters>7209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dcterms:created xsi:type="dcterms:W3CDTF">2023-11-29T18:53:00Z</dcterms:created>
  <dcterms:modified xsi:type="dcterms:W3CDTF">2023-11-30T16:39:00Z</dcterms:modified>
</cp:coreProperties>
</file>