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Hlk147232059"/>
      <w:bookmarkStart w:id="1" w:name="_GoBack"/>
      <w:bookmarkEnd w:id="1"/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162/2023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144</w:t>
      </w:r>
      <w:r w:rsidRPr="00A548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58/2023)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Autoriza a compensação de débitos e créditos entre o Município de Valinhos e os contribuintes, bem como a utilização do instituto de dação em pagamento para extinção de crédi</w:t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tos tributários municipais, e dá outras providências.</w:t>
      </w:r>
    </w:p>
    <w:bookmarkEnd w:id="0"/>
    <w:p w:rsidR="004F1A16" w:rsidRPr="00A548BF" w:rsidRDefault="004F1A1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A CÂMARA MUNICIPAL DE VALINHOS</w:t>
      </w:r>
      <w:r w:rsidRPr="00A548BF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A548BF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A548BF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4F1A16" w:rsidRPr="00A548BF" w:rsidRDefault="004F1A1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DISPOSIÇÕES PRELIMINARES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</w:t>
      </w:r>
      <w:r w:rsidR="00957186" w:rsidRPr="00A548BF">
        <w:rPr>
          <w:rFonts w:ascii="Arial" w:hAnsi="Arial" w:cs="Arial"/>
          <w:color w:val="000000"/>
          <w:sz w:val="24"/>
          <w:szCs w:val="24"/>
          <w:lang w:val="x-none" w:eastAsia="x-none"/>
        </w:rPr>
        <w:t>Fica o Poder Executivo Municipal autorizado a proceder ao encontro de contas entre o Município e os contribuintes para a extinção de cr</w:t>
      </w:r>
      <w:r w:rsidR="00957186" w:rsidRPr="00A548BF">
        <w:rPr>
          <w:rFonts w:ascii="Arial" w:hAnsi="Arial" w:cs="Arial"/>
          <w:color w:val="000000"/>
          <w:sz w:val="24"/>
          <w:szCs w:val="24"/>
          <w:lang w:val="x-none" w:eastAsia="x-none"/>
        </w:rPr>
        <w:t>éditos tributários e fiscais, nos termos do art. 156, II, e art. 170, da Lei Complementar Federal n</w:t>
      </w:r>
      <w:r w:rsidR="00957186" w:rsidRPr="00A548BF">
        <w:rPr>
          <w:rFonts w:ascii="Arial" w:hAnsi="Arial" w:cs="Arial"/>
          <w:color w:val="000000"/>
          <w:sz w:val="24"/>
          <w:szCs w:val="24"/>
          <w:lang w:eastAsia="x-none"/>
        </w:rPr>
        <w:t>º</w:t>
      </w:r>
      <w:r w:rsidR="00957186" w:rsidRPr="00A548BF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5.172, de 25 de outubro de 1966 </w:t>
      </w:r>
      <w:r w:rsidR="00957186" w:rsidRPr="00A548BF">
        <w:rPr>
          <w:rFonts w:ascii="Arial" w:hAnsi="Arial" w:cs="Arial"/>
          <w:color w:val="000000"/>
          <w:sz w:val="24"/>
          <w:szCs w:val="24"/>
          <w:lang w:eastAsia="x-none"/>
        </w:rPr>
        <w:t xml:space="preserve">e alterações </w:t>
      </w:r>
      <w:r w:rsidR="00957186" w:rsidRPr="00A548BF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– Código Tributário Nacional </w:t>
      </w:r>
      <w:r w:rsidR="00957186" w:rsidRPr="00A548BF">
        <w:rPr>
          <w:rFonts w:ascii="Arial" w:hAnsi="Arial" w:cs="Arial"/>
          <w:color w:val="000000"/>
          <w:sz w:val="24"/>
          <w:szCs w:val="24"/>
          <w:lang w:eastAsia="x-none"/>
        </w:rPr>
        <w:t xml:space="preserve">– </w:t>
      </w:r>
      <w:r w:rsidR="00957186" w:rsidRPr="00A548BF">
        <w:rPr>
          <w:rFonts w:ascii="Arial" w:hAnsi="Arial" w:cs="Arial"/>
          <w:color w:val="000000"/>
          <w:sz w:val="24"/>
          <w:szCs w:val="24"/>
          <w:lang w:val="x-none" w:eastAsia="x-none"/>
        </w:rPr>
        <w:t>CTN</w:t>
      </w:r>
      <w:r w:rsidR="00957186" w:rsidRPr="00A548BF">
        <w:rPr>
          <w:rFonts w:ascii="Arial" w:hAnsi="Arial" w:cs="Arial"/>
          <w:color w:val="000000"/>
          <w:sz w:val="24"/>
          <w:szCs w:val="24"/>
          <w:lang w:eastAsia="x-none"/>
        </w:rPr>
        <w:t xml:space="preserve">, e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no art. 56, inciso II, da Lei 3.915, de 29 de setembro de 2005 – Código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Tributário Municipal.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CAPÍTULO II</w:t>
      </w: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DA COMPENSAÇÃO DE CRÉDITOS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Será admitida a compensação de créditos líquidos e certos do contribuinte perante a Secretaria da Fazenda – SF, decorrentes do seu direito de restituição de tributos indevidamente pagos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aos cofres públicos, com seus débitos tributários relativos a quaisquer tributos de competência deste Município, vencidos ou vincendos, ainda que não sejam da mesma espécie, respeitando o disposto no art. 170 do Código Tributário Nacional.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Denomina-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se aproveitamento de crédito, para efeitos deste artigo, a utilização de crédito tributário pago indevidamente pelo contribuinte para quitação de débito relativo a tributos municipais, quando se evidenciar na documentação que instrui o pedido, o fato de o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contribuinte, por equívoco próprio ou do órgão lançador, ter recolhido o tributo de forma errônea ou em duplicidade.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Denomina-se compensação, para efeitos deste artigo, a utilização de crédito tributário pago indevidamente pelo contribuinte para quita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ção de débito relativo a qualquer outra espécie de tributo, quando se evidenciar na documentação que instrui o pedido o fato do contribuinte, por equívoco próprio ou do órgão lançador, ter recolhido o tributo de forma errônea ou em duplicidade.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3º Os cré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ditos tributários a que se refere este artigo consistem em valor principal devidamente atualizado, juros de mora, correção monetária e demais consectários legais decorrentes do inadimplemento.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4º O crédito tributário a ser compensado deverá estar constit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uído, inscrito em dívida ativa ou ajuizado; e que não seja objeto de qualquer impugnação ou recurso na esfera administrativa ou judicial, ou que deles renuncie expressamente, se houver, servindo o pedido de compensação como termo de renúncia que deverá ser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juntado nos procedimentos administrativos e nas ações judiciais.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 compensação de que trata esta Lei:</w:t>
      </w:r>
    </w:p>
    <w:p w:rsidR="004F1A16" w:rsidRPr="00A548BF" w:rsidRDefault="00957186" w:rsidP="00A548B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importa</w:t>
      </w:r>
      <w:proofErr w:type="gramEnd"/>
      <w:r w:rsidRPr="00A548BF">
        <w:rPr>
          <w:rFonts w:ascii="Arial" w:hAnsi="Arial" w:cs="Arial"/>
          <w:color w:val="000000"/>
        </w:rPr>
        <w:t xml:space="preserve"> confissão irretratável dos débitos tributários compensados e da responsabilidade tributária;</w:t>
      </w:r>
    </w:p>
    <w:p w:rsidR="004F1A16" w:rsidRPr="00A548BF" w:rsidRDefault="00957186" w:rsidP="00A548B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aplica</w:t>
      </w:r>
      <w:proofErr w:type="gramEnd"/>
      <w:r w:rsidRPr="00A548BF">
        <w:rPr>
          <w:rFonts w:ascii="Arial" w:hAnsi="Arial" w:cs="Arial"/>
          <w:color w:val="000000"/>
        </w:rPr>
        <w:t xml:space="preserve">-se a débito da Fazenda Pública </w:t>
      </w:r>
      <w:r w:rsidRPr="00A548BF">
        <w:rPr>
          <w:rFonts w:ascii="Arial" w:hAnsi="Arial" w:cs="Arial"/>
          <w:color w:val="000000"/>
        </w:rPr>
        <w:t>Municipal, de alcance exclusivo da Administração Direta;</w:t>
      </w:r>
    </w:p>
    <w:p w:rsidR="00A548BF" w:rsidRPr="00A548BF" w:rsidRDefault="00957186" w:rsidP="00A548B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extingue</w:t>
      </w:r>
      <w:proofErr w:type="gramEnd"/>
      <w:r w:rsidRPr="00A548BF">
        <w:rPr>
          <w:rFonts w:ascii="Arial" w:hAnsi="Arial" w:cs="Arial"/>
          <w:color w:val="000000"/>
        </w:rPr>
        <w:t>-se o Crédito de Natureza Tributária, parcial ou integralmente, até o limite efetivamente compensado;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 requerimento de compensação não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suspende a exigibilidade do crédito tr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ibutário, a fluência dos juros de mora e dos demais acréscimos legais, nem garante o seu deferimento.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4º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 procedimento administrativo de compensação tributária terá início na SF, por requerimento do interessado.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5º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Quando por requerimento do interessado, a compensação tributária deverá ser formalizada mediante termo firmado pelo Secretário da Fazenda e pelo sujeito passivo, após sua aprovação.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São cláusulas essenciais do termo de compensação:</w:t>
      </w:r>
    </w:p>
    <w:p w:rsidR="004F1A16" w:rsidRPr="00A548BF" w:rsidRDefault="00957186" w:rsidP="00A548B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identificação</w:t>
      </w:r>
      <w:proofErr w:type="gramEnd"/>
      <w:r w:rsidRPr="00A548BF">
        <w:rPr>
          <w:rFonts w:ascii="Arial" w:hAnsi="Arial" w:cs="Arial"/>
          <w:color w:val="000000"/>
        </w:rPr>
        <w:t xml:space="preserve"> das </w:t>
      </w:r>
      <w:r w:rsidRPr="00A548BF">
        <w:rPr>
          <w:rFonts w:ascii="Arial" w:hAnsi="Arial" w:cs="Arial"/>
          <w:color w:val="000000"/>
        </w:rPr>
        <w:t>partes e seus respectivos representantes legais;</w:t>
      </w:r>
    </w:p>
    <w:p w:rsidR="004F1A16" w:rsidRPr="00A548BF" w:rsidRDefault="00957186" w:rsidP="00A548B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número</w:t>
      </w:r>
      <w:proofErr w:type="gramEnd"/>
      <w:r w:rsidRPr="00A548BF">
        <w:rPr>
          <w:rFonts w:ascii="Arial" w:hAnsi="Arial" w:cs="Arial"/>
          <w:color w:val="000000"/>
        </w:rPr>
        <w:t xml:space="preserve"> do processo tributário administrativo ensejador do lançamento tributário originário;</w:t>
      </w:r>
    </w:p>
    <w:p w:rsidR="004F1A16" w:rsidRPr="00A548BF" w:rsidRDefault="00957186" w:rsidP="00A548B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número</w:t>
      </w:r>
      <w:proofErr w:type="gramEnd"/>
      <w:r w:rsidRPr="00A548BF">
        <w:rPr>
          <w:rFonts w:ascii="Arial" w:hAnsi="Arial" w:cs="Arial"/>
          <w:color w:val="000000"/>
        </w:rPr>
        <w:t xml:space="preserve"> ou qualquer outro meio de identificação do lançamento dos créditos tributários;</w:t>
      </w:r>
    </w:p>
    <w:p w:rsidR="004F1A16" w:rsidRPr="00A548BF" w:rsidRDefault="00957186" w:rsidP="00A548B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identificação</w:t>
      </w:r>
      <w:proofErr w:type="gramEnd"/>
      <w:r w:rsidRPr="00A548BF">
        <w:rPr>
          <w:rFonts w:ascii="Arial" w:hAnsi="Arial" w:cs="Arial"/>
          <w:color w:val="000000"/>
        </w:rPr>
        <w:t xml:space="preserve"> das parcelas c</w:t>
      </w:r>
      <w:r w:rsidRPr="00A548BF">
        <w:rPr>
          <w:rFonts w:ascii="Arial" w:hAnsi="Arial" w:cs="Arial"/>
          <w:color w:val="000000"/>
        </w:rPr>
        <w:t>ompensadas e respectivos valores;</w:t>
      </w:r>
    </w:p>
    <w:p w:rsidR="004F1A16" w:rsidRPr="00A548BF" w:rsidRDefault="00957186" w:rsidP="00A548B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forma</w:t>
      </w:r>
      <w:proofErr w:type="gramEnd"/>
      <w:r w:rsidRPr="00A548BF">
        <w:rPr>
          <w:rFonts w:ascii="Arial" w:hAnsi="Arial" w:cs="Arial"/>
          <w:color w:val="000000"/>
        </w:rPr>
        <w:t xml:space="preserve"> e prazo de pagamento do crédito remanescente, se houver;</w:t>
      </w:r>
    </w:p>
    <w:p w:rsidR="00A548BF" w:rsidRPr="00A548BF" w:rsidRDefault="00957186" w:rsidP="00A548B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declaração</w:t>
      </w:r>
      <w:proofErr w:type="gramEnd"/>
      <w:r w:rsidRPr="00A548BF">
        <w:rPr>
          <w:rFonts w:ascii="Arial" w:hAnsi="Arial" w:cs="Arial"/>
          <w:color w:val="000000"/>
        </w:rPr>
        <w:t xml:space="preserve"> do sujeito passivo, reconhecendo-se como devedor do crédito tributário que lhe é atribuído.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§ 2º O termo de compensação será juntado e integrará os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autos do processo administrativo que lhe deu causa.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6º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Nos casos em que o contribuinte for titular de crédito em seu favor, na forma do art. 2º desta Lei e não requerer seu aproveitamento ou compensação em face de débitos municipais de sua responsabi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lidade, a autoridade administrativa procederá à compensação de ofício, sendo vedado ao contribuinte, indicar os débitos que serão compensados.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Quando por iniciativa da Fazenda Pública Municipal, a compensação tributária, após sua aprovação final, será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notificada ao sujeito passivo para anuir com o procedimento, ou ingressar com recurso administrativo contra a compensação, no prazo de 20 (vinte) dias contados da data do recebimento da referida notificação.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O recurso será apreciado nos termos do art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. 201 e seguintes da Lei nº 1.766, de 1981 e alterações, ficando suspensa a aprovação da compensação até a sua decisão final.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3º É vedada qualquer restituição, sem antes observar se o credor possui débitos com o Município de Valinhos, bem como observar 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e esses créditos podem ser compensados, nos termos desta Lei.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7º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A compensação deverá tramitar através de processo administrativo</w:t>
      </w:r>
      <w:r w:rsidR="0094178F" w:rsidRPr="00A548BF">
        <w:rPr>
          <w:rFonts w:ascii="Arial" w:hAnsi="Arial" w:cs="Arial"/>
          <w:color w:val="000000"/>
          <w:sz w:val="24"/>
          <w:szCs w:val="24"/>
        </w:rPr>
        <w:t>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§ 1º Uma vez protocolizado o requerimento de compensação por iniciativa do contribuinte, o débito será considerado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confesso, não mais se admitindo discussão administrativa, implicando em renúncia de qualquer reclamação administrativa existente sobre o débito.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Em casos de débito ajuizado, sendo a compensação homologada, a Fazenda Municipal, por meio da Procuradoria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Geral do Município – PGM</w:t>
      </w:r>
      <w:proofErr w:type="gramStart"/>
      <w:r w:rsidR="00957186" w:rsidRPr="00A548BF">
        <w:rPr>
          <w:rFonts w:ascii="Arial" w:hAnsi="Arial" w:cs="Arial"/>
          <w:color w:val="000000"/>
          <w:sz w:val="24"/>
          <w:szCs w:val="24"/>
        </w:rPr>
        <w:t>, peticionará</w:t>
      </w:r>
      <w:proofErr w:type="gramEnd"/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 suspensão do processo até a finalização da compensação e, após o cumprimento, peticionará a extinção do feito, ou seu prosseguimento pelo saldo remanescente, se houver.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8º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Na hipótese de o crédito do contribui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nte consistir em valor superior ao crédito do Município, o saldo favorável ao contribuinte deverá ser compensado com créditos futuros de sua responsabilidade, sendo vedado o pagamento direto derivado do processo de compensação previsto nesta Lei.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Caso o valor a ser compensado seja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inferior aos débitos do contribuinte, haverá a compensação parcial até o montante equivalente ao crédito em favor do contribuinte, sendo que o saldo remanescente poderá ser quitado ou parcelado pelo contribuinte,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ou ainda inscrito em dívida para posterior cobrança judicial.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9º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 compensação de que trata a presente Lei será homologada pelo Secretário da Fazenda.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Quando a compensação envolver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débitos ajuizados, antes da homologação, a PGM deverá se manifestar quanto aos valores envolvidos e sua distribuição.</w:t>
      </w:r>
    </w:p>
    <w:p w:rsidR="004F1A16" w:rsidRPr="00A548BF" w:rsidRDefault="00957186" w:rsidP="00A548BF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  <w:shd w:val="clear" w:color="auto" w:fill="FFFFFF"/>
        </w:rPr>
        <w:lastRenderedPageBreak/>
        <w:t>as</w:t>
      </w:r>
      <w:proofErr w:type="gramEnd"/>
      <w:r w:rsidRPr="00A548BF">
        <w:rPr>
          <w:rFonts w:ascii="Arial" w:hAnsi="Arial" w:cs="Arial"/>
          <w:color w:val="000000"/>
          <w:shd w:val="clear" w:color="auto" w:fill="FFFFFF"/>
        </w:rPr>
        <w:t xml:space="preserve"> compensações não alcançam as despesas processuais e os honorários advocatícios de sucumbência;</w:t>
      </w:r>
    </w:p>
    <w:p w:rsidR="004F1A16" w:rsidRPr="00A548BF" w:rsidRDefault="00957186" w:rsidP="00A548BF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 w:rsidRPr="00A548BF">
        <w:rPr>
          <w:rFonts w:ascii="Arial" w:hAnsi="Arial" w:cs="Arial"/>
          <w:color w:val="000000"/>
          <w:shd w:val="clear" w:color="auto" w:fill="FFFFFF"/>
        </w:rPr>
        <w:t xml:space="preserve"> efetiva</w:t>
      </w:r>
      <w:r w:rsidRPr="00A548BF">
        <w:rPr>
          <w:rFonts w:ascii="Arial" w:hAnsi="Arial" w:cs="Arial"/>
          <w:color w:val="000000"/>
          <w:shd w:val="clear" w:color="auto" w:fill="FFFFFF"/>
        </w:rPr>
        <w:t>ção da compensação dependerá da comprovação, pelo interessado, do pagamento das despesas processuais e dos honorários advocatícios.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10.</w:t>
      </w:r>
      <w:r w:rsidRPr="00A548BF">
        <w:rPr>
          <w:rFonts w:ascii="Arial" w:hAnsi="Arial" w:cs="Arial"/>
          <w:color w:val="000000"/>
          <w:sz w:val="24"/>
          <w:szCs w:val="24"/>
        </w:rPr>
        <w:t xml:space="preserve">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Na hipótese de anulação devidamente justificada do ato que homologou a compensação, o débito será devidamente co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rrigido e voltará a ser incluído em dívida ativa, ou em prosseguimento da execução fiscal.</w:t>
      </w:r>
    </w:p>
    <w:p w:rsid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CAPÍTULO III</w:t>
      </w: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DA DAÇÃO EM PAGAMENTO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11.</w:t>
      </w:r>
      <w:r w:rsidRPr="00A548BF">
        <w:rPr>
          <w:rFonts w:ascii="Arial" w:hAnsi="Arial" w:cs="Arial"/>
          <w:color w:val="000000"/>
          <w:sz w:val="24"/>
          <w:szCs w:val="24"/>
        </w:rPr>
        <w:t xml:space="preserve">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Os créditos tributários inscritos na dívida ativa do Município de Valinhos poderão ser extintos pelo devedor, pessoa f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ísica ou jurídica, parcial ou integralmente, mediante dação em pagamento de bem imóvel, situado neste Município, a qual só se aperfeiçoará após a aceitação expressa da Fazenda Municipal, observados o interesse público, a conveniência administrativa e os cr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itérios dispostos nesta Lei.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Quando o crédito for objeto de execução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fiscal, a proposta de dação em pagamento poderá ser formalizada em qualquer fase processual, desde que antes da arrematação dos bens penhorados.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12.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Para os efeitos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desta Lei, serão admitidos somente imóveis comprovadamente livres e desembaraçados de quaisquer ônus ou dívidas, exceto aquelas apontadas junto ao Município de Valinhos, cujo valor, apurado em avaliação realizada pelo Município, seja compatível com o mont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ante do débito que se pretenda extinguir.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 dação em pagamento poderá ser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formalizada através de imóvel de terceiro, em benefício do devedor, desde que este intervenha como anuente na operação, tanto no requerimento previsto no art. 13 des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ta Lei, quanto na respectiva escritura.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13.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 devedor ou terceiro interessado em extinguir crédito tributário municipal,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mediante dação em pagamento, deverá formalizar requerimento eletrônico na plataforma 1DOC que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encaminhará à PGM caso o débito esteja em protesto no cartório ou haja execução fiscal em curso, contendo, necessariamente, a indicação pormenorizada do crédito tributário objeto do pedido, bem como a localização, dimensões e confrontações do imóvel ofere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cido, juntamente com cópia autêntica do título de propriedade.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O requerimento deverá ser instruído, obrigatoriamente, com as seguintes certidões atualizadas em nome do proprietário:</w:t>
      </w:r>
    </w:p>
    <w:p w:rsidR="004F1A16" w:rsidRPr="00A548BF" w:rsidRDefault="00957186" w:rsidP="00A548B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548BF">
        <w:rPr>
          <w:rFonts w:ascii="Arial" w:hAnsi="Arial" w:cs="Arial"/>
          <w:color w:val="000000"/>
        </w:rPr>
        <w:t xml:space="preserve">Certidão </w:t>
      </w:r>
      <w:proofErr w:type="spellStart"/>
      <w:r w:rsidRPr="00A548BF">
        <w:rPr>
          <w:rFonts w:ascii="Arial" w:hAnsi="Arial" w:cs="Arial"/>
          <w:color w:val="000000"/>
        </w:rPr>
        <w:t>vintenária</w:t>
      </w:r>
      <w:proofErr w:type="spellEnd"/>
      <w:r w:rsidRPr="00A548BF">
        <w:rPr>
          <w:rFonts w:ascii="Arial" w:hAnsi="Arial" w:cs="Arial"/>
          <w:color w:val="000000"/>
        </w:rPr>
        <w:t xml:space="preserve"> de inteiro teor, contendo todos os ônus e alienaç</w:t>
      </w:r>
      <w:r w:rsidRPr="00A548BF">
        <w:rPr>
          <w:rFonts w:ascii="Arial" w:hAnsi="Arial" w:cs="Arial"/>
          <w:color w:val="000000"/>
        </w:rPr>
        <w:t>ões referentes ao imóvel, expedida pelo Cartório de Registro de Imóveis competente;</w:t>
      </w:r>
    </w:p>
    <w:p w:rsidR="004F1A16" w:rsidRPr="00A548BF" w:rsidRDefault="00957186" w:rsidP="00A548B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548BF">
        <w:rPr>
          <w:rFonts w:ascii="Arial" w:hAnsi="Arial" w:cs="Arial"/>
          <w:color w:val="000000"/>
        </w:rPr>
        <w:t>Certidão negativa do Cartório de Protesto de Valinhos;</w:t>
      </w:r>
    </w:p>
    <w:p w:rsidR="004F1A16" w:rsidRPr="00A548BF" w:rsidRDefault="00957186" w:rsidP="00A548B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548BF">
        <w:rPr>
          <w:rFonts w:ascii="Arial" w:hAnsi="Arial" w:cs="Arial"/>
          <w:color w:val="000000"/>
        </w:rPr>
        <w:t>Certidão de feitos ajuizados na esfera civil e criminal;</w:t>
      </w:r>
    </w:p>
    <w:p w:rsidR="00A548BF" w:rsidRPr="00A548BF" w:rsidRDefault="00957186" w:rsidP="00A548B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548BF">
        <w:rPr>
          <w:rFonts w:ascii="Arial" w:hAnsi="Arial" w:cs="Arial"/>
          <w:color w:val="000000"/>
        </w:rPr>
        <w:t xml:space="preserve">Certidão negativa da Receita Federal, inclusive relativas a </w:t>
      </w:r>
      <w:r w:rsidRPr="00A548BF">
        <w:rPr>
          <w:rFonts w:ascii="Arial" w:hAnsi="Arial" w:cs="Arial"/>
          <w:color w:val="000000"/>
        </w:rPr>
        <w:t>execuções fiscais, e da Justiça do Trabalho.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No caso do devedor ou terceiro interessado tratar-se de pessoa jurídica, poderão também, a critério do Poder Público, ser exigidas as certidões previstas nos incisos II, III e IV deste artigo dos municípios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onde a empresa tenha exercido atividades nos últimos </w:t>
      </w:r>
      <w:proofErr w:type="gramStart"/>
      <w:r w:rsidR="00957186" w:rsidRPr="00A548BF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(cinco) anos.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3º Se o crédito tributário que se pretende extinguir for objeto de discussão em processo judicial ou administrativo promovido pelo devedor, este deverá apresentar declaração de ciência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 que o deferimento de seu pedido de dação em pagamento importará, ao final, no reconhecimento da dívida e na extinção do respectivo processo, hipótese em que o devedor </w:t>
      </w:r>
      <w:proofErr w:type="gramStart"/>
      <w:r w:rsidR="00957186" w:rsidRPr="00A548BF">
        <w:rPr>
          <w:rFonts w:ascii="Arial" w:hAnsi="Arial" w:cs="Arial"/>
          <w:color w:val="000000"/>
          <w:sz w:val="24"/>
          <w:szCs w:val="24"/>
        </w:rPr>
        <w:t>renunciará,</w:t>
      </w:r>
      <w:proofErr w:type="gramEnd"/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 modo irretratável, ao direito de discutir a origem, o valor ou a valid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ade do crédito tributário reconhecido.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4º Os casos de desistência ou renúncia não eximem o autor da ação do pagamento das custas, despesas processuais e honorários advocatícios, nos termos do art. 90, do Código de Processo Civil.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§ </w:t>
      </w:r>
      <w:r w:rsidR="0094178F" w:rsidRPr="00A548BF">
        <w:rPr>
          <w:rFonts w:ascii="Arial" w:hAnsi="Arial" w:cs="Arial"/>
          <w:color w:val="000000"/>
          <w:sz w:val="24"/>
          <w:szCs w:val="24"/>
        </w:rPr>
        <w:t>5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º Se o crédito for objeto de execução fiscal movida pela PGM, o deferimento do pedido de dação em pagamento igualmente importará no reconhecimento da dívida exequenda e na renúncia ao direito de discutir sua origem, valor ou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validade, que deverá ser manifestado pelo devedor nos autos do processo executivo fiscal.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§ </w:t>
      </w:r>
      <w:r w:rsidR="0094178F" w:rsidRPr="00A548BF">
        <w:rPr>
          <w:rFonts w:ascii="Arial" w:hAnsi="Arial" w:cs="Arial"/>
          <w:color w:val="000000"/>
          <w:sz w:val="24"/>
          <w:szCs w:val="24"/>
        </w:rPr>
        <w:t>6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º Os débitos judiciais relativos a custas e despesas processuais, honorários periciais e advocatícios deverão ser apurados nos autos dos processos judiciais a que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se refiram.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14.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 procedimento destinado à formalização da dação em pagamento compreenderá as seguintes etapas, sucessivamente:</w:t>
      </w:r>
    </w:p>
    <w:p w:rsidR="004F1A16" w:rsidRPr="00A548BF" w:rsidRDefault="00957186" w:rsidP="00A548B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análise</w:t>
      </w:r>
      <w:proofErr w:type="gramEnd"/>
      <w:r w:rsidRPr="00A548BF">
        <w:rPr>
          <w:rFonts w:ascii="Arial" w:hAnsi="Arial" w:cs="Arial"/>
          <w:color w:val="000000"/>
        </w:rPr>
        <w:t xml:space="preserve"> do interesse e da viabilidade da aceitação do imóvel pelo Município;</w:t>
      </w:r>
    </w:p>
    <w:p w:rsidR="004F1A16" w:rsidRPr="00A548BF" w:rsidRDefault="00957186" w:rsidP="00A548B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avaliação</w:t>
      </w:r>
      <w:proofErr w:type="gramEnd"/>
      <w:r w:rsidRPr="00A548BF">
        <w:rPr>
          <w:rFonts w:ascii="Arial" w:hAnsi="Arial" w:cs="Arial"/>
          <w:color w:val="000000"/>
        </w:rPr>
        <w:t xml:space="preserve"> administrativa do imóvel;</w:t>
      </w:r>
    </w:p>
    <w:p w:rsidR="004F1A16" w:rsidRPr="00A548BF" w:rsidRDefault="00957186" w:rsidP="00A548B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lavratura</w:t>
      </w:r>
      <w:proofErr w:type="gramEnd"/>
      <w:r w:rsidRPr="00A548BF">
        <w:rPr>
          <w:rFonts w:ascii="Arial" w:hAnsi="Arial" w:cs="Arial"/>
          <w:color w:val="000000"/>
        </w:rPr>
        <w:t xml:space="preserve"> da escritura de dação em pagamento, que acarretará a extinção das ações, execuções e embargos relacionados ao crédito tributário que se pretenda extinguir.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15.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Uma vez protocolizado o requerimento deverão ser tomadas as seguintes providências:</w:t>
      </w:r>
    </w:p>
    <w:p w:rsidR="004F1A16" w:rsidRPr="00A548BF" w:rsidRDefault="00957186" w:rsidP="00A548BF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a</w:t>
      </w:r>
      <w:proofErr w:type="gramEnd"/>
      <w:r w:rsidRPr="00A548BF">
        <w:rPr>
          <w:rFonts w:ascii="Arial" w:hAnsi="Arial" w:cs="Arial"/>
          <w:color w:val="000000"/>
        </w:rPr>
        <w:t xml:space="preserve"> PGM</w:t>
      </w:r>
      <w:r w:rsidRPr="00A548BF">
        <w:rPr>
          <w:rFonts w:ascii="Arial" w:hAnsi="Arial" w:cs="Arial"/>
          <w:color w:val="000000"/>
        </w:rPr>
        <w:t xml:space="preserve"> deverá requerer, em juízo, a suspensão dos feitos que envolvam o crédito indicado pelo devedor, pelo prazo de 60 (sessenta) dias, prorrogáveis se houver fundada necessidade, desde que esse ato não acarrete prejuízos processuais ao Município;</w:t>
      </w:r>
    </w:p>
    <w:p w:rsidR="004F1A16" w:rsidRPr="00A548BF" w:rsidRDefault="00957186" w:rsidP="00A548BF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os</w:t>
      </w:r>
      <w:proofErr w:type="gramEnd"/>
      <w:r w:rsidRPr="00A548BF">
        <w:rPr>
          <w:rFonts w:ascii="Arial" w:hAnsi="Arial" w:cs="Arial"/>
          <w:color w:val="000000"/>
        </w:rPr>
        <w:t xml:space="preserve"> órgãos com</w:t>
      </w:r>
      <w:r w:rsidRPr="00A548BF">
        <w:rPr>
          <w:rFonts w:ascii="Arial" w:hAnsi="Arial" w:cs="Arial"/>
          <w:color w:val="000000"/>
        </w:rPr>
        <w:t>petentes informarão sobre a existência de débitos tributários relacionados ao imóvel oferecido pelo devedor, inclusive os referentes a contribuições de melhoria, Imposto sobre a Propriedade Predial e Territorial Urbana – IPTU e Imposto de Transmissão de Be</w:t>
      </w:r>
      <w:r w:rsidRPr="00A548BF">
        <w:rPr>
          <w:rFonts w:ascii="Arial" w:hAnsi="Arial" w:cs="Arial"/>
          <w:color w:val="000000"/>
        </w:rPr>
        <w:t>ns Imóveis – ITBI incidente sobre a aquisição do bem.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16.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 interesse na aceitação do imóvel oferecido pelo devedor será avaliado pelo Município de Valinhos, e deverá observar a oportunidade conveniência da dação em pagamento dentre outros, os seguintes fatores:</w:t>
      </w:r>
    </w:p>
    <w:p w:rsidR="004F1A16" w:rsidRPr="00A548BF" w:rsidRDefault="00957186" w:rsidP="00A548BF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lastRenderedPageBreak/>
        <w:t>a</w:t>
      </w:r>
      <w:proofErr w:type="gramEnd"/>
      <w:r w:rsidRPr="00A548BF">
        <w:rPr>
          <w:rFonts w:ascii="Arial" w:hAnsi="Arial" w:cs="Arial"/>
          <w:color w:val="000000"/>
        </w:rPr>
        <w:t xml:space="preserve"> utilidade do bem imóvel para os órgãos da Admini</w:t>
      </w:r>
      <w:r w:rsidRPr="00A548BF">
        <w:rPr>
          <w:rFonts w:ascii="Arial" w:hAnsi="Arial" w:cs="Arial"/>
          <w:color w:val="000000"/>
        </w:rPr>
        <w:t>stração Direta;</w:t>
      </w:r>
    </w:p>
    <w:p w:rsidR="004F1A16" w:rsidRPr="00A548BF" w:rsidRDefault="00957186" w:rsidP="00A548BF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se</w:t>
      </w:r>
      <w:proofErr w:type="gramEnd"/>
      <w:r w:rsidRPr="00A548BF">
        <w:rPr>
          <w:rFonts w:ascii="Arial" w:hAnsi="Arial" w:cs="Arial"/>
          <w:color w:val="000000"/>
        </w:rPr>
        <w:t xml:space="preserve"> há interesse na utilização do bem por parte de outros órgãos públicos da Administração Direita ou Indireta;</w:t>
      </w:r>
    </w:p>
    <w:p w:rsidR="004F1A16" w:rsidRPr="00A548BF" w:rsidRDefault="00957186" w:rsidP="00A548BF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se</w:t>
      </w:r>
      <w:proofErr w:type="gramEnd"/>
      <w:r w:rsidRPr="00A548BF">
        <w:rPr>
          <w:rFonts w:ascii="Arial" w:hAnsi="Arial" w:cs="Arial"/>
          <w:color w:val="000000"/>
        </w:rPr>
        <w:t xml:space="preserve"> há viabilidade econômica da aceitação do imóvel, em face dos custos estimados para sua adaptação ao uso público;</w:t>
      </w:r>
    </w:p>
    <w:p w:rsidR="004F1A16" w:rsidRPr="00A548BF" w:rsidRDefault="00957186" w:rsidP="00A548BF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a</w:t>
      </w:r>
      <w:proofErr w:type="gramEnd"/>
      <w:r w:rsidRPr="00A548BF">
        <w:rPr>
          <w:rFonts w:ascii="Arial" w:hAnsi="Arial" w:cs="Arial"/>
          <w:color w:val="000000"/>
        </w:rPr>
        <w:t xml:space="preserve"> compatibili</w:t>
      </w:r>
      <w:r w:rsidRPr="00A548BF">
        <w:rPr>
          <w:rFonts w:ascii="Arial" w:hAnsi="Arial" w:cs="Arial"/>
          <w:color w:val="000000"/>
        </w:rPr>
        <w:t>dade entre o valor do imóvel e o montante do crédito tributário que se pretenda extinguir;</w:t>
      </w:r>
    </w:p>
    <w:p w:rsidR="00A548BF" w:rsidRPr="00A548BF" w:rsidRDefault="00957186" w:rsidP="00A548BF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o</w:t>
      </w:r>
      <w:proofErr w:type="gramEnd"/>
      <w:r w:rsidRPr="00A548BF">
        <w:rPr>
          <w:rFonts w:ascii="Arial" w:hAnsi="Arial" w:cs="Arial"/>
          <w:color w:val="000000"/>
        </w:rPr>
        <w:t xml:space="preserve"> grau de dificuldade de recuperação do crédito tributário.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</w:rPr>
        <w:tab/>
      </w:r>
      <w:r w:rsidRPr="00A548BF">
        <w:rPr>
          <w:rFonts w:ascii="Arial" w:hAnsi="Arial" w:cs="Arial"/>
          <w:color w:val="000000"/>
          <w:sz w:val="24"/>
        </w:rPr>
        <w:tab/>
      </w:r>
      <w:bookmarkStart w:id="2" w:name="_Hlk141728328"/>
      <w:r w:rsidR="00957186" w:rsidRPr="00A548B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Parágrafo único.</w:t>
      </w:r>
      <w:r w:rsidRPr="00A548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7186" w:rsidRPr="00A548BF">
        <w:rPr>
          <w:rFonts w:ascii="Arial" w:hAnsi="Arial" w:cs="Arial"/>
          <w:color w:val="000000"/>
          <w:sz w:val="24"/>
          <w:szCs w:val="24"/>
          <w:shd w:val="clear" w:color="auto" w:fill="FFFFFF"/>
        </w:rPr>
        <w:t>O Secretário da Fazenda deverá emitir,</w:t>
      </w:r>
      <w:r w:rsidR="00957186" w:rsidRPr="00A548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prazo de 20 (vinte) dias, um despacho que declare, preliminarmente, o interesse ou não do Município em adquirir o imóvel e qual seria a sua destinação prioritária.</w:t>
      </w:r>
    </w:p>
    <w:bookmarkEnd w:id="2"/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17.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Exclusivamente nos casos em que houver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interesse do Município em receber o imóvel oferecido pelo devedor, será procedida a sua avaliação administrativa, para determinação do preço do bem a ser dado em pagamento.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A avaliação administrativa do imóvel ficará a cargo de um Grupo de avaliação,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composto por um mínimo de </w:t>
      </w:r>
      <w:proofErr w:type="gramStart"/>
      <w:r w:rsidR="00957186" w:rsidRPr="00A548BF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(três) servidores públicos efetivos, pertencentes a área técnica relacionada, nomeados por ato do Chefe do Poder Executivo.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§ 2º O Poder Executivo Municipal poderá estabelecer, por meio de Decreto, os procedimentos relativos à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avaliação dos bens, inclusive no que concerne ao processamento dos pedidos de revisão das avaliações, bem como disciplinará as funções da equipe avaliadora, prevista no § 1º deste artigo.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18.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Concluída a avaliação mencionada no art. 17 desta Lei, o d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evedor será intimado para manifestar sua concordância com o valor apurado, no prazo de 30 (trinta) dias.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Se não concordar com o valor apontado, o devedor poderá formular, em igual prazo, pedido de revisão da avaliação, devidamente fundamentado, ouvind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o-se novamente o órgão avaliador no prazo de 15 (quinze) dias.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Em nenhuma hipótese, o imóvel poderá ser aceito por valor superior ao da avaliação final efetuada pela Administração Municipal.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19.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Se o devedor concordar com o valor apurado na aval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iação do imóvel, o Secretário da Fazenda homologará o pedido de dação em pagamento para extinção do crédito tributário.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A PGM deverá ser prontamente informada da decisão, qualquer que seja o seu teor, para tomar as providências cabíveis no âmbito de 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ua competência.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Havendo débito ajuizado, não poderá o Município arcar com despesas de custas processuais nem renunciar a honorários advocatícios fixados pelo Juiz na Ação de Execução Fiscal e a dação em pagamento somente poderá ser homologada mediante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 exibição, pelo contribuinte, da comprovação do recolhimento das custas processuais e dos honorários advocatícios.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20.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Deferido o requerimento, deverá ser lavrada, em 30 (trinta) dias, a escritura de dação em pagamento, arcando o devedor com as des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pesas e tributos incidentes na operação.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Por ocasião da lavratura da escritura,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deverá o sujeito passivo apresentar todos os documentos e certidões indispensáveis ao aperfeiçoamento do ato, inclusive os comprovantes de recolhimento dos enc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argos decorrentes de eventuais execuções fiscais e a prova da extinção de ações porventura movidas contra o Município de Valinhos, cujos objetos estejam relacionados ao débito tributário que se pretenda extinguir, </w:t>
      </w:r>
      <w:proofErr w:type="gramStart"/>
      <w:r w:rsidR="00957186" w:rsidRPr="00A548BF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 invalidação da dação em pagame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nto.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21.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Após a formalização do registro da escritura de dação em pagamento, será providenciada, concomitantemente, a extinção da obrigação tributária e a respectiva baixa na dívida ativa, nos limites do valor do imóvel dado em pagamento pelo devedor.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Cs/>
          <w:color w:val="000000"/>
          <w:sz w:val="24"/>
          <w:szCs w:val="24"/>
        </w:rPr>
        <w:lastRenderedPageBreak/>
        <w:tab/>
      </w:r>
      <w:r w:rsidRPr="00A548B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ún</w:t>
      </w:r>
      <w:r w:rsidR="00957186" w:rsidRPr="00A548BF">
        <w:rPr>
          <w:rFonts w:ascii="Arial" w:hAnsi="Arial" w:cs="Arial"/>
          <w:bCs/>
          <w:color w:val="000000"/>
          <w:sz w:val="24"/>
          <w:szCs w:val="24"/>
        </w:rPr>
        <w:t>ico.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Se houver débito remanescente, deverá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ser cobrado nos próprios autos da execução fiscal, </w:t>
      </w:r>
      <w:proofErr w:type="gramStart"/>
      <w:r w:rsidR="00957186" w:rsidRPr="00A548BF">
        <w:rPr>
          <w:rFonts w:ascii="Arial" w:hAnsi="Arial" w:cs="Arial"/>
          <w:color w:val="000000"/>
          <w:sz w:val="24"/>
          <w:szCs w:val="24"/>
        </w:rPr>
        <w:t>caso ajuizada</w:t>
      </w:r>
      <w:proofErr w:type="gramEnd"/>
      <w:r w:rsidR="00957186" w:rsidRPr="00A548BF">
        <w:rPr>
          <w:rFonts w:ascii="Arial" w:hAnsi="Arial" w:cs="Arial"/>
          <w:color w:val="000000"/>
          <w:sz w:val="24"/>
          <w:szCs w:val="24"/>
        </w:rPr>
        <w:t>; se não houver ação ou execução em curso, esta deverá ser proposta pelo valor do saldo apurado.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22.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Na hipótese de o valor do imóvel ser super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ior ao do débito tributário, mediante acordo entre as partes, o Poder Público Municipal, poderá:</w:t>
      </w:r>
    </w:p>
    <w:p w:rsidR="004F1A16" w:rsidRPr="00A548BF" w:rsidRDefault="00957186" w:rsidP="00A548BF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indenizar</w:t>
      </w:r>
      <w:proofErr w:type="gramEnd"/>
      <w:r w:rsidRPr="00A548BF">
        <w:rPr>
          <w:rFonts w:ascii="Arial" w:hAnsi="Arial" w:cs="Arial"/>
          <w:color w:val="000000"/>
        </w:rPr>
        <w:t xml:space="preserve"> o valor excedente a vista ou parcelado, conforme a disponibilidade orçamentária;</w:t>
      </w:r>
    </w:p>
    <w:p w:rsidR="00A548BF" w:rsidRPr="00A548BF" w:rsidRDefault="00957186" w:rsidP="00A548BF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548BF">
        <w:rPr>
          <w:rFonts w:ascii="Arial" w:hAnsi="Arial" w:cs="Arial"/>
          <w:color w:val="000000"/>
        </w:rPr>
        <w:t>emitir</w:t>
      </w:r>
      <w:proofErr w:type="gramEnd"/>
      <w:r w:rsidRPr="00A548BF">
        <w:rPr>
          <w:rFonts w:ascii="Arial" w:hAnsi="Arial" w:cs="Arial"/>
          <w:color w:val="000000"/>
        </w:rPr>
        <w:t xml:space="preserve"> certificado cujo valor de face será representativo de crédito</w:t>
      </w:r>
      <w:r w:rsidRPr="00A548BF">
        <w:rPr>
          <w:rFonts w:ascii="Arial" w:hAnsi="Arial" w:cs="Arial"/>
          <w:color w:val="000000"/>
        </w:rPr>
        <w:t xml:space="preserve"> em favor do devedor/contribuinte, para compensação/quitação de tributos futuros devidos ao Município de Valinhos.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1º O contribuinte requerente poderá, de maneira irretratável, abrir mão do valor excedente em benefício do Município de Valinhos.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2º O pr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azo para o contribuinte compensar tributos futuros na forma prevista no inciso II do </w:t>
      </w:r>
      <w:r w:rsidR="00957186" w:rsidRPr="00A548BF">
        <w:rPr>
          <w:rFonts w:ascii="Arial" w:hAnsi="Arial" w:cs="Arial"/>
          <w:i/>
          <w:iCs/>
          <w:color w:val="000000"/>
          <w:sz w:val="24"/>
          <w:szCs w:val="24"/>
        </w:rPr>
        <w:t>caput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deste artigo será de até 60 (sessenta) meses após a emissão do certificado representativo do valor, de forma que, findo este prazo, o certificado será extinto, ainda que exista saldo remanescente não compensado.</w:t>
      </w: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color w:val="000000"/>
          <w:sz w:val="24"/>
          <w:szCs w:val="24"/>
        </w:rPr>
        <w:t>§ 3º Durante o prazo previsto no § 2º deste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artigo, não serão devidos juros e correção monetária, ou qualquer outra forma de atualização, ainda que prevista na legislação municipal.</w:t>
      </w:r>
    </w:p>
    <w:p w:rsid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CAPÍTULO IV</w:t>
      </w:r>
    </w:p>
    <w:p w:rsidR="004F1A16" w:rsidRPr="00A548BF" w:rsidRDefault="00957186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>DISPOSIÇÕES FINAIS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23.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O devedor responderá pela evicção, nos termos da </w:t>
      </w:r>
      <w:r w:rsidR="006B27F7" w:rsidRPr="00A548BF">
        <w:rPr>
          <w:rFonts w:ascii="Arial" w:hAnsi="Arial" w:cs="Arial"/>
          <w:color w:val="000000"/>
          <w:sz w:val="24"/>
          <w:szCs w:val="24"/>
        </w:rPr>
        <w:t>l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ei </w:t>
      </w:r>
      <w:r w:rsidR="006B27F7" w:rsidRPr="00A548BF">
        <w:rPr>
          <w:rFonts w:ascii="Arial" w:hAnsi="Arial" w:cs="Arial"/>
          <w:color w:val="000000"/>
          <w:sz w:val="24"/>
          <w:szCs w:val="24"/>
        </w:rPr>
        <w:t>c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ivil.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A16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7186" w:rsidRPr="00A548BF">
        <w:rPr>
          <w:rFonts w:ascii="Arial" w:hAnsi="Arial" w:cs="Arial"/>
          <w:b/>
          <w:bCs/>
          <w:color w:val="000000"/>
          <w:sz w:val="24"/>
          <w:szCs w:val="24"/>
        </w:rPr>
        <w:t>Art. 24.</w:t>
      </w:r>
      <w:r w:rsidRPr="00A548BF">
        <w:rPr>
          <w:rFonts w:ascii="Arial" w:hAnsi="Arial" w:cs="Arial"/>
          <w:color w:val="000000"/>
          <w:sz w:val="24"/>
          <w:szCs w:val="24"/>
        </w:rPr>
        <w:t xml:space="preserve"> 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>Esta</w:t>
      </w:r>
      <w:r w:rsidR="00957186" w:rsidRPr="00A548BF">
        <w:rPr>
          <w:rFonts w:ascii="Arial" w:hAnsi="Arial" w:cs="Arial"/>
          <w:color w:val="000000"/>
          <w:sz w:val="24"/>
          <w:szCs w:val="24"/>
        </w:rPr>
        <w:t xml:space="preserve"> Lei entra em vigor na data de sua publicação.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ab/>
      </w:r>
      <w:r w:rsidRPr="00A548BF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A548BF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A548B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28</w:t>
      </w:r>
      <w:r w:rsidRPr="00A548BF">
        <w:rPr>
          <w:rFonts w:ascii="Arial" w:hAnsi="Arial" w:cs="Arial"/>
          <w:color w:val="000000"/>
          <w:sz w:val="24"/>
          <w:szCs w:val="24"/>
        </w:rPr>
        <w:t xml:space="preserve"> de novembro de 2023.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48BF">
        <w:rPr>
          <w:rFonts w:ascii="Arial" w:hAnsi="Arial" w:cs="Arial"/>
          <w:b/>
          <w:color w:val="000000"/>
          <w:sz w:val="24"/>
          <w:szCs w:val="24"/>
        </w:rPr>
        <w:tab/>
      </w:r>
      <w:r w:rsidRPr="00A548BF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548BF" w:rsidRPr="00A548BF" w:rsidRDefault="00A548BF" w:rsidP="00A548B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548BF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Municipal, com emenda nº 01</w:t>
      </w:r>
      <w:r w:rsidRPr="00A548BF">
        <w:rPr>
          <w:rFonts w:ascii="Arial" w:hAnsi="Arial" w:cs="Arial"/>
          <w:color w:val="000000"/>
          <w:sz w:val="24"/>
          <w:szCs w:val="24"/>
        </w:rPr>
        <w:t>.</w:t>
      </w:r>
    </w:p>
    <w:sectPr w:rsidR="00A548BF" w:rsidRPr="00A548BF" w:rsidSect="00A54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86" w:rsidRDefault="00957186">
      <w:r>
        <w:separator/>
      </w:r>
    </w:p>
  </w:endnote>
  <w:endnote w:type="continuationSeparator" w:id="0">
    <w:p w:rsidR="00957186" w:rsidRDefault="009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957186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BF" w:rsidRPr="00A548BF" w:rsidRDefault="00A548BF" w:rsidP="00A548BF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A548BF">
      <w:rPr>
        <w:rFonts w:ascii="Arial" w:hAnsi="Arial" w:cs="Arial"/>
        <w:sz w:val="18"/>
        <w:szCs w:val="18"/>
        <w:lang w:eastAsia="pt-BR"/>
      </w:rPr>
      <w:t xml:space="preserve">Página </w:t>
    </w:r>
    <w:r w:rsidRPr="00A548B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A548BF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A548BF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A548BF">
      <w:rPr>
        <w:rFonts w:ascii="Arial" w:hAnsi="Arial" w:cs="Arial"/>
        <w:b/>
        <w:sz w:val="18"/>
        <w:szCs w:val="18"/>
        <w:lang w:eastAsia="pt-BR"/>
      </w:rPr>
      <w:fldChar w:fldCharType="end"/>
    </w:r>
    <w:r w:rsidRPr="00A548BF">
      <w:rPr>
        <w:rFonts w:ascii="Arial" w:hAnsi="Arial" w:cs="Arial"/>
        <w:sz w:val="18"/>
        <w:szCs w:val="18"/>
        <w:lang w:eastAsia="pt-BR"/>
      </w:rPr>
      <w:t xml:space="preserve"> de </w:t>
    </w:r>
    <w:r w:rsidRPr="00A548B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A548BF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A548BF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11</w:t>
    </w:r>
    <w:r w:rsidRPr="00A548BF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A548BF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A548BF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A548BF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A548BF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A548BF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A548BF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957186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957186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957186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:rsidR="005D32CB" w:rsidRDefault="00957186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86" w:rsidRDefault="00957186">
      <w:r>
        <w:separator/>
      </w:r>
    </w:p>
  </w:footnote>
  <w:footnote w:type="continuationSeparator" w:id="0">
    <w:p w:rsidR="00957186" w:rsidRDefault="0095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BF" w:rsidRPr="00A548BF" w:rsidRDefault="00A548BF" w:rsidP="00A548BF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A548B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6F757892" wp14:editId="089F738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8B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68209B19" wp14:editId="45EA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8BF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6476</w:t>
    </w:r>
    <w:r w:rsidRPr="00A548BF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A548BF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A548BF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A548BF" w:rsidRPr="00A548BF" w:rsidRDefault="00A548BF" w:rsidP="00A548BF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957186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20FE40D8" wp14:editId="550A51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24704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7E2637F" wp14:editId="130FA8A6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664223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153A"/>
    <w:multiLevelType w:val="hybridMultilevel"/>
    <w:tmpl w:val="2086FF70"/>
    <w:lvl w:ilvl="0" w:tplc="9140D65C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38EE5864" w:tentative="1">
      <w:start w:val="1"/>
      <w:numFmt w:val="lowerLetter"/>
      <w:lvlText w:val="%2."/>
      <w:lvlJc w:val="left"/>
      <w:pPr>
        <w:ind w:left="1440" w:hanging="360"/>
      </w:pPr>
    </w:lvl>
    <w:lvl w:ilvl="2" w:tplc="69BA72FA" w:tentative="1">
      <w:start w:val="1"/>
      <w:numFmt w:val="lowerRoman"/>
      <w:lvlText w:val="%3."/>
      <w:lvlJc w:val="right"/>
      <w:pPr>
        <w:ind w:left="2160" w:hanging="180"/>
      </w:pPr>
    </w:lvl>
    <w:lvl w:ilvl="3" w:tplc="73867416" w:tentative="1">
      <w:start w:val="1"/>
      <w:numFmt w:val="decimal"/>
      <w:lvlText w:val="%4."/>
      <w:lvlJc w:val="left"/>
      <w:pPr>
        <w:ind w:left="2880" w:hanging="360"/>
      </w:pPr>
    </w:lvl>
    <w:lvl w:ilvl="4" w:tplc="E3C247DE" w:tentative="1">
      <w:start w:val="1"/>
      <w:numFmt w:val="lowerLetter"/>
      <w:lvlText w:val="%5."/>
      <w:lvlJc w:val="left"/>
      <w:pPr>
        <w:ind w:left="3600" w:hanging="360"/>
      </w:pPr>
    </w:lvl>
    <w:lvl w:ilvl="5" w:tplc="76EA7344" w:tentative="1">
      <w:start w:val="1"/>
      <w:numFmt w:val="lowerRoman"/>
      <w:lvlText w:val="%6."/>
      <w:lvlJc w:val="right"/>
      <w:pPr>
        <w:ind w:left="4320" w:hanging="180"/>
      </w:pPr>
    </w:lvl>
    <w:lvl w:ilvl="6" w:tplc="87428E0C" w:tentative="1">
      <w:start w:val="1"/>
      <w:numFmt w:val="decimal"/>
      <w:lvlText w:val="%7."/>
      <w:lvlJc w:val="left"/>
      <w:pPr>
        <w:ind w:left="5040" w:hanging="360"/>
      </w:pPr>
    </w:lvl>
    <w:lvl w:ilvl="7" w:tplc="006C72D8" w:tentative="1">
      <w:start w:val="1"/>
      <w:numFmt w:val="lowerLetter"/>
      <w:lvlText w:val="%8."/>
      <w:lvlJc w:val="left"/>
      <w:pPr>
        <w:ind w:left="5760" w:hanging="360"/>
      </w:pPr>
    </w:lvl>
    <w:lvl w:ilvl="8" w:tplc="4A760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4E8"/>
    <w:multiLevelType w:val="hybridMultilevel"/>
    <w:tmpl w:val="EFC044F8"/>
    <w:lvl w:ilvl="0" w:tplc="21AC3E76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B3A8A1FA" w:tentative="1">
      <w:start w:val="1"/>
      <w:numFmt w:val="lowerLetter"/>
      <w:lvlText w:val="%2."/>
      <w:lvlJc w:val="left"/>
      <w:pPr>
        <w:ind w:left="1440" w:hanging="360"/>
      </w:pPr>
    </w:lvl>
    <w:lvl w:ilvl="2" w:tplc="72803D1E" w:tentative="1">
      <w:start w:val="1"/>
      <w:numFmt w:val="lowerRoman"/>
      <w:lvlText w:val="%3."/>
      <w:lvlJc w:val="right"/>
      <w:pPr>
        <w:ind w:left="2160" w:hanging="180"/>
      </w:pPr>
    </w:lvl>
    <w:lvl w:ilvl="3" w:tplc="0E5AD9B2" w:tentative="1">
      <w:start w:val="1"/>
      <w:numFmt w:val="decimal"/>
      <w:lvlText w:val="%4."/>
      <w:lvlJc w:val="left"/>
      <w:pPr>
        <w:ind w:left="2880" w:hanging="360"/>
      </w:pPr>
    </w:lvl>
    <w:lvl w:ilvl="4" w:tplc="41ACC45E" w:tentative="1">
      <w:start w:val="1"/>
      <w:numFmt w:val="lowerLetter"/>
      <w:lvlText w:val="%5."/>
      <w:lvlJc w:val="left"/>
      <w:pPr>
        <w:ind w:left="3600" w:hanging="360"/>
      </w:pPr>
    </w:lvl>
    <w:lvl w:ilvl="5" w:tplc="C3DC7B48" w:tentative="1">
      <w:start w:val="1"/>
      <w:numFmt w:val="lowerRoman"/>
      <w:lvlText w:val="%6."/>
      <w:lvlJc w:val="right"/>
      <w:pPr>
        <w:ind w:left="4320" w:hanging="180"/>
      </w:pPr>
    </w:lvl>
    <w:lvl w:ilvl="6" w:tplc="EDB4C0B2" w:tentative="1">
      <w:start w:val="1"/>
      <w:numFmt w:val="decimal"/>
      <w:lvlText w:val="%7."/>
      <w:lvlJc w:val="left"/>
      <w:pPr>
        <w:ind w:left="5040" w:hanging="360"/>
      </w:pPr>
    </w:lvl>
    <w:lvl w:ilvl="7" w:tplc="0E6A5714" w:tentative="1">
      <w:start w:val="1"/>
      <w:numFmt w:val="lowerLetter"/>
      <w:lvlText w:val="%8."/>
      <w:lvlJc w:val="left"/>
      <w:pPr>
        <w:ind w:left="5760" w:hanging="360"/>
      </w:pPr>
    </w:lvl>
    <w:lvl w:ilvl="8" w:tplc="2D6CE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95"/>
    <w:multiLevelType w:val="hybridMultilevel"/>
    <w:tmpl w:val="FB7C5EEE"/>
    <w:lvl w:ilvl="0" w:tplc="12661EA0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3D74E366" w:tentative="1">
      <w:start w:val="1"/>
      <w:numFmt w:val="lowerLetter"/>
      <w:lvlText w:val="%2."/>
      <w:lvlJc w:val="left"/>
      <w:pPr>
        <w:ind w:left="1440" w:hanging="360"/>
      </w:pPr>
    </w:lvl>
    <w:lvl w:ilvl="2" w:tplc="42A4DDD0" w:tentative="1">
      <w:start w:val="1"/>
      <w:numFmt w:val="lowerRoman"/>
      <w:lvlText w:val="%3."/>
      <w:lvlJc w:val="right"/>
      <w:pPr>
        <w:ind w:left="2160" w:hanging="180"/>
      </w:pPr>
    </w:lvl>
    <w:lvl w:ilvl="3" w:tplc="29BC5E6A" w:tentative="1">
      <w:start w:val="1"/>
      <w:numFmt w:val="decimal"/>
      <w:lvlText w:val="%4."/>
      <w:lvlJc w:val="left"/>
      <w:pPr>
        <w:ind w:left="2880" w:hanging="360"/>
      </w:pPr>
    </w:lvl>
    <w:lvl w:ilvl="4" w:tplc="5DD2A79A" w:tentative="1">
      <w:start w:val="1"/>
      <w:numFmt w:val="lowerLetter"/>
      <w:lvlText w:val="%5."/>
      <w:lvlJc w:val="left"/>
      <w:pPr>
        <w:ind w:left="3600" w:hanging="360"/>
      </w:pPr>
    </w:lvl>
    <w:lvl w:ilvl="5" w:tplc="58EEFED2" w:tentative="1">
      <w:start w:val="1"/>
      <w:numFmt w:val="lowerRoman"/>
      <w:lvlText w:val="%6."/>
      <w:lvlJc w:val="right"/>
      <w:pPr>
        <w:ind w:left="4320" w:hanging="180"/>
      </w:pPr>
    </w:lvl>
    <w:lvl w:ilvl="6" w:tplc="7CB6EF90" w:tentative="1">
      <w:start w:val="1"/>
      <w:numFmt w:val="decimal"/>
      <w:lvlText w:val="%7."/>
      <w:lvlJc w:val="left"/>
      <w:pPr>
        <w:ind w:left="5040" w:hanging="360"/>
      </w:pPr>
    </w:lvl>
    <w:lvl w:ilvl="7" w:tplc="EBC23822" w:tentative="1">
      <w:start w:val="1"/>
      <w:numFmt w:val="lowerLetter"/>
      <w:lvlText w:val="%8."/>
      <w:lvlJc w:val="left"/>
      <w:pPr>
        <w:ind w:left="5760" w:hanging="360"/>
      </w:pPr>
    </w:lvl>
    <w:lvl w:ilvl="8" w:tplc="02F00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548E"/>
    <w:multiLevelType w:val="hybridMultilevel"/>
    <w:tmpl w:val="016CD9A2"/>
    <w:lvl w:ilvl="0" w:tplc="E7F0903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A16EA192" w:tentative="1">
      <w:start w:val="1"/>
      <w:numFmt w:val="lowerLetter"/>
      <w:lvlText w:val="%2."/>
      <w:lvlJc w:val="left"/>
      <w:pPr>
        <w:ind w:left="1440" w:hanging="360"/>
      </w:pPr>
    </w:lvl>
    <w:lvl w:ilvl="2" w:tplc="E2BC06FA" w:tentative="1">
      <w:start w:val="1"/>
      <w:numFmt w:val="lowerRoman"/>
      <w:lvlText w:val="%3."/>
      <w:lvlJc w:val="right"/>
      <w:pPr>
        <w:ind w:left="2160" w:hanging="180"/>
      </w:pPr>
    </w:lvl>
    <w:lvl w:ilvl="3" w:tplc="264CA7FC" w:tentative="1">
      <w:start w:val="1"/>
      <w:numFmt w:val="decimal"/>
      <w:lvlText w:val="%4."/>
      <w:lvlJc w:val="left"/>
      <w:pPr>
        <w:ind w:left="2880" w:hanging="360"/>
      </w:pPr>
    </w:lvl>
    <w:lvl w:ilvl="4" w:tplc="05A03E0C" w:tentative="1">
      <w:start w:val="1"/>
      <w:numFmt w:val="lowerLetter"/>
      <w:lvlText w:val="%5."/>
      <w:lvlJc w:val="left"/>
      <w:pPr>
        <w:ind w:left="3600" w:hanging="360"/>
      </w:pPr>
    </w:lvl>
    <w:lvl w:ilvl="5" w:tplc="BF4A19EC" w:tentative="1">
      <w:start w:val="1"/>
      <w:numFmt w:val="lowerRoman"/>
      <w:lvlText w:val="%6."/>
      <w:lvlJc w:val="right"/>
      <w:pPr>
        <w:ind w:left="4320" w:hanging="180"/>
      </w:pPr>
    </w:lvl>
    <w:lvl w:ilvl="6" w:tplc="BEA8AC4A" w:tentative="1">
      <w:start w:val="1"/>
      <w:numFmt w:val="decimal"/>
      <w:lvlText w:val="%7."/>
      <w:lvlJc w:val="left"/>
      <w:pPr>
        <w:ind w:left="5040" w:hanging="360"/>
      </w:pPr>
    </w:lvl>
    <w:lvl w:ilvl="7" w:tplc="2A94E04A" w:tentative="1">
      <w:start w:val="1"/>
      <w:numFmt w:val="lowerLetter"/>
      <w:lvlText w:val="%8."/>
      <w:lvlJc w:val="left"/>
      <w:pPr>
        <w:ind w:left="5760" w:hanging="360"/>
      </w:pPr>
    </w:lvl>
    <w:lvl w:ilvl="8" w:tplc="3650E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6DC6"/>
    <w:multiLevelType w:val="hybridMultilevel"/>
    <w:tmpl w:val="CFC0A802"/>
    <w:lvl w:ilvl="0" w:tplc="472E2846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5EC63086" w:tentative="1">
      <w:start w:val="1"/>
      <w:numFmt w:val="lowerLetter"/>
      <w:lvlText w:val="%2."/>
      <w:lvlJc w:val="left"/>
      <w:pPr>
        <w:ind w:left="1440" w:hanging="360"/>
      </w:pPr>
    </w:lvl>
    <w:lvl w:ilvl="2" w:tplc="1018BA6E" w:tentative="1">
      <w:start w:val="1"/>
      <w:numFmt w:val="lowerRoman"/>
      <w:lvlText w:val="%3."/>
      <w:lvlJc w:val="right"/>
      <w:pPr>
        <w:ind w:left="2160" w:hanging="180"/>
      </w:pPr>
    </w:lvl>
    <w:lvl w:ilvl="3" w:tplc="A3CA026C" w:tentative="1">
      <w:start w:val="1"/>
      <w:numFmt w:val="decimal"/>
      <w:lvlText w:val="%4."/>
      <w:lvlJc w:val="left"/>
      <w:pPr>
        <w:ind w:left="2880" w:hanging="360"/>
      </w:pPr>
    </w:lvl>
    <w:lvl w:ilvl="4" w:tplc="24A0995C" w:tentative="1">
      <w:start w:val="1"/>
      <w:numFmt w:val="lowerLetter"/>
      <w:lvlText w:val="%5."/>
      <w:lvlJc w:val="left"/>
      <w:pPr>
        <w:ind w:left="3600" w:hanging="360"/>
      </w:pPr>
    </w:lvl>
    <w:lvl w:ilvl="5" w:tplc="D3B8FB30" w:tentative="1">
      <w:start w:val="1"/>
      <w:numFmt w:val="lowerRoman"/>
      <w:lvlText w:val="%6."/>
      <w:lvlJc w:val="right"/>
      <w:pPr>
        <w:ind w:left="4320" w:hanging="180"/>
      </w:pPr>
    </w:lvl>
    <w:lvl w:ilvl="6" w:tplc="10A612A0" w:tentative="1">
      <w:start w:val="1"/>
      <w:numFmt w:val="decimal"/>
      <w:lvlText w:val="%7."/>
      <w:lvlJc w:val="left"/>
      <w:pPr>
        <w:ind w:left="5040" w:hanging="360"/>
      </w:pPr>
    </w:lvl>
    <w:lvl w:ilvl="7" w:tplc="E54E781E" w:tentative="1">
      <w:start w:val="1"/>
      <w:numFmt w:val="lowerLetter"/>
      <w:lvlText w:val="%8."/>
      <w:lvlJc w:val="left"/>
      <w:pPr>
        <w:ind w:left="5760" w:hanging="360"/>
      </w:pPr>
    </w:lvl>
    <w:lvl w:ilvl="8" w:tplc="80C44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6461"/>
    <w:multiLevelType w:val="hybridMultilevel"/>
    <w:tmpl w:val="AA90063C"/>
    <w:lvl w:ilvl="0" w:tplc="CB8AF34C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6832B132" w:tentative="1">
      <w:start w:val="1"/>
      <w:numFmt w:val="lowerLetter"/>
      <w:lvlText w:val="%2."/>
      <w:lvlJc w:val="left"/>
      <w:pPr>
        <w:ind w:left="1440" w:hanging="360"/>
      </w:pPr>
    </w:lvl>
    <w:lvl w:ilvl="2" w:tplc="71649D30" w:tentative="1">
      <w:start w:val="1"/>
      <w:numFmt w:val="lowerRoman"/>
      <w:lvlText w:val="%3."/>
      <w:lvlJc w:val="right"/>
      <w:pPr>
        <w:ind w:left="2160" w:hanging="180"/>
      </w:pPr>
    </w:lvl>
    <w:lvl w:ilvl="3" w:tplc="DB78104C" w:tentative="1">
      <w:start w:val="1"/>
      <w:numFmt w:val="decimal"/>
      <w:lvlText w:val="%4."/>
      <w:lvlJc w:val="left"/>
      <w:pPr>
        <w:ind w:left="2880" w:hanging="360"/>
      </w:pPr>
    </w:lvl>
    <w:lvl w:ilvl="4" w:tplc="7CD4684C" w:tentative="1">
      <w:start w:val="1"/>
      <w:numFmt w:val="lowerLetter"/>
      <w:lvlText w:val="%5."/>
      <w:lvlJc w:val="left"/>
      <w:pPr>
        <w:ind w:left="3600" w:hanging="360"/>
      </w:pPr>
    </w:lvl>
    <w:lvl w:ilvl="5" w:tplc="94D08060" w:tentative="1">
      <w:start w:val="1"/>
      <w:numFmt w:val="lowerRoman"/>
      <w:lvlText w:val="%6."/>
      <w:lvlJc w:val="right"/>
      <w:pPr>
        <w:ind w:left="4320" w:hanging="180"/>
      </w:pPr>
    </w:lvl>
    <w:lvl w:ilvl="6" w:tplc="7F88FF7C" w:tentative="1">
      <w:start w:val="1"/>
      <w:numFmt w:val="decimal"/>
      <w:lvlText w:val="%7."/>
      <w:lvlJc w:val="left"/>
      <w:pPr>
        <w:ind w:left="5040" w:hanging="360"/>
      </w:pPr>
    </w:lvl>
    <w:lvl w:ilvl="7" w:tplc="C7F243FC" w:tentative="1">
      <w:start w:val="1"/>
      <w:numFmt w:val="lowerLetter"/>
      <w:lvlText w:val="%8."/>
      <w:lvlJc w:val="left"/>
      <w:pPr>
        <w:ind w:left="5760" w:hanging="360"/>
      </w:pPr>
    </w:lvl>
    <w:lvl w:ilvl="8" w:tplc="AA260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40B92"/>
    <w:multiLevelType w:val="hybridMultilevel"/>
    <w:tmpl w:val="38E2B1FC"/>
    <w:lvl w:ilvl="0" w:tplc="928A237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13DAEB92" w:tentative="1">
      <w:start w:val="1"/>
      <w:numFmt w:val="lowerLetter"/>
      <w:lvlText w:val="%2."/>
      <w:lvlJc w:val="left"/>
      <w:pPr>
        <w:ind w:left="1440" w:hanging="360"/>
      </w:pPr>
    </w:lvl>
    <w:lvl w:ilvl="2" w:tplc="FFEEDB58" w:tentative="1">
      <w:start w:val="1"/>
      <w:numFmt w:val="lowerRoman"/>
      <w:lvlText w:val="%3."/>
      <w:lvlJc w:val="right"/>
      <w:pPr>
        <w:ind w:left="2160" w:hanging="180"/>
      </w:pPr>
    </w:lvl>
    <w:lvl w:ilvl="3" w:tplc="5F4431FA" w:tentative="1">
      <w:start w:val="1"/>
      <w:numFmt w:val="decimal"/>
      <w:lvlText w:val="%4."/>
      <w:lvlJc w:val="left"/>
      <w:pPr>
        <w:ind w:left="2880" w:hanging="360"/>
      </w:pPr>
    </w:lvl>
    <w:lvl w:ilvl="4" w:tplc="C9567152" w:tentative="1">
      <w:start w:val="1"/>
      <w:numFmt w:val="lowerLetter"/>
      <w:lvlText w:val="%5."/>
      <w:lvlJc w:val="left"/>
      <w:pPr>
        <w:ind w:left="3600" w:hanging="360"/>
      </w:pPr>
    </w:lvl>
    <w:lvl w:ilvl="5" w:tplc="BD201C62" w:tentative="1">
      <w:start w:val="1"/>
      <w:numFmt w:val="lowerRoman"/>
      <w:lvlText w:val="%6."/>
      <w:lvlJc w:val="right"/>
      <w:pPr>
        <w:ind w:left="4320" w:hanging="180"/>
      </w:pPr>
    </w:lvl>
    <w:lvl w:ilvl="6" w:tplc="1C22CEB4" w:tentative="1">
      <w:start w:val="1"/>
      <w:numFmt w:val="decimal"/>
      <w:lvlText w:val="%7."/>
      <w:lvlJc w:val="left"/>
      <w:pPr>
        <w:ind w:left="5040" w:hanging="360"/>
      </w:pPr>
    </w:lvl>
    <w:lvl w:ilvl="7" w:tplc="833629DC" w:tentative="1">
      <w:start w:val="1"/>
      <w:numFmt w:val="lowerLetter"/>
      <w:lvlText w:val="%8."/>
      <w:lvlJc w:val="left"/>
      <w:pPr>
        <w:ind w:left="5760" w:hanging="360"/>
      </w:pPr>
    </w:lvl>
    <w:lvl w:ilvl="8" w:tplc="23967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E5C79"/>
    <w:multiLevelType w:val="hybridMultilevel"/>
    <w:tmpl w:val="76F638D8"/>
    <w:lvl w:ilvl="0" w:tplc="FDB260B8">
      <w:start w:val="1"/>
      <w:numFmt w:val="upperRoman"/>
      <w:suff w:val="space"/>
      <w:lvlText w:val="%1 - "/>
      <w:lvlJc w:val="left"/>
      <w:pPr>
        <w:ind w:left="720" w:hanging="153"/>
      </w:pPr>
      <w:rPr>
        <w:rFonts w:ascii="Arial" w:hAnsi="Arial" w:hint="default"/>
        <w:b w:val="0"/>
        <w:i w:val="0"/>
        <w:sz w:val="24"/>
      </w:rPr>
    </w:lvl>
    <w:lvl w:ilvl="1" w:tplc="FF727BB6" w:tentative="1">
      <w:start w:val="1"/>
      <w:numFmt w:val="lowerLetter"/>
      <w:lvlText w:val="%2."/>
      <w:lvlJc w:val="left"/>
      <w:pPr>
        <w:ind w:left="1440" w:hanging="360"/>
      </w:pPr>
    </w:lvl>
    <w:lvl w:ilvl="2" w:tplc="622EE1F8" w:tentative="1">
      <w:start w:val="1"/>
      <w:numFmt w:val="lowerRoman"/>
      <w:lvlText w:val="%3."/>
      <w:lvlJc w:val="right"/>
      <w:pPr>
        <w:ind w:left="2160" w:hanging="180"/>
      </w:pPr>
    </w:lvl>
    <w:lvl w:ilvl="3" w:tplc="7AC8C43C" w:tentative="1">
      <w:start w:val="1"/>
      <w:numFmt w:val="decimal"/>
      <w:lvlText w:val="%4."/>
      <w:lvlJc w:val="left"/>
      <w:pPr>
        <w:ind w:left="2880" w:hanging="360"/>
      </w:pPr>
    </w:lvl>
    <w:lvl w:ilvl="4" w:tplc="BFE8CD7E" w:tentative="1">
      <w:start w:val="1"/>
      <w:numFmt w:val="lowerLetter"/>
      <w:lvlText w:val="%5."/>
      <w:lvlJc w:val="left"/>
      <w:pPr>
        <w:ind w:left="3600" w:hanging="360"/>
      </w:pPr>
    </w:lvl>
    <w:lvl w:ilvl="5" w:tplc="0DD055B2" w:tentative="1">
      <w:start w:val="1"/>
      <w:numFmt w:val="lowerRoman"/>
      <w:lvlText w:val="%6."/>
      <w:lvlJc w:val="right"/>
      <w:pPr>
        <w:ind w:left="4320" w:hanging="180"/>
      </w:pPr>
    </w:lvl>
    <w:lvl w:ilvl="6" w:tplc="0096CD48" w:tentative="1">
      <w:start w:val="1"/>
      <w:numFmt w:val="decimal"/>
      <w:lvlText w:val="%7."/>
      <w:lvlJc w:val="left"/>
      <w:pPr>
        <w:ind w:left="5040" w:hanging="360"/>
      </w:pPr>
    </w:lvl>
    <w:lvl w:ilvl="7" w:tplc="E9F0567C" w:tentative="1">
      <w:start w:val="1"/>
      <w:numFmt w:val="lowerLetter"/>
      <w:lvlText w:val="%8."/>
      <w:lvlJc w:val="left"/>
      <w:pPr>
        <w:ind w:left="5760" w:hanging="360"/>
      </w:pPr>
    </w:lvl>
    <w:lvl w:ilvl="8" w:tplc="45BCB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0E6F6E"/>
    <w:rsid w:val="00120DE9"/>
    <w:rsid w:val="001439C1"/>
    <w:rsid w:val="00147FD0"/>
    <w:rsid w:val="0015046F"/>
    <w:rsid w:val="00180FC5"/>
    <w:rsid w:val="00184325"/>
    <w:rsid w:val="00185882"/>
    <w:rsid w:val="001B5BD6"/>
    <w:rsid w:val="001E12D3"/>
    <w:rsid w:val="001E17C8"/>
    <w:rsid w:val="001E3F0C"/>
    <w:rsid w:val="001E4B62"/>
    <w:rsid w:val="001E51A4"/>
    <w:rsid w:val="00264D82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4377BB"/>
    <w:rsid w:val="00452A83"/>
    <w:rsid w:val="00453B8C"/>
    <w:rsid w:val="00494370"/>
    <w:rsid w:val="004F1A16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D32CB"/>
    <w:rsid w:val="005F100D"/>
    <w:rsid w:val="005F273D"/>
    <w:rsid w:val="005F5EDF"/>
    <w:rsid w:val="00606B27"/>
    <w:rsid w:val="006241BE"/>
    <w:rsid w:val="0062639B"/>
    <w:rsid w:val="00662E47"/>
    <w:rsid w:val="00666705"/>
    <w:rsid w:val="00671E2C"/>
    <w:rsid w:val="0069715F"/>
    <w:rsid w:val="006A7956"/>
    <w:rsid w:val="006B27F7"/>
    <w:rsid w:val="006C4AE7"/>
    <w:rsid w:val="006C63EB"/>
    <w:rsid w:val="007176C8"/>
    <w:rsid w:val="00747648"/>
    <w:rsid w:val="007600EE"/>
    <w:rsid w:val="007B77FF"/>
    <w:rsid w:val="007E030E"/>
    <w:rsid w:val="0080120E"/>
    <w:rsid w:val="0085005D"/>
    <w:rsid w:val="00853F31"/>
    <w:rsid w:val="00861B82"/>
    <w:rsid w:val="00881DFB"/>
    <w:rsid w:val="00883DB3"/>
    <w:rsid w:val="008A42F1"/>
    <w:rsid w:val="008B0F71"/>
    <w:rsid w:val="008B4ECD"/>
    <w:rsid w:val="008B6200"/>
    <w:rsid w:val="008E1382"/>
    <w:rsid w:val="00920AFF"/>
    <w:rsid w:val="0094178F"/>
    <w:rsid w:val="00943749"/>
    <w:rsid w:val="00952D74"/>
    <w:rsid w:val="00953217"/>
    <w:rsid w:val="00957186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48BF"/>
    <w:rsid w:val="00A55523"/>
    <w:rsid w:val="00A71F35"/>
    <w:rsid w:val="00A73452"/>
    <w:rsid w:val="00A7684D"/>
    <w:rsid w:val="00A77CB4"/>
    <w:rsid w:val="00A9099A"/>
    <w:rsid w:val="00AA0567"/>
    <w:rsid w:val="00AC0F1E"/>
    <w:rsid w:val="00AD5786"/>
    <w:rsid w:val="00AE2643"/>
    <w:rsid w:val="00B12EB0"/>
    <w:rsid w:val="00B50C7D"/>
    <w:rsid w:val="00B82191"/>
    <w:rsid w:val="00BB35CA"/>
    <w:rsid w:val="00BE28C8"/>
    <w:rsid w:val="00BF4CBC"/>
    <w:rsid w:val="00C10F83"/>
    <w:rsid w:val="00C422D8"/>
    <w:rsid w:val="00C55201"/>
    <w:rsid w:val="00C61019"/>
    <w:rsid w:val="00C623A6"/>
    <w:rsid w:val="00C7321D"/>
    <w:rsid w:val="00C77347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A14D0"/>
    <w:rsid w:val="00DC5BCE"/>
    <w:rsid w:val="00DD7AC0"/>
    <w:rsid w:val="00E009B5"/>
    <w:rsid w:val="00E2305B"/>
    <w:rsid w:val="00E403F5"/>
    <w:rsid w:val="00E60600"/>
    <w:rsid w:val="00E67853"/>
    <w:rsid w:val="00E82E35"/>
    <w:rsid w:val="00E962BF"/>
    <w:rsid w:val="00EA087E"/>
    <w:rsid w:val="00EA1553"/>
    <w:rsid w:val="00EA521D"/>
    <w:rsid w:val="00EB6A68"/>
    <w:rsid w:val="00EC748C"/>
    <w:rsid w:val="00ED55EF"/>
    <w:rsid w:val="00EE4458"/>
    <w:rsid w:val="00EF6716"/>
    <w:rsid w:val="00EF6AA6"/>
    <w:rsid w:val="00F0234A"/>
    <w:rsid w:val="00F307DF"/>
    <w:rsid w:val="00F5341D"/>
    <w:rsid w:val="00F543CF"/>
    <w:rsid w:val="00F839C2"/>
    <w:rsid w:val="00FA00D6"/>
    <w:rsid w:val="00FC554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1A16"/>
    <w:pPr>
      <w:suppressAutoHyphens w:val="0"/>
      <w:ind w:left="720"/>
      <w:contextualSpacing/>
    </w:pPr>
    <w:rPr>
      <w:rFonts w:ascii="Trebuchet MS" w:hAnsi="Trebuchet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1A16"/>
    <w:pPr>
      <w:suppressAutoHyphens w:val="0"/>
      <w:ind w:left="720"/>
      <w:contextualSpacing/>
    </w:pPr>
    <w:rPr>
      <w:rFonts w:ascii="Trebuchet MS" w:hAnsi="Trebuchet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2761</Words>
  <Characters>14912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14</cp:revision>
  <cp:lastPrinted>2023-10-16T12:49:00Z</cp:lastPrinted>
  <dcterms:created xsi:type="dcterms:W3CDTF">2023-10-03T16:16:00Z</dcterms:created>
  <dcterms:modified xsi:type="dcterms:W3CDTF">2023-11-29T12:38:00Z</dcterms:modified>
</cp:coreProperties>
</file>