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E96789" w:rsidP="003C6777">
      <w:pPr>
        <w:pStyle w:val="Default"/>
        <w:spacing w:line="276" w:lineRule="auto"/>
        <w:jc w:val="both"/>
        <w:rPr>
          <w:rFonts w:ascii="Calibri" w:eastAsia="Times New Roman" w:hAnsi="Calibri" w:cs="Calibri"/>
          <w:bCs/>
          <w:color w:val="auto"/>
        </w:rPr>
      </w:pPr>
      <w:r w:rsidRPr="00E96789">
        <w:rPr>
          <w:rFonts w:ascii="Calibri" w:hAnsi="Calibri" w:cs="Calibri"/>
          <w:b/>
          <w:color w:val="auto"/>
        </w:rPr>
        <w:t xml:space="preserve">Parecer Jurídico nº </w:t>
      </w:r>
      <w:r w:rsidR="00A23649">
        <w:rPr>
          <w:rFonts w:ascii="Calibri" w:hAnsi="Calibri" w:cs="Calibri"/>
          <w:b/>
          <w:color w:val="auto"/>
        </w:rPr>
        <w:t>510</w:t>
      </w:r>
      <w:r w:rsidRPr="00E96789">
        <w:rPr>
          <w:rFonts w:ascii="Calibri" w:hAnsi="Calibri" w:cs="Calibri"/>
          <w:b/>
          <w:color w:val="auto"/>
        </w:rPr>
        <w:t>/202</w:t>
      </w:r>
      <w:r w:rsidRPr="00E96789" w:rsidR="00FA62B0">
        <w:rPr>
          <w:rFonts w:ascii="Calibri" w:hAnsi="Calibri" w:cs="Calibri"/>
          <w:b/>
          <w:color w:val="auto"/>
        </w:rPr>
        <w:t>3</w:t>
      </w:r>
      <w:r w:rsidRPr="00E96789">
        <w:rPr>
          <w:rFonts w:ascii="Calibri" w:hAnsi="Calibri" w:cs="Calibri"/>
          <w:b/>
          <w:color w:val="auto"/>
        </w:rPr>
        <w:t>.</w:t>
      </w:r>
    </w:p>
    <w:p w:rsidR="004475D4" w:rsidRPr="003C6777" w:rsidP="003C6777">
      <w:pPr>
        <w:spacing w:after="0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Assunto</w:t>
      </w:r>
      <w:r w:rsidRPr="00305026">
        <w:rPr>
          <w:rFonts w:ascii="Calibri" w:hAnsi="Calibri" w:cs="Calibri"/>
          <w:bCs/>
          <w:szCs w:val="24"/>
        </w:rPr>
        <w:t xml:space="preserve">: </w:t>
      </w:r>
      <w:r w:rsidR="00A23649">
        <w:rPr>
          <w:rFonts w:ascii="Calibri" w:hAnsi="Calibri" w:cs="Calibri"/>
          <w:b/>
          <w:bCs/>
          <w:szCs w:val="24"/>
        </w:rPr>
        <w:t xml:space="preserve">Subemenda à </w:t>
      </w:r>
      <w:r w:rsidR="00C86AE4">
        <w:rPr>
          <w:rFonts w:ascii="Calibri" w:hAnsi="Calibri" w:cs="Calibri"/>
          <w:b/>
          <w:bCs/>
          <w:szCs w:val="24"/>
        </w:rPr>
        <w:t>Emenda 01</w:t>
      </w:r>
      <w:r w:rsidR="00FA62B0">
        <w:rPr>
          <w:rFonts w:ascii="Calibri" w:hAnsi="Calibri" w:cs="Calibri"/>
          <w:b/>
          <w:bCs/>
          <w:szCs w:val="24"/>
        </w:rPr>
        <w:t xml:space="preserve"> ao Projeto de Lei nº </w:t>
      </w:r>
      <w:r w:rsidR="00C86AE4">
        <w:rPr>
          <w:rFonts w:ascii="Calibri" w:hAnsi="Calibri" w:cs="Calibri"/>
          <w:b/>
          <w:bCs/>
          <w:szCs w:val="24"/>
        </w:rPr>
        <w:t>48</w:t>
      </w:r>
      <w:r w:rsidRPr="00305026">
        <w:rPr>
          <w:rFonts w:ascii="Calibri" w:hAnsi="Calibri" w:cs="Calibri"/>
          <w:b/>
          <w:bCs/>
          <w:szCs w:val="24"/>
        </w:rPr>
        <w:t>/202</w:t>
      </w:r>
      <w:r w:rsidR="00C86AE4">
        <w:rPr>
          <w:rFonts w:ascii="Calibri" w:hAnsi="Calibri" w:cs="Calibri"/>
          <w:b/>
          <w:bCs/>
          <w:szCs w:val="24"/>
        </w:rPr>
        <w:t>3</w:t>
      </w:r>
      <w:r w:rsidRPr="00305026">
        <w:rPr>
          <w:rFonts w:ascii="Calibri" w:hAnsi="Calibri" w:cs="Calibri"/>
          <w:bCs/>
          <w:szCs w:val="24"/>
        </w:rPr>
        <w:t xml:space="preserve"> que</w:t>
      </w:r>
      <w:r w:rsidR="00FA62B0">
        <w:rPr>
          <w:rFonts w:ascii="Calibri" w:hAnsi="Calibri" w:cs="Calibri"/>
          <w:bCs/>
          <w:szCs w:val="24"/>
        </w:rPr>
        <w:t xml:space="preserve"> </w:t>
      </w:r>
      <w:r w:rsidRPr="00FA62B0" w:rsidR="00FA62B0">
        <w:rPr>
          <w:rFonts w:eastAsia="Calibri" w:asciiTheme="minorHAnsi" w:hAnsiTheme="minorHAnsi" w:cstheme="minorHAnsi"/>
          <w:color w:val="000000"/>
          <w:szCs w:val="24"/>
        </w:rPr>
        <w:t>“</w:t>
      </w:r>
      <w:r w:rsidR="003C6777">
        <w:rPr>
          <w:rFonts w:eastAsia="Calibri" w:asciiTheme="minorHAnsi" w:hAnsiTheme="minorHAnsi" w:cstheme="minorHAnsi"/>
          <w:color w:val="000000"/>
          <w:szCs w:val="24"/>
        </w:rPr>
        <w:t>A</w:t>
      </w:r>
      <w:r w:rsidRPr="003C6777" w:rsidR="003C6777">
        <w:rPr>
          <w:rFonts w:eastAsia="Calibri" w:asciiTheme="minorHAnsi" w:hAnsiTheme="minorHAnsi" w:cstheme="minorHAnsi"/>
          <w:color w:val="000000"/>
          <w:szCs w:val="24"/>
        </w:rPr>
        <w:t>ltera o Anexo Único da Lei nº 4.641/10 e estabelece diretrizes, critérios e procedimentos para a emissão do Laudo Técnico de Avaliação no âmbito municipal de Valinhos</w:t>
      </w:r>
      <w:r w:rsidRPr="00FA62B0" w:rsidR="00FA62B0">
        <w:rPr>
          <w:rFonts w:eastAsia="Calibri" w:asciiTheme="minorHAnsi" w:hAnsiTheme="minorHAnsi" w:cstheme="minorHAnsi"/>
          <w:color w:val="000000"/>
          <w:szCs w:val="24"/>
        </w:rPr>
        <w:t>”</w:t>
      </w:r>
      <w:r w:rsidRPr="003C6777" w:rsidR="00305026">
        <w:rPr>
          <w:rFonts w:eastAsia="Calibri" w:asciiTheme="minorHAnsi" w:hAnsiTheme="minorHAnsi" w:cstheme="minorHAnsi"/>
          <w:color w:val="000000"/>
          <w:szCs w:val="24"/>
        </w:rPr>
        <w:t xml:space="preserve">. </w:t>
      </w:r>
    </w:p>
    <w:p w:rsidR="00305026" w:rsidRPr="00FA62B0" w:rsidP="003C6777">
      <w:pPr>
        <w:spacing w:after="0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Emenda de autoria do Executivo. </w:t>
      </w:r>
      <w:r w:rsidRPr="00305026">
        <w:rPr>
          <w:rFonts w:ascii="Calibri" w:hAnsi="Calibri" w:cs="Calibri"/>
          <w:b/>
          <w:bCs/>
          <w:szCs w:val="24"/>
        </w:rPr>
        <w:t xml:space="preserve">Ofício nº </w:t>
      </w:r>
      <w:r w:rsidR="00A23649">
        <w:rPr>
          <w:rFonts w:ascii="Calibri" w:hAnsi="Calibri" w:cs="Calibri"/>
          <w:b/>
          <w:bCs/>
          <w:szCs w:val="24"/>
        </w:rPr>
        <w:t>20</w:t>
      </w:r>
      <w:r w:rsidRPr="00305026">
        <w:rPr>
          <w:rFonts w:ascii="Calibri" w:hAnsi="Calibri" w:cs="Calibri"/>
          <w:b/>
          <w:bCs/>
          <w:szCs w:val="24"/>
        </w:rPr>
        <w:t>/202</w:t>
      </w:r>
      <w:r w:rsidR="003C6777">
        <w:rPr>
          <w:rFonts w:ascii="Calibri" w:hAnsi="Calibri" w:cs="Calibri"/>
          <w:b/>
          <w:bCs/>
          <w:szCs w:val="24"/>
        </w:rPr>
        <w:t>3</w:t>
      </w:r>
      <w:r w:rsidR="00537DDD">
        <w:rPr>
          <w:rFonts w:ascii="Calibri" w:hAnsi="Calibri" w:cs="Calibri"/>
          <w:b/>
          <w:bCs/>
          <w:szCs w:val="24"/>
        </w:rPr>
        <w:t>-DG</w:t>
      </w:r>
      <w:r w:rsidRPr="00305026">
        <w:rPr>
          <w:rFonts w:ascii="Calibri" w:hAnsi="Calibri" w:cs="Calibri"/>
          <w:b/>
          <w:bCs/>
          <w:szCs w:val="24"/>
        </w:rPr>
        <w:t>L/GP/P</w:t>
      </w:r>
    </w:p>
    <w:p w:rsidR="00A779B8" w:rsidRPr="00DA5745" w:rsidP="003C6777">
      <w:pPr>
        <w:pStyle w:val="Default"/>
        <w:spacing w:line="276" w:lineRule="auto"/>
        <w:jc w:val="both"/>
        <w:rPr>
          <w:rFonts w:ascii="Calibri" w:hAnsi="Calibri" w:cs="Calibri"/>
          <w:b/>
          <w:i/>
          <w:color w:val="auto"/>
        </w:rPr>
      </w:pPr>
    </w:p>
    <w:p w:rsidR="00DD5A76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C677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C677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DD5A76">
        <w:rPr>
          <w:rFonts w:ascii="Calibri" w:hAnsi="Calibri" w:cs="Calibri"/>
          <w:b/>
          <w:i/>
          <w:color w:val="auto"/>
        </w:rPr>
        <w:t xml:space="preserve">Vereador </w:t>
      </w:r>
      <w:r w:rsidR="00FA62B0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D5A76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C677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05026" w:rsidP="003C6777">
      <w:pPr>
        <w:pStyle w:val="Default"/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</w:t>
      </w:r>
      <w:r w:rsidR="00A23649">
        <w:rPr>
          <w:rFonts w:asciiTheme="minorHAnsi" w:hAnsiTheme="minorHAnsi" w:cstheme="minorHAnsi"/>
        </w:rPr>
        <w:t>sub</w:t>
      </w:r>
      <w:r>
        <w:rPr>
          <w:rFonts w:asciiTheme="minorHAnsi" w:hAnsiTheme="minorHAnsi" w:cstheme="minorHAnsi"/>
        </w:rPr>
        <w:t xml:space="preserve">emenda </w:t>
      </w:r>
      <w:r w:rsidRPr="0006682F">
        <w:rPr>
          <w:rFonts w:asciiTheme="minorHAnsi" w:hAnsiTheme="minorHAnsi" w:cstheme="minorHAnsi"/>
        </w:rPr>
        <w:t>em epígrafe que</w:t>
      </w:r>
      <w:r w:rsidR="009D2232">
        <w:rPr>
          <w:rFonts w:asciiTheme="minorHAnsi" w:hAnsiTheme="minorHAnsi" w:cstheme="minorHAnsi"/>
        </w:rPr>
        <w:t xml:space="preserve"> pretende </w:t>
      </w:r>
      <w:r w:rsidR="00FA62B0">
        <w:rPr>
          <w:rFonts w:asciiTheme="minorHAnsi" w:hAnsiTheme="minorHAnsi" w:cstheme="minorHAnsi"/>
        </w:rPr>
        <w:t>alterar a redação do art. 1</w:t>
      </w:r>
      <w:r w:rsidR="003C6777">
        <w:rPr>
          <w:rFonts w:asciiTheme="minorHAnsi" w:hAnsiTheme="minorHAnsi" w:cstheme="minorHAnsi"/>
        </w:rPr>
        <w:t>3</w:t>
      </w:r>
      <w:r w:rsidR="00FA62B0">
        <w:rPr>
          <w:rFonts w:asciiTheme="minorHAnsi" w:hAnsiTheme="minorHAnsi" w:cstheme="minorHAnsi"/>
        </w:rPr>
        <w:t xml:space="preserve"> do Projeto de Lei nº </w:t>
      </w:r>
      <w:r w:rsidR="003C6777">
        <w:rPr>
          <w:rFonts w:asciiTheme="minorHAnsi" w:hAnsiTheme="minorHAnsi" w:cstheme="minorHAnsi"/>
        </w:rPr>
        <w:t>48</w:t>
      </w:r>
      <w:r w:rsidR="00FA62B0">
        <w:rPr>
          <w:rFonts w:asciiTheme="minorHAnsi" w:hAnsiTheme="minorHAnsi" w:cstheme="minorHAnsi"/>
        </w:rPr>
        <w:t>/2023,</w:t>
      </w:r>
      <w:r w:rsidR="00DD5A76">
        <w:rPr>
          <w:rFonts w:asciiTheme="minorHAnsi" w:hAnsiTheme="minorHAnsi" w:cstheme="minorHAnsi"/>
        </w:rPr>
        <w:t xml:space="preserve"> </w:t>
      </w:r>
      <w:r w:rsidRPr="00305026" w:rsidR="00DD5A76">
        <w:rPr>
          <w:rFonts w:ascii="Calibri" w:hAnsi="Calibri" w:cs="Calibri"/>
          <w:bCs/>
        </w:rPr>
        <w:t>que</w:t>
      </w:r>
      <w:r w:rsidR="00DD5A76">
        <w:rPr>
          <w:rFonts w:ascii="Calibri" w:hAnsi="Calibri" w:cs="Calibri"/>
          <w:bCs/>
        </w:rPr>
        <w:t xml:space="preserve"> </w:t>
      </w:r>
      <w:r w:rsidRPr="003C6777" w:rsidR="00DD5A76">
        <w:rPr>
          <w:rFonts w:asciiTheme="minorHAnsi" w:hAnsiTheme="minorHAnsi" w:cstheme="minorHAnsi"/>
          <w:i/>
        </w:rPr>
        <w:t>“</w:t>
      </w:r>
      <w:r w:rsidRPr="003C6777" w:rsidR="003C6777">
        <w:rPr>
          <w:rFonts w:asciiTheme="minorHAnsi" w:hAnsiTheme="minorHAnsi" w:cstheme="minorHAnsi"/>
          <w:i/>
        </w:rPr>
        <w:t>Altera o Anexo Único da Lei nº 4.641/10 e estabelece diretrizes, critérios e procedimentos para a emissão do Laudo Técnico de Avaliação no âmbito municipal de Valinhos</w:t>
      </w:r>
      <w:r w:rsidRPr="00FA62B0" w:rsidR="00DD5A76">
        <w:rPr>
          <w:rFonts w:asciiTheme="minorHAnsi" w:hAnsiTheme="minorHAnsi" w:cstheme="minorHAnsi"/>
        </w:rPr>
        <w:t>”</w:t>
      </w:r>
      <w:r w:rsidR="00DD5A76">
        <w:rPr>
          <w:rFonts w:asciiTheme="minorHAnsi" w:hAnsiTheme="minorHAnsi" w:cstheme="minorHAnsi"/>
        </w:rPr>
        <w:t>,</w:t>
      </w:r>
      <w:r w:rsidR="00FA62B0">
        <w:rPr>
          <w:rFonts w:asciiTheme="minorHAnsi" w:hAnsiTheme="minorHAnsi" w:cstheme="minorHAnsi"/>
        </w:rPr>
        <w:t xml:space="preserve"> nos seguintes termos</w:t>
      </w:r>
      <w:r>
        <w:rPr>
          <w:rFonts w:asciiTheme="minorHAnsi" w:hAnsiTheme="minorHAnsi" w:cstheme="minorHAnsi"/>
        </w:rPr>
        <w:t>:</w:t>
      </w:r>
      <w:r w:rsidRPr="0006682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755" w:type="dxa"/>
        <w:tblLayout w:type="fixed"/>
        <w:tblLook w:val="04A0"/>
      </w:tblPr>
      <w:tblGrid>
        <w:gridCol w:w="2660"/>
        <w:gridCol w:w="3260"/>
        <w:gridCol w:w="2835"/>
      </w:tblGrid>
      <w:tr w:rsidTr="007C0BD4">
        <w:tblPrEx>
          <w:tblW w:w="8755" w:type="dxa"/>
          <w:tblLayout w:type="fixed"/>
          <w:tblLook w:val="04A0"/>
        </w:tblPrEx>
        <w:trPr>
          <w:trHeight w:val="551"/>
        </w:trPr>
        <w:tc>
          <w:tcPr>
            <w:tcW w:w="2660" w:type="dxa"/>
            <w:vAlign w:val="center"/>
          </w:tcPr>
          <w:p w:rsidR="00A23649" w:rsidRPr="003C6777" w:rsidP="00A23649">
            <w:pPr>
              <w:tabs>
                <w:tab w:val="left" w:pos="1701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Projeto de Lei nº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48</w:t>
            </w: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A23649" w:rsidP="00A23649">
            <w:pPr>
              <w:tabs>
                <w:tab w:val="left" w:pos="170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A23649" w:rsidRPr="003C6777" w:rsidP="00A23649">
            <w:pPr>
              <w:tabs>
                <w:tab w:val="left" w:pos="170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Emenda 01 ao</w:t>
            </w:r>
          </w:p>
          <w:p w:rsidR="00A23649" w:rsidRPr="003C6777" w:rsidP="00A23649">
            <w:pPr>
              <w:tabs>
                <w:tab w:val="left" w:pos="170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Projeto de Lei nº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48</w:t>
            </w: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A23649" w:rsidP="00A23649">
            <w:pPr>
              <w:tabs>
                <w:tab w:val="left" w:pos="170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Subemenda à </w:t>
            </w:r>
          </w:p>
          <w:p w:rsidR="00A23649" w:rsidRPr="003C6777" w:rsidP="00A23649">
            <w:pPr>
              <w:tabs>
                <w:tab w:val="left" w:pos="170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Emenda 01 ao</w:t>
            </w:r>
          </w:p>
          <w:p w:rsidR="00A23649" w:rsidP="00A23649">
            <w:pPr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Projeto de Lei nº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48</w:t>
            </w: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</w:tr>
      <w:tr w:rsidTr="007C0BD4">
        <w:tblPrEx>
          <w:tblW w:w="8755" w:type="dxa"/>
          <w:tblLayout w:type="fixed"/>
          <w:tblLook w:val="04A0"/>
        </w:tblPrEx>
        <w:tc>
          <w:tcPr>
            <w:tcW w:w="2660" w:type="dxa"/>
          </w:tcPr>
          <w:p w:rsidR="00A23649" w:rsidP="003C6777">
            <w:pPr>
              <w:ind w:left="142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A23649" w:rsidRPr="003C6777" w:rsidP="003C6777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777"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  <w:t>Art. 13. Esta Lei entrará em vigor 30 (trinta) dias após a sua publicação.</w:t>
            </w:r>
          </w:p>
        </w:tc>
        <w:tc>
          <w:tcPr>
            <w:tcW w:w="3260" w:type="dxa"/>
          </w:tcPr>
          <w:p w:rsidR="00A23649" w:rsidP="003C6777">
            <w:pPr>
              <w:ind w:left="34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A23649" w:rsidRPr="003C6777" w:rsidP="003C6777">
            <w:pPr>
              <w:ind w:left="3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6777"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  <w:t xml:space="preserve">Art. 13. Esta Lei entrará em vigor 30 (trinta) dias após a sua publicação, com exceção dos arts. 1º e 3º, </w:t>
            </w:r>
            <w:r w:rsidRPr="00A23649">
              <w:rPr>
                <w:rFonts w:eastAsia="Calibri"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que entrarão em vigor em 1º de janeiro de 2024</w:t>
            </w:r>
            <w:r w:rsidRPr="003C6777"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  <w:t>, em observância às vedações constantes no art. 150, inciso III, alíneas “b” e “c”, da Constituição Federal.</w:t>
            </w:r>
          </w:p>
        </w:tc>
        <w:tc>
          <w:tcPr>
            <w:tcW w:w="2835" w:type="dxa"/>
          </w:tcPr>
          <w:p w:rsidR="00A23649" w:rsidP="003C6777">
            <w:pPr>
              <w:ind w:left="34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A23649" w:rsidP="00A23649">
            <w:pPr>
              <w:ind w:left="34"/>
              <w:jc w:val="both"/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C6777"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  <w:t xml:space="preserve">Art. 13. Esta Lei entrará em vigor 30 (trinta) dias após a sua publicação, com exceção dos arts. 1º e 3º, </w:t>
            </w:r>
            <w:r w:rsidRPr="00A23649">
              <w:rPr>
                <w:rFonts w:eastAsia="Calibri"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que entrarão em vigor</w:t>
            </w:r>
            <w:r w:rsidRPr="00A23649">
              <w:rPr>
                <w:rFonts w:eastAsia="Calibri"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90 (noventa) dias após sua publicação</w:t>
            </w:r>
            <w:r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  <w:t>,</w:t>
            </w:r>
            <w:r w:rsidRPr="003C6777"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  <w:t xml:space="preserve"> em</w:t>
            </w:r>
            <w:r w:rsidRPr="003C6777">
              <w:rPr>
                <w:rFonts w:eastAsia="Calibri" w:asciiTheme="minorHAnsi" w:hAnsiTheme="minorHAnsi" w:cstheme="minorHAnsi"/>
                <w:i/>
                <w:color w:val="000000"/>
                <w:sz w:val="22"/>
                <w:szCs w:val="22"/>
              </w:rPr>
              <w:t xml:space="preserve"> observância às vedações constantes no art. 150, inciso III, alíneas “b” e “c”, da Constituição Federal.</w:t>
            </w:r>
          </w:p>
        </w:tc>
      </w:tr>
    </w:tbl>
    <w:p w:rsidR="00DD5A76" w:rsidRPr="00DD5A76" w:rsidP="003C6777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3C6777" w:rsidP="003C6777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  <w:i/>
        </w:rPr>
      </w:pPr>
    </w:p>
    <w:p w:rsidR="00A779B8" w:rsidRPr="0006682F" w:rsidP="003C6777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3C6777" w:rsidP="003C6777">
      <w:pPr>
        <w:spacing w:after="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A779B8" w:rsidRPr="0006682F" w:rsidP="003C6777">
      <w:pPr>
        <w:spacing w:after="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06682F">
        <w:rPr>
          <w:rFonts w:asciiTheme="minorHAnsi" w:hAnsiTheme="minorHAnsi" w:cstheme="minorHAnsi"/>
          <w:szCs w:val="24"/>
        </w:rPr>
        <w:t xml:space="preserve"> não fundamentando </w:t>
      </w:r>
      <w:r w:rsidRPr="0006682F">
        <w:rPr>
          <w:rFonts w:asciiTheme="minorHAnsi" w:hAnsiTheme="minorHAnsi" w:cstheme="minorHAnsi"/>
          <w:szCs w:val="24"/>
        </w:rPr>
        <w:t>decisão</w:t>
      </w:r>
      <w:r w:rsidRPr="0006682F">
        <w:rPr>
          <w:rFonts w:asciiTheme="minorHAnsi" w:hAnsiTheme="minorHAnsi" w:cstheme="minorHAnsi"/>
          <w:szCs w:val="24"/>
        </w:rPr>
        <w:t xml:space="preserve">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DD5A76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5A76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DD5A76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5A76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DD5A76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DD5A76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7C0BD4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</w:pPr>
      <w:r w:rsidRPr="007C0BD4">
        <w:rPr>
          <w:rFonts w:asciiTheme="minorHAnsi" w:hAnsiTheme="minorHAnsi" w:cs="Calibri"/>
          <w:b/>
          <w:i/>
          <w:color w:val="000000"/>
          <w:sz w:val="22"/>
          <w:szCs w:val="22"/>
          <w:u w:val="single"/>
        </w:rPr>
        <w:t xml:space="preserve">§ 5º. A emenda apresentada à outra emenda denomina-se subemenda. </w:t>
      </w:r>
    </w:p>
    <w:p w:rsidR="00A779B8" w:rsidRPr="00FC62DB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  <w:bookmarkStart w:id="0" w:name="_GoBack"/>
      <w:bookmarkEnd w:id="0"/>
    </w:p>
    <w:p w:rsidR="00A779B8" w:rsidRPr="007C0BD4" w:rsidP="007C0BD4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Assim</w:t>
      </w:r>
      <w:r w:rsidRPr="00783082">
        <w:rPr>
          <w:rFonts w:asciiTheme="minorHAnsi" w:hAnsiTheme="minorHAnsi" w:cs="Calibri"/>
          <w:szCs w:val="24"/>
        </w:rPr>
        <w:t xml:space="preserve">, verifica-se que o projeto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="007C0BD4">
        <w:rPr>
          <w:rFonts w:asciiTheme="minorHAnsi" w:hAnsiTheme="minorHAnsi" w:cs="Calibri"/>
          <w:szCs w:val="24"/>
        </w:rPr>
        <w:t xml:space="preserve"> e quanto à matéria opinamos pela constitucionalidade da subemenda que observa o disposto no </w:t>
      </w:r>
      <w:r w:rsidRPr="00883AB2">
        <w:rPr>
          <w:rFonts w:asciiTheme="minorHAnsi" w:hAnsiTheme="minorHAnsi" w:cs="Calibri"/>
          <w:szCs w:val="24"/>
        </w:rPr>
        <w:t>art. 150, inciso III, alínea “c”, da Constituição Federal.</w:t>
      </w:r>
      <w:r w:rsidR="00A57790">
        <w:rPr>
          <w:rFonts w:asciiTheme="minorHAnsi" w:hAnsiTheme="minorHAnsi" w:cs="Calibri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>S</w:t>
      </w:r>
      <w:r w:rsidRPr="00783082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>,</w:t>
      </w:r>
      <w:r w:rsidR="007C0BD4">
        <w:rPr>
          <w:rFonts w:ascii="Calibri" w:hAnsi="Calibri" w:cs="Calibri"/>
          <w:szCs w:val="24"/>
        </w:rPr>
        <w:t xml:space="preserve"> 24</w:t>
      </w:r>
      <w:r w:rsidRPr="003A7521">
        <w:rPr>
          <w:rFonts w:ascii="Calibri" w:hAnsi="Calibri" w:cs="Calibri"/>
          <w:szCs w:val="24"/>
        </w:rPr>
        <w:t xml:space="preserve"> de </w:t>
      </w:r>
      <w:r w:rsidR="007C0BD4">
        <w:rPr>
          <w:rFonts w:ascii="Calibri" w:hAnsi="Calibri" w:cs="Calibri"/>
          <w:szCs w:val="24"/>
        </w:rPr>
        <w:t>novembro</w:t>
      </w:r>
      <w:r w:rsidRPr="003A7521">
        <w:rPr>
          <w:rFonts w:ascii="Calibri" w:hAnsi="Calibri" w:cs="Calibri"/>
          <w:szCs w:val="24"/>
        </w:rPr>
        <w:t xml:space="preserve"> de 202</w:t>
      </w:r>
      <w:r w:rsidR="00DD5A76">
        <w:rPr>
          <w:rFonts w:ascii="Calibri" w:hAnsi="Calibri" w:cs="Calibri"/>
          <w:szCs w:val="24"/>
        </w:rPr>
        <w:t>3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646BC4" w:rsidP="00A0091D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sectPr w:rsidSect="003C6777">
      <w:headerReference w:type="default" r:id="rId6"/>
      <w:footerReference w:type="default" r:id="rId7"/>
      <w:pgSz w:w="11906" w:h="16838"/>
      <w:pgMar w:top="2522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FA62B0" w:rsidP="00DD5A76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</w:t>
            </w:r>
            <w:r w:rsidR="00DD5A76">
              <w:rPr>
                <w:sz w:val="18"/>
                <w:lang w:val="pt-PT"/>
              </w:rPr>
              <w:t>_____________________________</w:t>
            </w: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FA62B0" w:rsidP="00305026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FA62B0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C0BD4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C0BD4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A62B0">
      <w:pPr>
        <w:spacing w:after="0" w:line="240" w:lineRule="auto"/>
      </w:pPr>
      <w:r>
        <w:separator/>
      </w:r>
    </w:p>
  </w:footnote>
  <w:footnote w:type="continuationSeparator" w:id="1">
    <w:p w:rsidR="00FA62B0">
      <w:pPr>
        <w:spacing w:after="0" w:line="240" w:lineRule="auto"/>
      </w:pPr>
      <w:r>
        <w:continuationSeparator/>
      </w:r>
    </w:p>
  </w:footnote>
  <w:footnote w:id="2">
    <w:p w:rsidR="003C6777" w:rsidRPr="003C6777" w:rsidP="003C6777">
      <w:pPr>
        <w:pStyle w:val="FootnoteText"/>
        <w:jc w:val="both"/>
        <w:rPr>
          <w:rFonts w:asciiTheme="minorHAnsi" w:hAnsiTheme="minorHAnsi" w:cstheme="minorHAnsi"/>
          <w:i/>
        </w:rPr>
      </w:pPr>
      <w:r w:rsidRPr="003C6777">
        <w:rPr>
          <w:rStyle w:val="FootnoteReference"/>
          <w:i/>
        </w:rPr>
        <w:footnoteRef/>
      </w:r>
      <w:r w:rsidRPr="003C6777">
        <w:rPr>
          <w:i/>
        </w:rPr>
        <w:t xml:space="preserve"> </w:t>
      </w:r>
      <w:r w:rsidRPr="003C6777">
        <w:rPr>
          <w:rFonts w:asciiTheme="minorHAnsi" w:hAnsiTheme="minorHAnsi" w:cstheme="minorHAnsi"/>
          <w:i/>
        </w:rPr>
        <w:t xml:space="preserve">Nesse sentido é o entendimento do Supremo Tribunal Federal: 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C6777">
        <w:rPr>
          <w:rFonts w:asciiTheme="minorHAnsi" w:hAnsiTheme="minorHAnsi" w:cstheme="minorHAnsi"/>
          <w:i/>
        </w:rPr>
        <w:t>ex</w:t>
      </w:r>
      <w:r w:rsidRPr="003C6777">
        <w:rPr>
          <w:rFonts w:asciiTheme="minorHAnsi" w:hAnsiTheme="minorHAnsi" w:cstheme="minorHAnsi"/>
          <w:i/>
        </w:rPr>
        <w:t xml:space="preserve"> </w:t>
      </w:r>
      <w:r w:rsidRPr="003C6777">
        <w:rPr>
          <w:rFonts w:asciiTheme="minorHAnsi" w:hAnsiTheme="minorHAnsi" w:cstheme="minorHAnsi"/>
          <w:i/>
        </w:rPr>
        <w:t>oficio</w:t>
      </w:r>
      <w:r w:rsidRPr="003C6777">
        <w:rPr>
          <w:rFonts w:asciiTheme="minorHAnsi" w:hAnsiTheme="minorHAnsi" w:cstheme="minorHAnsi"/>
          <w:i/>
        </w:rPr>
        <w:t xml:space="preserve"> da lei. </w:t>
      </w:r>
      <w:r w:rsidRPr="003C6777">
        <w:rPr>
          <w:rFonts w:asciiTheme="minorHAnsi" w:hAnsiTheme="minorHAnsi" w:cstheme="minorHAnsi"/>
          <w:i/>
        </w:rPr>
        <w:t>Na oportunidade do julgamento, porquanto envolvido na espécie simples parecer, ou seja, ato opinativo que poderia ser, ou não, considerado pelo administrador.”</w:t>
      </w:r>
      <w:r w:rsidRPr="003C6777">
        <w:rPr>
          <w:rFonts w:asciiTheme="minorHAnsi" w:hAnsiTheme="minorHAnsi" w:cstheme="minorHAnsi"/>
          <w:i/>
        </w:rPr>
        <w:t xml:space="preserve"> (Mandado de Segurança n° 24.584-1 - Distrito Federal - Relator: Min. Marco Aurélio de Mello – STF.) </w:t>
      </w:r>
    </w:p>
    <w:p w:rsidR="003C6777" w:rsidRPr="003C6777">
      <w:pPr>
        <w:pStyle w:val="FootnoteText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2B0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2B0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0740144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260558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6233716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FA62B0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055652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837605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FA62B0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FA62B0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3C6777" w:rsidP="00305026">
    <w:pPr>
      <w:pStyle w:val="Header"/>
      <w:jc w:val="center"/>
      <w:rPr>
        <w:sz w:val="20"/>
        <w:lang w:val="pt-PT"/>
      </w:rPr>
    </w:pPr>
  </w:p>
  <w:p w:rsidR="003C6777" w:rsidP="00305026">
    <w:pPr>
      <w:pStyle w:val="Header"/>
      <w:jc w:val="center"/>
      <w:rPr>
        <w:sz w:val="20"/>
        <w:lang w:val="pt-PT"/>
      </w:rPr>
    </w:pPr>
  </w:p>
  <w:p w:rsidR="003C6777" w:rsidP="00305026">
    <w:pPr>
      <w:pStyle w:val="Header"/>
      <w:jc w:val="center"/>
      <w:rPr>
        <w:sz w:val="20"/>
        <w:lang w:val="pt-PT"/>
      </w:rPr>
    </w:pPr>
  </w:p>
  <w:p w:rsidR="003C6777" w:rsidP="00305026">
    <w:pPr>
      <w:pStyle w:val="Header"/>
      <w:jc w:val="center"/>
      <w:rPr>
        <w:sz w:val="20"/>
        <w:lang w:val="pt-PT"/>
      </w:rPr>
    </w:pPr>
  </w:p>
  <w:p w:rsidR="003C6777" w:rsidP="00A23649">
    <w:pPr>
      <w:pStyle w:val="Header"/>
      <w:tabs>
        <w:tab w:val="left" w:pos="3825"/>
      </w:tabs>
    </w:pPr>
    <w:r>
      <w:rPr>
        <w:sz w:val="20"/>
        <w:lang w:val="pt-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4F3A"/>
    <w:rsid w:val="0006682F"/>
    <w:rsid w:val="001B125C"/>
    <w:rsid w:val="00305026"/>
    <w:rsid w:val="003A7521"/>
    <w:rsid w:val="003C6777"/>
    <w:rsid w:val="003D4024"/>
    <w:rsid w:val="004475D4"/>
    <w:rsid w:val="00537DDD"/>
    <w:rsid w:val="005D6203"/>
    <w:rsid w:val="00646BC4"/>
    <w:rsid w:val="00724E61"/>
    <w:rsid w:val="00743FE1"/>
    <w:rsid w:val="00783082"/>
    <w:rsid w:val="00784D6D"/>
    <w:rsid w:val="007C02EA"/>
    <w:rsid w:val="007C0BD4"/>
    <w:rsid w:val="00883AB2"/>
    <w:rsid w:val="009D2232"/>
    <w:rsid w:val="00A0091D"/>
    <w:rsid w:val="00A23649"/>
    <w:rsid w:val="00A57790"/>
    <w:rsid w:val="00A779B8"/>
    <w:rsid w:val="00AD09BD"/>
    <w:rsid w:val="00AF01F9"/>
    <w:rsid w:val="00C233AC"/>
    <w:rsid w:val="00C86AE4"/>
    <w:rsid w:val="00DA5745"/>
    <w:rsid w:val="00DD45D3"/>
    <w:rsid w:val="00DD5A76"/>
    <w:rsid w:val="00E96789"/>
    <w:rsid w:val="00F33184"/>
    <w:rsid w:val="00F53BEF"/>
    <w:rsid w:val="00FA62B0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FA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unhideWhenUsed/>
    <w:rsid w:val="003C6777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3C6777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C6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1823-78D5-4CEC-AF50-E87D70A4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3</cp:revision>
  <dcterms:created xsi:type="dcterms:W3CDTF">2023-11-24T16:07:00Z</dcterms:created>
  <dcterms:modified xsi:type="dcterms:W3CDTF">2023-11-24T16:20:00Z</dcterms:modified>
</cp:coreProperties>
</file>