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C7B23" w:rsidRPr="008A3659" w:rsidP="00BC7B23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8A3659">
        <w:rPr>
          <w:rFonts w:asciiTheme="minorHAnsi" w:hAnsiTheme="minorHAnsi" w:cstheme="minorHAnsi"/>
          <w:b/>
          <w:color w:val="auto"/>
        </w:rPr>
        <w:t>Parecer Jurídico</w:t>
      </w:r>
      <w:r w:rsidRPr="008A3659" w:rsidR="006D1008">
        <w:rPr>
          <w:rFonts w:asciiTheme="minorHAnsi" w:hAnsiTheme="minorHAnsi" w:cstheme="minorHAnsi"/>
          <w:b/>
          <w:color w:val="auto"/>
        </w:rPr>
        <w:t xml:space="preserve"> nº </w:t>
      </w:r>
      <w:r w:rsidRPr="008A3659" w:rsidR="008A3659">
        <w:rPr>
          <w:rFonts w:asciiTheme="minorHAnsi" w:hAnsiTheme="minorHAnsi" w:cstheme="minorHAnsi"/>
          <w:b/>
          <w:color w:val="auto"/>
        </w:rPr>
        <w:t>507</w:t>
      </w:r>
      <w:r w:rsidRPr="008A3659" w:rsidR="008474C2">
        <w:rPr>
          <w:rFonts w:asciiTheme="minorHAnsi" w:hAnsiTheme="minorHAnsi" w:cstheme="minorHAnsi"/>
          <w:b/>
          <w:color w:val="auto"/>
        </w:rPr>
        <w:t>/</w:t>
      </w:r>
      <w:r w:rsidRPr="008A3659">
        <w:rPr>
          <w:rFonts w:asciiTheme="minorHAnsi" w:hAnsiTheme="minorHAnsi" w:cstheme="minorHAnsi"/>
          <w:b/>
          <w:color w:val="auto"/>
        </w:rPr>
        <w:t>202</w:t>
      </w:r>
      <w:r w:rsidRPr="008A3659" w:rsidR="0035614F">
        <w:rPr>
          <w:rFonts w:asciiTheme="minorHAnsi" w:hAnsiTheme="minorHAnsi" w:cstheme="minorHAnsi"/>
          <w:b/>
          <w:color w:val="auto"/>
        </w:rPr>
        <w:t>3.</w:t>
      </w:r>
    </w:p>
    <w:p w:rsidR="008F334C" w:rsidP="008474C2">
      <w:pPr>
        <w:jc w:val="both"/>
        <w:rPr>
          <w:rFonts w:asciiTheme="minorHAnsi" w:hAnsiTheme="minorHAnsi" w:cstheme="minorHAnsi"/>
          <w:sz w:val="24"/>
          <w:szCs w:val="24"/>
        </w:rPr>
      </w:pPr>
      <w:r w:rsidRPr="008B67E2">
        <w:rPr>
          <w:rFonts w:asciiTheme="minorHAnsi" w:hAnsiTheme="minorHAnsi" w:cstheme="minorHAnsi"/>
          <w:b/>
          <w:bCs/>
          <w:sz w:val="24"/>
          <w:szCs w:val="24"/>
        </w:rPr>
        <w:t xml:space="preserve">Assunto: </w:t>
      </w:r>
      <w:r w:rsidRPr="009B6B9B" w:rsidR="0035614F">
        <w:rPr>
          <w:rFonts w:asciiTheme="minorHAnsi" w:hAnsiTheme="minorHAnsi" w:cstheme="minorHAnsi"/>
          <w:b/>
          <w:sz w:val="24"/>
          <w:szCs w:val="24"/>
        </w:rPr>
        <w:t>Projeto de Lei nº 0</w:t>
      </w:r>
      <w:r>
        <w:rPr>
          <w:rFonts w:asciiTheme="minorHAnsi" w:hAnsiTheme="minorHAnsi" w:cstheme="minorHAnsi"/>
          <w:b/>
          <w:sz w:val="24"/>
          <w:szCs w:val="24"/>
        </w:rPr>
        <w:t>95</w:t>
      </w:r>
      <w:r w:rsidRPr="009B6B9B" w:rsidR="00AC37A5">
        <w:rPr>
          <w:rFonts w:asciiTheme="minorHAnsi" w:hAnsiTheme="minorHAnsi" w:cstheme="minorHAnsi"/>
          <w:b/>
          <w:sz w:val="24"/>
          <w:szCs w:val="24"/>
        </w:rPr>
        <w:t>/</w:t>
      </w:r>
      <w:r w:rsidRPr="009B6B9B">
        <w:rPr>
          <w:rFonts w:asciiTheme="minorHAnsi" w:hAnsiTheme="minorHAnsi" w:cstheme="minorHAnsi"/>
          <w:b/>
          <w:sz w:val="24"/>
          <w:szCs w:val="24"/>
        </w:rPr>
        <w:t>202</w:t>
      </w:r>
      <w:r w:rsidRPr="009B6B9B" w:rsidR="0035614F">
        <w:rPr>
          <w:rFonts w:asciiTheme="minorHAnsi" w:hAnsiTheme="minorHAnsi" w:cstheme="minorHAnsi"/>
          <w:b/>
          <w:sz w:val="24"/>
          <w:szCs w:val="24"/>
        </w:rPr>
        <w:t>3</w:t>
      </w:r>
      <w:r w:rsidRPr="008B67E2" w:rsidR="00B8195A">
        <w:rPr>
          <w:rFonts w:asciiTheme="minorHAnsi" w:hAnsiTheme="minorHAnsi" w:cstheme="minorHAnsi"/>
          <w:sz w:val="24"/>
          <w:szCs w:val="24"/>
        </w:rPr>
        <w:t xml:space="preserve"> </w:t>
      </w:r>
      <w:r w:rsidRPr="008B67E2" w:rsidR="007163D7">
        <w:rPr>
          <w:rFonts w:asciiTheme="minorHAnsi" w:hAnsiTheme="minorHAnsi" w:cstheme="minorHAnsi"/>
          <w:sz w:val="24"/>
          <w:szCs w:val="24"/>
        </w:rPr>
        <w:t>–</w:t>
      </w:r>
      <w:r>
        <w:rPr>
          <w:rFonts w:asciiTheme="minorHAnsi" w:hAnsiTheme="minorHAnsi" w:cstheme="minorHAnsi"/>
          <w:sz w:val="24"/>
          <w:szCs w:val="24"/>
        </w:rPr>
        <w:t xml:space="preserve"> Denomina </w:t>
      </w:r>
      <w:r w:rsidRPr="008F334C">
        <w:rPr>
          <w:rFonts w:asciiTheme="minorHAnsi" w:hAnsiTheme="minorHAnsi" w:cstheme="minorHAnsi"/>
          <w:sz w:val="24"/>
          <w:szCs w:val="24"/>
        </w:rPr>
        <w:t>a Academia de Ginástica da Guarda Civil Municipal de Valinhos JONAS FRANCO MACIEL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68682D" w:rsidP="008474C2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B67E2">
        <w:rPr>
          <w:rFonts w:asciiTheme="minorHAnsi" w:hAnsiTheme="minorHAnsi" w:cstheme="minorHAnsi"/>
          <w:b/>
          <w:bCs/>
          <w:sz w:val="24"/>
          <w:szCs w:val="24"/>
        </w:rPr>
        <w:t>Autoria</w:t>
      </w:r>
      <w:r w:rsidR="008F334C">
        <w:rPr>
          <w:rFonts w:asciiTheme="minorHAnsi" w:hAnsiTheme="minorHAnsi" w:cstheme="minorHAnsi"/>
          <w:b/>
          <w:bCs/>
          <w:sz w:val="24"/>
          <w:szCs w:val="24"/>
        </w:rPr>
        <w:t xml:space="preserve"> da</w:t>
      </w:r>
      <w:r w:rsidR="00DF251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21012">
        <w:rPr>
          <w:rFonts w:asciiTheme="minorHAnsi" w:hAnsiTheme="minorHAnsi" w:cstheme="minorHAnsi"/>
          <w:b/>
          <w:bCs/>
          <w:sz w:val="24"/>
          <w:szCs w:val="24"/>
        </w:rPr>
        <w:t>Vereador</w:t>
      </w:r>
      <w:r w:rsidR="008F334C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B2101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F334C">
        <w:rPr>
          <w:rFonts w:asciiTheme="minorHAnsi" w:hAnsiTheme="minorHAnsi" w:cstheme="minorHAnsi"/>
          <w:b/>
          <w:bCs/>
          <w:sz w:val="24"/>
          <w:szCs w:val="24"/>
        </w:rPr>
        <w:t>Simone Bellini</w:t>
      </w:r>
      <w:r w:rsidR="00330380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AE0522" w:rsidP="00BC7B23">
      <w:pPr>
        <w:pStyle w:val="Default"/>
        <w:jc w:val="both"/>
        <w:rPr>
          <w:rFonts w:eastAsia="Times New Roman" w:asciiTheme="minorHAnsi" w:hAnsiTheme="minorHAnsi" w:cstheme="minorHAnsi"/>
          <w:b/>
          <w:bCs/>
          <w:color w:val="auto"/>
        </w:rPr>
      </w:pPr>
    </w:p>
    <w:p w:rsidR="00287D10" w:rsidRPr="008B67E2" w:rsidP="00BC7B23">
      <w:pPr>
        <w:pStyle w:val="Default"/>
        <w:jc w:val="both"/>
        <w:rPr>
          <w:rFonts w:eastAsia="Times New Roman" w:asciiTheme="minorHAnsi" w:hAnsiTheme="minorHAnsi" w:cstheme="minorHAnsi"/>
          <w:b/>
          <w:bCs/>
          <w:color w:val="auto"/>
        </w:rPr>
      </w:pPr>
    </w:p>
    <w:p w:rsidR="002635B7" w:rsidP="00BC7B23">
      <w:pPr>
        <w:pStyle w:val="Default"/>
        <w:jc w:val="both"/>
        <w:rPr>
          <w:rFonts w:eastAsia="Times New Roman" w:asciiTheme="minorHAnsi" w:hAnsiTheme="minorHAnsi" w:cstheme="minorHAnsi"/>
          <w:b/>
          <w:bCs/>
          <w:color w:val="auto"/>
        </w:rPr>
      </w:pPr>
    </w:p>
    <w:p w:rsidR="00A96F09" w:rsidRPr="008B67E2" w:rsidP="00BC7B23">
      <w:pPr>
        <w:pStyle w:val="Default"/>
        <w:jc w:val="both"/>
        <w:rPr>
          <w:rFonts w:eastAsia="Times New Roman" w:asciiTheme="minorHAnsi" w:hAnsiTheme="minorHAnsi" w:cstheme="minorHAnsi"/>
          <w:b/>
          <w:bCs/>
          <w:color w:val="auto"/>
        </w:rPr>
      </w:pPr>
    </w:p>
    <w:p w:rsidR="00BC7B23" w:rsidRPr="008B67E2" w:rsidP="00BC7B23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  <w:r w:rsidRPr="008B67E2">
        <w:rPr>
          <w:rFonts w:asciiTheme="minorHAnsi" w:hAnsiTheme="minorHAnsi" w:cstheme="minorHAnsi"/>
          <w:b/>
          <w:i/>
          <w:color w:val="auto"/>
        </w:rPr>
        <w:t>À Comissão de Justiça e Redação</w:t>
      </w:r>
      <w:r w:rsidR="0035614F">
        <w:rPr>
          <w:rFonts w:asciiTheme="minorHAnsi" w:hAnsiTheme="minorHAnsi" w:cstheme="minorHAnsi"/>
          <w:b/>
          <w:i/>
          <w:color w:val="auto"/>
        </w:rPr>
        <w:t>,</w:t>
      </w:r>
    </w:p>
    <w:p w:rsidR="00BC7B23" w:rsidP="00BC7B23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  <w:r w:rsidRPr="008B67E2">
        <w:rPr>
          <w:rFonts w:asciiTheme="minorHAnsi" w:hAnsiTheme="minorHAnsi" w:cstheme="minorHAnsi"/>
          <w:b/>
          <w:i/>
          <w:color w:val="auto"/>
        </w:rPr>
        <w:t>Exmo.</w:t>
      </w:r>
      <w:r w:rsidR="004E1DAE">
        <w:rPr>
          <w:rFonts w:asciiTheme="minorHAnsi" w:hAnsiTheme="minorHAnsi" w:cstheme="minorHAnsi"/>
          <w:b/>
          <w:i/>
          <w:color w:val="auto"/>
        </w:rPr>
        <w:t xml:space="preserve"> </w:t>
      </w:r>
      <w:r w:rsidR="004E1DAE">
        <w:rPr>
          <w:rFonts w:asciiTheme="minorHAnsi" w:hAnsiTheme="minorHAnsi" w:cstheme="minorHAnsi"/>
          <w:b/>
          <w:i/>
          <w:color w:val="auto"/>
        </w:rPr>
        <w:t>Sr.</w:t>
      </w:r>
      <w:r w:rsidRPr="008B67E2">
        <w:rPr>
          <w:rFonts w:asciiTheme="minorHAnsi" w:hAnsiTheme="minorHAnsi" w:cstheme="minorHAnsi"/>
          <w:b/>
          <w:i/>
          <w:color w:val="auto"/>
        </w:rPr>
        <w:t xml:space="preserve"> Presidente Vereador </w:t>
      </w:r>
      <w:r w:rsidR="002C72B1">
        <w:rPr>
          <w:rFonts w:asciiTheme="minorHAnsi" w:hAnsiTheme="minorHAnsi" w:cstheme="minorHAnsi"/>
          <w:b/>
          <w:i/>
          <w:color w:val="auto"/>
        </w:rPr>
        <w:t>Gabriel Bueno.</w:t>
      </w:r>
    </w:p>
    <w:p w:rsidR="00287D10" w:rsidRPr="008B67E2" w:rsidP="00BC7B23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</w:p>
    <w:p w:rsidR="006D1008" w:rsidP="00BC7B23">
      <w:pPr>
        <w:spacing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</w:p>
    <w:p w:rsidR="00A96F09" w:rsidP="00BC7B23">
      <w:pPr>
        <w:spacing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</w:p>
    <w:p w:rsidR="00C65B70" w:rsidRPr="008F334C" w:rsidP="008F334C">
      <w:pPr>
        <w:spacing w:after="240" w:line="360" w:lineRule="auto"/>
        <w:ind w:firstLine="226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8B67E2">
        <w:rPr>
          <w:rFonts w:asciiTheme="minorHAnsi" w:hAnsiTheme="minorHAnsi" w:cstheme="minorHAnsi"/>
          <w:sz w:val="24"/>
          <w:szCs w:val="24"/>
        </w:rPr>
        <w:t xml:space="preserve">Trata-se de parecer jurídico relativo ao </w:t>
      </w:r>
      <w:r w:rsidRPr="00287D10" w:rsidR="00287D10">
        <w:rPr>
          <w:rFonts w:asciiTheme="minorHAnsi" w:hAnsiTheme="minorHAnsi" w:cstheme="minorHAnsi"/>
          <w:sz w:val="24"/>
          <w:szCs w:val="24"/>
        </w:rPr>
        <w:t>p</w:t>
      </w:r>
      <w:r w:rsidRPr="00287D10" w:rsidR="0035614F">
        <w:rPr>
          <w:rFonts w:asciiTheme="minorHAnsi" w:hAnsiTheme="minorHAnsi" w:cstheme="minorHAnsi"/>
          <w:sz w:val="24"/>
          <w:szCs w:val="24"/>
        </w:rPr>
        <w:t>rojeto</w:t>
      </w:r>
      <w:r w:rsidR="00287D10">
        <w:rPr>
          <w:rFonts w:asciiTheme="minorHAnsi" w:hAnsiTheme="minorHAnsi" w:cstheme="minorHAnsi"/>
          <w:sz w:val="24"/>
          <w:szCs w:val="24"/>
        </w:rPr>
        <w:t xml:space="preserve"> em epígrafe que </w:t>
      </w:r>
      <w:r w:rsidRPr="008F334C">
        <w:rPr>
          <w:rFonts w:asciiTheme="minorHAnsi" w:hAnsiTheme="minorHAnsi" w:cstheme="minorHAnsi"/>
          <w:i/>
          <w:sz w:val="24"/>
          <w:szCs w:val="24"/>
        </w:rPr>
        <w:t>“</w:t>
      </w:r>
      <w:r w:rsidRPr="008F334C" w:rsidR="008F334C">
        <w:rPr>
          <w:rFonts w:asciiTheme="minorHAnsi" w:hAnsiTheme="minorHAnsi" w:cstheme="minorHAnsi"/>
          <w:i/>
          <w:sz w:val="24"/>
          <w:szCs w:val="24"/>
        </w:rPr>
        <w:t>Denomina a Academia de Ginástica da Guarda Civil Municipal de Valinhos JONAS FRANCO MACIEL</w:t>
      </w:r>
      <w:r w:rsidRPr="008F334C" w:rsidR="00DF2518">
        <w:rPr>
          <w:rFonts w:asciiTheme="minorHAnsi" w:hAnsiTheme="minorHAnsi" w:cstheme="minorHAnsi"/>
          <w:i/>
          <w:sz w:val="24"/>
          <w:szCs w:val="24"/>
        </w:rPr>
        <w:t>”.</w:t>
      </w:r>
    </w:p>
    <w:p w:rsidR="00CB134B" w:rsidRPr="00C65B70" w:rsidP="00C41E28">
      <w:pPr>
        <w:spacing w:after="24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C65B70">
        <w:rPr>
          <w:rFonts w:asciiTheme="minorHAnsi" w:hAnsiTheme="minorHAnsi" w:cstheme="minorHAnsi"/>
          <w:sz w:val="24"/>
          <w:szCs w:val="24"/>
        </w:rPr>
        <w:t>Consta</w:t>
      </w:r>
      <w:r w:rsidRPr="00C65B70">
        <w:rPr>
          <w:rFonts w:asciiTheme="minorHAnsi" w:hAnsiTheme="minorHAnsi" w:cstheme="minorHAnsi"/>
          <w:sz w:val="24"/>
          <w:szCs w:val="24"/>
        </w:rPr>
        <w:t xml:space="preserve"> do processo legislativo o parecer da Comissão de Cultura, Denominação de Logradouros Públicos e Assistência </w:t>
      </w:r>
      <w:r w:rsidRPr="008A3659">
        <w:rPr>
          <w:rFonts w:asciiTheme="minorHAnsi" w:hAnsiTheme="minorHAnsi" w:cstheme="minorHAnsi"/>
          <w:sz w:val="24"/>
          <w:szCs w:val="24"/>
        </w:rPr>
        <w:t>Social (</w:t>
      </w:r>
      <w:r w:rsidRPr="008A3659">
        <w:rPr>
          <w:rFonts w:asciiTheme="minorHAnsi" w:hAnsiTheme="minorHAnsi" w:cstheme="minorHAnsi"/>
          <w:b/>
          <w:sz w:val="24"/>
          <w:szCs w:val="24"/>
        </w:rPr>
        <w:t xml:space="preserve">pág. </w:t>
      </w:r>
      <w:r w:rsidRPr="008A3659" w:rsidR="008A3659">
        <w:rPr>
          <w:rFonts w:asciiTheme="minorHAnsi" w:hAnsiTheme="minorHAnsi" w:cstheme="minorHAnsi"/>
          <w:b/>
          <w:sz w:val="24"/>
          <w:szCs w:val="24"/>
        </w:rPr>
        <w:t>15</w:t>
      </w:r>
      <w:r w:rsidRPr="008A3659">
        <w:rPr>
          <w:rFonts w:asciiTheme="minorHAnsi" w:hAnsiTheme="minorHAnsi" w:cstheme="minorHAnsi"/>
          <w:sz w:val="24"/>
          <w:szCs w:val="24"/>
        </w:rPr>
        <w:t>).</w:t>
      </w:r>
    </w:p>
    <w:p w:rsidR="00BC7B23" w:rsidRPr="008B67E2" w:rsidP="00B16224">
      <w:pPr>
        <w:spacing w:after="24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8B67E2">
        <w:rPr>
          <w:rFonts w:asciiTheme="minorHAnsi" w:hAnsiTheme="minorHAnsi" w:cstheme="minorHAnsi"/>
          <w:i/>
          <w:sz w:val="24"/>
          <w:szCs w:val="24"/>
        </w:rPr>
        <w:t>Ab initio</w:t>
      </w:r>
      <w:r w:rsidRPr="008B67E2">
        <w:rPr>
          <w:rFonts w:asciiTheme="minorHAnsi" w:hAnsiTheme="minorHAnsi" w:cstheme="minorHAnsi"/>
          <w:sz w:val="24"/>
          <w:szCs w:val="24"/>
        </w:rPr>
        <w:t>, cumpre destacar a competência regimental da</w:t>
      </w:r>
      <w:r w:rsidR="0060143B">
        <w:rPr>
          <w:rFonts w:asciiTheme="minorHAnsi" w:hAnsiTheme="minorHAnsi" w:cstheme="minorHAnsi"/>
          <w:sz w:val="24"/>
          <w:szCs w:val="24"/>
        </w:rPr>
        <w:t xml:space="preserve"> Comissão de Justiça e Redação </w:t>
      </w:r>
      <w:r w:rsidRPr="008B67E2">
        <w:rPr>
          <w:rFonts w:asciiTheme="minorHAnsi" w:hAnsiTheme="minorHAnsi" w:cstheme="minorHAnsi"/>
          <w:sz w:val="24"/>
          <w:szCs w:val="24"/>
        </w:rPr>
        <w:t>estabelecida no artigo 38.</w:t>
      </w:r>
    </w:p>
    <w:p w:rsidR="00BC7B23" w:rsidRPr="008B67E2" w:rsidP="0011121D">
      <w:pPr>
        <w:tabs>
          <w:tab w:val="left" w:pos="1701"/>
        </w:tabs>
        <w:spacing w:after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B67E2">
        <w:rPr>
          <w:rFonts w:asciiTheme="minorHAnsi" w:hAnsiTheme="minorHAnsi" w:cstheme="minorHAnsi"/>
          <w:sz w:val="24"/>
          <w:szCs w:val="24"/>
        </w:rPr>
        <w:tab/>
      </w:r>
      <w:r w:rsidRPr="008B67E2">
        <w:rPr>
          <w:rFonts w:asciiTheme="minorHAnsi" w:hAnsiTheme="minorHAnsi" w:cstheme="minorHAnsi"/>
          <w:sz w:val="24"/>
          <w:szCs w:val="24"/>
        </w:rPr>
        <w:tab/>
      </w:r>
      <w:r w:rsidRPr="008B67E2">
        <w:rPr>
          <w:rFonts w:asciiTheme="minorHAnsi" w:hAnsiTheme="minorHAnsi" w:cstheme="minorHAnsi"/>
          <w:sz w:val="24"/>
          <w:szCs w:val="24"/>
        </w:rPr>
        <w:t>Outrossim</w:t>
      </w:r>
      <w:r w:rsidRPr="008B67E2">
        <w:rPr>
          <w:rFonts w:asciiTheme="minorHAnsi" w:hAnsiTheme="minorHAnsi" w:cstheme="minorHAnsi"/>
          <w:sz w:val="24"/>
          <w:szCs w:val="24"/>
        </w:rPr>
        <w:t>, ressalta-se que a opinião jurídica exarada neste parecer não tem força vinculante, sendo meramente opinativo</w:t>
      </w:r>
      <w:r>
        <w:rPr>
          <w:rStyle w:val="FootnoteReference"/>
          <w:rFonts w:asciiTheme="minorHAnsi" w:hAnsiTheme="minorHAnsi" w:cstheme="minorHAnsi"/>
          <w:sz w:val="24"/>
          <w:szCs w:val="24"/>
        </w:rPr>
        <w:footnoteReference w:id="2"/>
      </w:r>
      <w:r w:rsidRPr="008B67E2">
        <w:rPr>
          <w:rFonts w:asciiTheme="minorHAnsi" w:hAnsiTheme="minorHAnsi" w:cstheme="minorHAnsi"/>
          <w:sz w:val="24"/>
          <w:szCs w:val="24"/>
        </w:rPr>
        <w:t xml:space="preserve"> não fundamentando decisão proferida pelas Comissões e/ou nobres vereadores.</w:t>
      </w:r>
      <w:r w:rsidRPr="008B67E2" w:rsidR="0011121D">
        <w:rPr>
          <w:rFonts w:asciiTheme="minorHAnsi" w:hAnsiTheme="minorHAnsi" w:cstheme="minorHAnsi"/>
          <w:sz w:val="24"/>
          <w:szCs w:val="24"/>
        </w:rPr>
        <w:t xml:space="preserve"> </w:t>
      </w:r>
      <w:r w:rsidRPr="008B67E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C7B23" w:rsidRPr="008B67E2" w:rsidP="00CB134B">
      <w:pPr>
        <w:tabs>
          <w:tab w:val="left" w:pos="1701"/>
          <w:tab w:val="left" w:pos="2268"/>
        </w:tabs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B67E2">
        <w:rPr>
          <w:rFonts w:asciiTheme="minorHAnsi" w:hAnsiTheme="minorHAnsi" w:cstheme="minorHAnsi"/>
          <w:sz w:val="24"/>
          <w:szCs w:val="24"/>
        </w:rPr>
        <w:tab/>
      </w:r>
      <w:r w:rsidRPr="008B67E2">
        <w:rPr>
          <w:rFonts w:asciiTheme="minorHAnsi" w:hAnsiTheme="minorHAnsi" w:cstheme="minorHAnsi"/>
          <w:sz w:val="24"/>
          <w:szCs w:val="24"/>
        </w:rPr>
        <w:tab/>
      </w:r>
      <w:r w:rsidR="007B1A2B">
        <w:rPr>
          <w:rFonts w:asciiTheme="minorHAnsi" w:hAnsiTheme="minorHAnsi" w:cstheme="minorHAnsi"/>
          <w:sz w:val="24"/>
          <w:szCs w:val="24"/>
        </w:rPr>
        <w:t>Desse modo,</w:t>
      </w:r>
      <w:r w:rsidRPr="008B67E2">
        <w:rPr>
          <w:rFonts w:asciiTheme="minorHAnsi" w:hAnsiTheme="minorHAnsi" w:cstheme="minorHAnsi"/>
          <w:sz w:val="24"/>
          <w:szCs w:val="24"/>
        </w:rPr>
        <w:t xml:space="preserve"> considerando </w:t>
      </w:r>
      <w:r w:rsidR="007B1A2B">
        <w:rPr>
          <w:rFonts w:asciiTheme="minorHAnsi" w:hAnsiTheme="minorHAnsi" w:cstheme="minorHAnsi"/>
          <w:sz w:val="24"/>
          <w:szCs w:val="24"/>
        </w:rPr>
        <w:t>o aspecto jurídico passamos à</w:t>
      </w:r>
      <w:r w:rsidRPr="008B67E2">
        <w:rPr>
          <w:rFonts w:asciiTheme="minorHAnsi" w:hAnsiTheme="minorHAnsi" w:cstheme="minorHAnsi"/>
          <w:sz w:val="24"/>
          <w:szCs w:val="24"/>
        </w:rPr>
        <w:t xml:space="preserve"> </w:t>
      </w:r>
      <w:r w:rsidRPr="008B67E2">
        <w:rPr>
          <w:rFonts w:asciiTheme="minorHAnsi" w:hAnsiTheme="minorHAnsi" w:cstheme="minorHAnsi"/>
          <w:b/>
          <w:sz w:val="24"/>
          <w:szCs w:val="24"/>
        </w:rPr>
        <w:t>análise técnica</w:t>
      </w:r>
      <w:r w:rsidRPr="008B67E2">
        <w:rPr>
          <w:rFonts w:asciiTheme="minorHAnsi" w:hAnsiTheme="minorHAnsi" w:cstheme="minorHAnsi"/>
          <w:sz w:val="24"/>
          <w:szCs w:val="24"/>
        </w:rPr>
        <w:t xml:space="preserve"> do projeto em epígrafe solicitado.</w:t>
      </w:r>
    </w:p>
    <w:p w:rsidR="00BC7B23" w:rsidRPr="008B67E2" w:rsidP="00BC7B23">
      <w:pPr>
        <w:spacing w:after="24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8B67E2">
        <w:rPr>
          <w:rFonts w:asciiTheme="minorHAnsi" w:hAnsiTheme="minorHAnsi" w:cstheme="minorHAnsi"/>
          <w:sz w:val="24"/>
          <w:szCs w:val="24"/>
        </w:rPr>
        <w:t xml:space="preserve">No tocante à matéria os Municípios foram dotados de autonomia legislativa, que vem consubstanciada na capacidade de legislar sobre assuntos de interesse local (art. 30, inciso I da CRFB/88), como no caso em questão. </w:t>
      </w:r>
    </w:p>
    <w:p w:rsidR="00BC7B23" w:rsidRPr="008F0BD6" w:rsidP="00BC7B23">
      <w:pPr>
        <w:spacing w:after="240" w:line="360" w:lineRule="auto"/>
        <w:ind w:firstLine="226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8B67E2">
        <w:rPr>
          <w:rFonts w:asciiTheme="minorHAnsi" w:hAnsiTheme="minorHAnsi" w:cstheme="minorHAnsi"/>
          <w:sz w:val="24"/>
          <w:szCs w:val="24"/>
        </w:rPr>
        <w:t>Dispõe o art. 8º, XVI, da Lei Orgânica do Município, bem como o art. 26, do Regimento Interno desta Casa de Leis que o Legislativo Municipal pode denominar vias e logradouros públicos obedecidos às normas urbanísticas aplicáveis, sendo referida competência concorrente</w:t>
      </w:r>
      <w:r w:rsidR="008F0BD6">
        <w:rPr>
          <w:rFonts w:asciiTheme="minorHAnsi" w:hAnsiTheme="minorHAnsi" w:cstheme="minorHAnsi"/>
          <w:sz w:val="24"/>
          <w:szCs w:val="24"/>
        </w:rPr>
        <w:t xml:space="preserve"> com o Prefeito, </w:t>
      </w:r>
      <w:r w:rsidR="008F0BD6">
        <w:rPr>
          <w:rFonts w:asciiTheme="minorHAnsi" w:hAnsiTheme="minorHAnsi" w:cstheme="minorHAnsi"/>
          <w:i/>
          <w:sz w:val="24"/>
          <w:szCs w:val="24"/>
        </w:rPr>
        <w:t>in verbis:</w:t>
      </w:r>
    </w:p>
    <w:p w:rsidR="00BC7B23" w:rsidRPr="008B67E2" w:rsidP="00A96F09">
      <w:pPr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“</w:t>
      </w:r>
      <w:r w:rsidRPr="008B67E2">
        <w:rPr>
          <w:rFonts w:asciiTheme="minorHAnsi" w:hAnsiTheme="minorHAnsi" w:cstheme="minorHAnsi"/>
          <w:b/>
          <w:i/>
          <w:sz w:val="22"/>
          <w:szCs w:val="22"/>
        </w:rPr>
        <w:t>Artigo</w:t>
      </w:r>
      <w:r w:rsidRPr="008B67E2">
        <w:rPr>
          <w:rFonts w:asciiTheme="minorHAnsi" w:hAnsiTheme="minorHAnsi" w:cstheme="minorHAnsi"/>
          <w:b/>
          <w:i/>
          <w:sz w:val="22"/>
          <w:szCs w:val="22"/>
        </w:rPr>
        <w:t xml:space="preserve"> 8º</w:t>
      </w:r>
      <w:r w:rsidRPr="008B67E2">
        <w:rPr>
          <w:rFonts w:asciiTheme="minorHAnsi" w:hAnsiTheme="minorHAnsi" w:cstheme="minorHAnsi"/>
          <w:i/>
          <w:sz w:val="22"/>
          <w:szCs w:val="22"/>
        </w:rPr>
        <w:t xml:space="preserve"> - Cabe à Câmara, com a sanção do Prefeito, observadas as determinações e a hierarquia constitucional, suplementar a legislação Federal e Estadual e fiscalizar, mediante controle externo, a administração direta ou indireta, as fundações e as empresas em que o Município detenha a maioria do capital social com direito a voto, especialmente: </w:t>
      </w:r>
    </w:p>
    <w:p w:rsidR="00BC7B23" w:rsidRPr="008B67E2" w:rsidP="00A96F09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B67E2">
        <w:rPr>
          <w:rFonts w:asciiTheme="minorHAnsi" w:hAnsiTheme="minorHAnsi" w:cstheme="minorHAnsi"/>
          <w:i/>
          <w:sz w:val="22"/>
          <w:szCs w:val="22"/>
        </w:rPr>
        <w:t>(...)</w:t>
      </w:r>
    </w:p>
    <w:p w:rsidR="00BC7B23" w:rsidRPr="008F0BD6" w:rsidP="00A96F09">
      <w:pPr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F0BD6">
        <w:rPr>
          <w:rFonts w:asciiTheme="minorHAnsi" w:hAnsiTheme="minorHAnsi" w:cstheme="minorHAnsi"/>
          <w:b/>
          <w:i/>
          <w:sz w:val="22"/>
          <w:szCs w:val="22"/>
        </w:rPr>
        <w:t>XVI - legislar sobre a denominação de próprios, bairros, vias e logradouros públicos;</w:t>
      </w:r>
      <w:r w:rsidR="008F0BD6">
        <w:rPr>
          <w:rFonts w:asciiTheme="minorHAnsi" w:hAnsiTheme="minorHAnsi" w:cstheme="minorHAnsi"/>
          <w:b/>
          <w:i/>
          <w:sz w:val="22"/>
          <w:szCs w:val="22"/>
        </w:rPr>
        <w:t>”</w:t>
      </w:r>
    </w:p>
    <w:p w:rsidR="007A6DB6" w:rsidRPr="008B67E2" w:rsidP="00A96F09">
      <w:pPr>
        <w:tabs>
          <w:tab w:val="left" w:pos="4980"/>
        </w:tabs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ab/>
      </w:r>
    </w:p>
    <w:p w:rsidR="00BC7B23" w:rsidRPr="008B67E2" w:rsidP="00A96F09">
      <w:pPr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“</w:t>
      </w:r>
      <w:r w:rsidRPr="008B67E2">
        <w:rPr>
          <w:rFonts w:asciiTheme="minorHAnsi" w:hAnsiTheme="minorHAnsi" w:cstheme="minorHAnsi"/>
          <w:b/>
          <w:i/>
          <w:sz w:val="22"/>
          <w:szCs w:val="22"/>
        </w:rPr>
        <w:t>Artigo 26</w:t>
      </w:r>
      <w:r w:rsidRPr="008B67E2">
        <w:rPr>
          <w:rFonts w:asciiTheme="minorHAnsi" w:hAnsiTheme="minorHAnsi" w:cstheme="minorHAnsi"/>
          <w:i/>
          <w:sz w:val="22"/>
          <w:szCs w:val="22"/>
        </w:rPr>
        <w:t xml:space="preserve"> - À Câmara cabe legislar, com a sanção do Prefeito, sobre as matérias de competência do Município, especialmente: </w:t>
      </w:r>
    </w:p>
    <w:p w:rsidR="00BC7B23" w:rsidRPr="008B67E2" w:rsidP="00A96F09">
      <w:pPr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B67E2">
        <w:rPr>
          <w:rFonts w:asciiTheme="minorHAnsi" w:hAnsiTheme="minorHAnsi" w:cstheme="minorHAnsi"/>
          <w:i/>
          <w:sz w:val="22"/>
          <w:szCs w:val="22"/>
        </w:rPr>
        <w:t>(...)</w:t>
      </w:r>
    </w:p>
    <w:p w:rsidR="00BC7B23" w:rsidRPr="008B67E2" w:rsidP="00A96F09">
      <w:pPr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B67E2">
        <w:rPr>
          <w:rFonts w:asciiTheme="minorHAnsi" w:hAnsiTheme="minorHAnsi" w:cstheme="minorHAnsi"/>
          <w:i/>
          <w:sz w:val="22"/>
          <w:szCs w:val="22"/>
        </w:rPr>
        <w:t xml:space="preserve">XIV - </w:t>
      </w:r>
      <w:r w:rsidRPr="008B67E2">
        <w:rPr>
          <w:rFonts w:asciiTheme="minorHAnsi" w:hAnsiTheme="minorHAnsi" w:cstheme="minorHAnsi"/>
          <w:b/>
          <w:i/>
          <w:sz w:val="22"/>
          <w:szCs w:val="22"/>
        </w:rPr>
        <w:t xml:space="preserve">autorizar a alteração da denominação de próprios, vias e logradouros públicos. </w:t>
      </w:r>
      <w:r w:rsidR="008F0BD6">
        <w:rPr>
          <w:rFonts w:asciiTheme="minorHAnsi" w:hAnsiTheme="minorHAnsi" w:cstheme="minorHAnsi"/>
          <w:b/>
          <w:i/>
          <w:sz w:val="22"/>
          <w:szCs w:val="22"/>
        </w:rPr>
        <w:t>“</w:t>
      </w:r>
    </w:p>
    <w:p w:rsidR="00BC7B23" w:rsidRPr="008B67E2" w:rsidP="00BC7B23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after="320" w:line="360" w:lineRule="auto"/>
        <w:jc w:val="both"/>
        <w:rPr>
          <w:rFonts w:asciiTheme="minorHAnsi" w:hAnsiTheme="minorHAnsi" w:cstheme="minorHAnsi"/>
          <w:sz w:val="4"/>
          <w:szCs w:val="4"/>
        </w:rPr>
      </w:pPr>
    </w:p>
    <w:p w:rsidR="00BC7B23" w:rsidRPr="008B67E2" w:rsidP="00BC7B23">
      <w:pPr>
        <w:spacing w:after="32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8B67E2">
        <w:rPr>
          <w:rFonts w:asciiTheme="minorHAnsi" w:hAnsiTheme="minorHAnsi" w:cstheme="minorHAnsi"/>
          <w:sz w:val="24"/>
          <w:szCs w:val="24"/>
        </w:rPr>
        <w:t xml:space="preserve">A Lei Municipal nº 2.376, de 22 de maio de 1991 fixa </w:t>
      </w:r>
      <w:r w:rsidR="007B1A2B">
        <w:rPr>
          <w:rFonts w:asciiTheme="minorHAnsi" w:hAnsiTheme="minorHAnsi" w:cstheme="minorHAnsi"/>
          <w:sz w:val="24"/>
          <w:szCs w:val="24"/>
        </w:rPr>
        <w:t>requisitos</w:t>
      </w:r>
      <w:r w:rsidRPr="008B67E2">
        <w:rPr>
          <w:rFonts w:asciiTheme="minorHAnsi" w:hAnsiTheme="minorHAnsi" w:cstheme="minorHAnsi"/>
          <w:sz w:val="24"/>
          <w:szCs w:val="24"/>
        </w:rPr>
        <w:t xml:space="preserve"> para apresentação de projetos de lei relativos à denominação de logradouros públicos:</w:t>
      </w:r>
    </w:p>
    <w:p w:rsidR="00BC7B23" w:rsidRPr="008B67E2" w:rsidP="00A96F09">
      <w:pPr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B67E2">
        <w:rPr>
          <w:rFonts w:asciiTheme="minorHAnsi" w:hAnsiTheme="minorHAnsi" w:cstheme="minorHAnsi"/>
          <w:b/>
          <w:i/>
          <w:sz w:val="22"/>
          <w:szCs w:val="22"/>
        </w:rPr>
        <w:t>Art. 1º</w:t>
      </w:r>
      <w:r w:rsidRPr="008B67E2">
        <w:rPr>
          <w:rFonts w:asciiTheme="minorHAnsi" w:hAnsiTheme="minorHAnsi" w:cstheme="minorHAnsi"/>
          <w:i/>
          <w:sz w:val="22"/>
          <w:szCs w:val="22"/>
        </w:rPr>
        <w:t xml:space="preserve"> Os projetos de denominação de logradouros públicos deverão atender as seguintes exigências:</w:t>
      </w:r>
    </w:p>
    <w:p w:rsidR="00BC7B23" w:rsidRPr="008B67E2" w:rsidP="00A96F09">
      <w:pPr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B67E2">
        <w:rPr>
          <w:rFonts w:asciiTheme="minorHAnsi" w:hAnsiTheme="minorHAnsi" w:cstheme="minorHAnsi"/>
          <w:i/>
          <w:sz w:val="22"/>
          <w:szCs w:val="22"/>
        </w:rPr>
        <w:t>I – vir acompanhado de biografia do cidadão ou instituição a que se pretende homenagear, com relação dos serviços prestados à comunidade, cargos ocupados, dedicação à causa pública, exemplo de cidadania e outras qualidades que devem ser destacados;</w:t>
      </w:r>
    </w:p>
    <w:p w:rsidR="00BC7B23" w:rsidRPr="008B67E2" w:rsidP="00A96F09">
      <w:pPr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B67E2">
        <w:rPr>
          <w:rFonts w:asciiTheme="minorHAnsi" w:hAnsiTheme="minorHAnsi" w:cstheme="minorHAnsi"/>
          <w:i/>
          <w:sz w:val="22"/>
          <w:szCs w:val="22"/>
        </w:rPr>
        <w:t>II – conter apenas uma denominação de logradouro em cada projeto;</w:t>
      </w:r>
    </w:p>
    <w:p w:rsidR="00BC7B23" w:rsidRPr="00CD71B2" w:rsidP="00A96F09">
      <w:pPr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D71B2">
        <w:rPr>
          <w:rFonts w:asciiTheme="minorHAnsi" w:hAnsiTheme="minorHAnsi" w:cstheme="minorHAnsi"/>
          <w:i/>
          <w:sz w:val="22"/>
          <w:szCs w:val="22"/>
        </w:rPr>
        <w:t>III – ser o cidadão homenageado pessoa já falecida há pelo menos noventa dias;</w:t>
      </w:r>
    </w:p>
    <w:p w:rsidR="00BC7B23" w:rsidP="00A96F09">
      <w:pPr>
        <w:ind w:left="2835"/>
        <w:jc w:val="both"/>
        <w:rPr>
          <w:rFonts w:asciiTheme="minorHAnsi" w:hAnsiTheme="minorHAnsi" w:cstheme="minorHAnsi"/>
          <w:i/>
          <w:sz w:val="24"/>
          <w:szCs w:val="24"/>
        </w:rPr>
      </w:pPr>
      <w:r w:rsidRPr="008B67E2">
        <w:rPr>
          <w:rFonts w:asciiTheme="minorHAnsi" w:hAnsiTheme="minorHAnsi" w:cstheme="minorHAnsi"/>
          <w:i/>
          <w:sz w:val="22"/>
          <w:szCs w:val="22"/>
        </w:rPr>
        <w:t xml:space="preserve">IV – que não </w:t>
      </w:r>
      <w:r w:rsidRPr="008B67E2">
        <w:rPr>
          <w:rFonts w:asciiTheme="minorHAnsi" w:hAnsiTheme="minorHAnsi" w:cstheme="minorHAnsi"/>
          <w:i/>
          <w:sz w:val="22"/>
          <w:szCs w:val="22"/>
        </w:rPr>
        <w:t>exista</w:t>
      </w:r>
      <w:r w:rsidRPr="008B67E2">
        <w:rPr>
          <w:rFonts w:asciiTheme="minorHAnsi" w:hAnsiTheme="minorHAnsi" w:cstheme="minorHAnsi"/>
          <w:i/>
          <w:sz w:val="22"/>
          <w:szCs w:val="22"/>
        </w:rPr>
        <w:t xml:space="preserve"> outros logradouros públicos com o nome da pessoa ou instituição proposta</w:t>
      </w:r>
      <w:r w:rsidRPr="008B67E2">
        <w:rPr>
          <w:rFonts w:asciiTheme="minorHAnsi" w:hAnsiTheme="minorHAnsi" w:cstheme="minorHAnsi"/>
          <w:i/>
          <w:sz w:val="24"/>
          <w:szCs w:val="24"/>
        </w:rPr>
        <w:t>.</w:t>
      </w:r>
    </w:p>
    <w:p w:rsidR="00BC7B23" w:rsidRPr="008B67E2" w:rsidP="00BC7B23">
      <w:pPr>
        <w:spacing w:after="120"/>
        <w:ind w:left="2835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BC7B23" w:rsidRPr="008B67E2" w:rsidP="001C4409">
      <w:pPr>
        <w:spacing w:after="12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8B67E2">
        <w:rPr>
          <w:rFonts w:asciiTheme="minorHAnsi" w:hAnsiTheme="minorHAnsi" w:cstheme="minorHAnsi"/>
          <w:sz w:val="24"/>
          <w:szCs w:val="24"/>
        </w:rPr>
        <w:t>No mesmo sentido temos as previsões constantes do Regimento Interno</w:t>
      </w:r>
      <w:r w:rsidR="007B1A2B">
        <w:rPr>
          <w:rFonts w:asciiTheme="minorHAnsi" w:hAnsiTheme="minorHAnsi" w:cstheme="minorHAnsi"/>
          <w:sz w:val="24"/>
          <w:szCs w:val="24"/>
        </w:rPr>
        <w:t xml:space="preserve"> da CMV</w:t>
      </w:r>
      <w:r w:rsidRPr="008B67E2">
        <w:rPr>
          <w:rFonts w:asciiTheme="minorHAnsi" w:hAnsiTheme="minorHAnsi" w:cstheme="minorHAnsi"/>
          <w:sz w:val="24"/>
          <w:szCs w:val="24"/>
        </w:rPr>
        <w:t>:</w:t>
      </w:r>
    </w:p>
    <w:p w:rsidR="00BC7B23" w:rsidRPr="008B67E2" w:rsidP="00A96F09">
      <w:pPr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B67E2">
        <w:rPr>
          <w:rFonts w:asciiTheme="minorHAnsi" w:hAnsiTheme="minorHAnsi" w:cstheme="minorHAnsi"/>
          <w:b/>
          <w:i/>
          <w:sz w:val="22"/>
          <w:szCs w:val="22"/>
        </w:rPr>
        <w:t>Art. 41.</w:t>
      </w:r>
      <w:r w:rsidRPr="008B67E2">
        <w:rPr>
          <w:rFonts w:asciiTheme="minorHAnsi" w:hAnsiTheme="minorHAnsi" w:cstheme="minorHAnsi"/>
          <w:i/>
          <w:sz w:val="22"/>
          <w:szCs w:val="22"/>
        </w:rPr>
        <w:t xml:space="preserve"> Compete à Comissão de Cultura, Denominação de Logradouros Públicos e Assistência Social:</w:t>
      </w:r>
    </w:p>
    <w:p w:rsidR="00BC7B23" w:rsidRPr="008B67E2" w:rsidP="00A96F09">
      <w:pPr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B67E2">
        <w:rPr>
          <w:rFonts w:asciiTheme="minorHAnsi" w:hAnsiTheme="minorHAnsi" w:cstheme="minorHAnsi"/>
          <w:i/>
          <w:sz w:val="22"/>
          <w:szCs w:val="22"/>
        </w:rPr>
        <w:t>(...)</w:t>
      </w:r>
    </w:p>
    <w:p w:rsidR="00BC7B23" w:rsidRPr="00CD71B2" w:rsidP="00A96F09">
      <w:pPr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D71B2">
        <w:rPr>
          <w:rFonts w:asciiTheme="minorHAnsi" w:hAnsiTheme="minorHAnsi" w:cstheme="minorHAnsi"/>
          <w:i/>
          <w:sz w:val="22"/>
          <w:szCs w:val="22"/>
        </w:rPr>
        <w:t xml:space="preserve">§ 1º. Para que o projeto de denominação de logradouro público possa receber parecer da Comissão, deverá atender, obrigatoriamente, às seguintes exigências: </w:t>
      </w:r>
    </w:p>
    <w:p w:rsidR="00BC7B23" w:rsidRPr="008B67E2" w:rsidP="00A96F09">
      <w:pPr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B67E2">
        <w:rPr>
          <w:rFonts w:asciiTheme="minorHAnsi" w:hAnsiTheme="minorHAnsi" w:cstheme="minorHAnsi"/>
          <w:i/>
          <w:sz w:val="22"/>
          <w:szCs w:val="22"/>
        </w:rPr>
        <w:t xml:space="preserve">I - vir acompanhado de biografia completa do cidadão ou instituição a que se pretende homenagear, com relação dos serviços prestados à comunidade, cargos ocupados, dedicação à causa pública, exemplo de cidadania e outras qualidades que devam ser destacadas; </w:t>
      </w:r>
    </w:p>
    <w:p w:rsidR="00BC7B23" w:rsidRPr="008B67E2" w:rsidP="00A96F09">
      <w:pPr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B67E2">
        <w:rPr>
          <w:rFonts w:asciiTheme="minorHAnsi" w:hAnsiTheme="minorHAnsi" w:cstheme="minorHAnsi"/>
          <w:i/>
          <w:sz w:val="22"/>
          <w:szCs w:val="22"/>
        </w:rPr>
        <w:t xml:space="preserve">II - conter apenas uma denominação de logradouro em cada projeto; </w:t>
      </w:r>
    </w:p>
    <w:p w:rsidR="00BC7B23" w:rsidRPr="008A3659" w:rsidP="00A96F09">
      <w:pPr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A3659">
        <w:rPr>
          <w:rFonts w:asciiTheme="minorHAnsi" w:hAnsiTheme="minorHAnsi" w:cstheme="minorHAnsi"/>
          <w:i/>
          <w:sz w:val="22"/>
          <w:szCs w:val="22"/>
        </w:rPr>
        <w:t xml:space="preserve">III - ser a homenageada pessoa já falecida há pelo menos noventa dias; </w:t>
      </w:r>
      <w:r w:rsidRPr="008A3659">
        <w:rPr>
          <w:rFonts w:asciiTheme="minorHAnsi" w:hAnsiTheme="minorHAnsi" w:cstheme="minorHAnsi"/>
          <w:i/>
          <w:sz w:val="22"/>
          <w:szCs w:val="22"/>
        </w:rPr>
        <w:t>e</w:t>
      </w:r>
      <w:r w:rsidRPr="008A3659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BC7B23" w:rsidRPr="008B67E2" w:rsidP="00A96F09">
      <w:pPr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B67E2">
        <w:rPr>
          <w:rFonts w:asciiTheme="minorHAnsi" w:hAnsiTheme="minorHAnsi" w:cstheme="minorHAnsi"/>
          <w:i/>
          <w:sz w:val="22"/>
          <w:szCs w:val="22"/>
        </w:rPr>
        <w:t>IV - que não exista outro logradouro público com o nome da pessoa ou instituição proposta.</w:t>
      </w:r>
    </w:p>
    <w:p w:rsidR="00BC7B23" w:rsidRPr="008B67E2" w:rsidP="00A96F09">
      <w:pPr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B67E2">
        <w:rPr>
          <w:rFonts w:asciiTheme="minorHAnsi" w:hAnsiTheme="minorHAnsi" w:cstheme="minorHAnsi"/>
          <w:i/>
          <w:sz w:val="22"/>
          <w:szCs w:val="22"/>
        </w:rPr>
        <w:t>§ 2º. O autor do projeto de denominação de logradouro público terá que obedecer ao prazo de trinta dias entre uma e outra proposição, a contar da data firmada no protocolo da Secretaria Administrativa da Câmara.</w:t>
      </w:r>
    </w:p>
    <w:p w:rsidR="00EA41C7" w:rsidRPr="008B67E2" w:rsidP="00A96F09">
      <w:pPr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B67E2">
        <w:rPr>
          <w:rFonts w:asciiTheme="minorHAnsi" w:hAnsiTheme="minorHAnsi" w:cstheme="minorHAnsi"/>
          <w:i/>
          <w:sz w:val="22"/>
          <w:szCs w:val="22"/>
        </w:rPr>
        <w:t>(...)</w:t>
      </w:r>
    </w:p>
    <w:p w:rsidR="00EA41C7" w:rsidRPr="00CD71B2" w:rsidP="00A96F09">
      <w:pPr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D71B2">
        <w:rPr>
          <w:rFonts w:asciiTheme="minorHAnsi" w:hAnsiTheme="minorHAnsi" w:cstheme="minorHAnsi"/>
          <w:i/>
          <w:sz w:val="22"/>
          <w:szCs w:val="22"/>
        </w:rPr>
        <w:t>§ 5º Todo projeto que verse sobre denominação de logradouro público, via ou próprio municipal deverá ser instruído com pesquisa junto ao Executivo, atinentes às exigências do § 1º deste artigo, devendo o projeto ser protocolado em até 30 (trinta) dias da data da resposta do Poder Executivo.</w:t>
      </w:r>
    </w:p>
    <w:p w:rsidR="006D1008" w:rsidRPr="008F402A" w:rsidP="007A6DB6">
      <w:pPr>
        <w:spacing w:line="300" w:lineRule="auto"/>
        <w:ind w:left="2835"/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</w:p>
    <w:p w:rsidR="00287D10" w:rsidP="008A3659">
      <w:pPr>
        <w:spacing w:after="240" w:line="360" w:lineRule="auto"/>
        <w:ind w:firstLine="1701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386B56">
        <w:rPr>
          <w:rFonts w:asciiTheme="minorHAnsi" w:hAnsiTheme="minorHAnsi" w:cstheme="minorHAnsi"/>
          <w:color w:val="FF0000"/>
          <w:sz w:val="24"/>
          <w:szCs w:val="24"/>
        </w:rPr>
        <w:t xml:space="preserve">     </w:t>
      </w:r>
      <w:r w:rsidRPr="008A3659">
        <w:rPr>
          <w:rFonts w:asciiTheme="minorHAnsi" w:hAnsiTheme="minorHAnsi" w:cstheme="minorHAnsi"/>
          <w:sz w:val="24"/>
          <w:szCs w:val="24"/>
        </w:rPr>
        <w:t xml:space="preserve">Consta do processo legislativo o parecer da Comissão de Cultura, Denominação de Logradouros Públicos e Assistência Social, razão pela qual </w:t>
      </w:r>
      <w:r w:rsidRPr="008A3659">
        <w:rPr>
          <w:rFonts w:asciiTheme="minorHAnsi" w:hAnsiTheme="minorHAnsi" w:cstheme="minorHAnsi"/>
          <w:sz w:val="24"/>
          <w:szCs w:val="24"/>
        </w:rPr>
        <w:t>depreende-se</w:t>
      </w:r>
      <w:r w:rsidRPr="008A3659">
        <w:rPr>
          <w:rFonts w:asciiTheme="minorHAnsi" w:hAnsiTheme="minorHAnsi" w:cstheme="minorHAnsi"/>
          <w:sz w:val="24"/>
          <w:szCs w:val="24"/>
        </w:rPr>
        <w:t xml:space="preserve"> que já foi realizada a verificação dos requisitos legais.</w:t>
      </w:r>
    </w:p>
    <w:p w:rsidR="00BC7B23" w:rsidRPr="008B67E2" w:rsidP="008A3659">
      <w:pPr>
        <w:spacing w:after="240"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 w:rsidRPr="008B67E2">
        <w:rPr>
          <w:rFonts w:asciiTheme="minorHAnsi" w:hAnsiTheme="minorHAnsi" w:cstheme="minorHAnsi"/>
          <w:sz w:val="24"/>
          <w:szCs w:val="24"/>
        </w:rPr>
        <w:tab/>
        <w:t xml:space="preserve">A matéria tratada na propositura em análise não está inserida no rol </w:t>
      </w:r>
      <w:r w:rsidRPr="008B67E2">
        <w:rPr>
          <w:rFonts w:asciiTheme="minorHAnsi" w:hAnsiTheme="minorHAnsi" w:cstheme="minorHAnsi"/>
          <w:i/>
          <w:sz w:val="24"/>
          <w:szCs w:val="24"/>
        </w:rPr>
        <w:t>numerus</w:t>
      </w:r>
      <w:r w:rsidRPr="008B67E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8B67E2">
        <w:rPr>
          <w:rFonts w:asciiTheme="minorHAnsi" w:hAnsiTheme="minorHAnsi" w:cstheme="minorHAnsi"/>
          <w:i/>
          <w:sz w:val="24"/>
          <w:szCs w:val="24"/>
        </w:rPr>
        <w:t>clausus</w:t>
      </w:r>
      <w:r w:rsidRPr="008B67E2">
        <w:rPr>
          <w:rFonts w:asciiTheme="minorHAnsi" w:hAnsiTheme="minorHAnsi" w:cstheme="minorHAnsi"/>
          <w:sz w:val="24"/>
          <w:szCs w:val="24"/>
        </w:rPr>
        <w:t xml:space="preserve"> que confere iniciativa reservada ao Chefe do Poder Executivo nos </w:t>
      </w:r>
      <w:r w:rsidRPr="008B67E2">
        <w:rPr>
          <w:rFonts w:asciiTheme="minorHAnsi" w:hAnsiTheme="minorHAnsi" w:cstheme="minorHAnsi"/>
          <w:sz w:val="24"/>
          <w:szCs w:val="24"/>
        </w:rPr>
        <w:t>processos</w:t>
      </w:r>
      <w:r w:rsidRPr="008B67E2">
        <w:rPr>
          <w:rFonts w:asciiTheme="minorHAnsi" w:hAnsiTheme="minorHAnsi" w:cstheme="minorHAnsi"/>
          <w:sz w:val="24"/>
          <w:szCs w:val="24"/>
        </w:rPr>
        <w:t xml:space="preserve"> legislativos (art. 61,</w:t>
      </w:r>
      <w:r w:rsidRPr="008B67E2">
        <w:rPr>
          <w:rFonts w:ascii="Calibri" w:hAnsi="Calibri" w:cs="Courier New"/>
          <w:sz w:val="24"/>
          <w:szCs w:val="24"/>
        </w:rPr>
        <w:t xml:space="preserve"> CF; art. 24, § 2º da Constituição Bandeirante; e art. 48, da LOM</w:t>
      </w:r>
      <w:r w:rsidRPr="008B67E2">
        <w:rPr>
          <w:rFonts w:asciiTheme="minorHAnsi" w:hAnsiTheme="minorHAnsi" w:cstheme="minorHAnsi"/>
          <w:sz w:val="24"/>
          <w:szCs w:val="24"/>
        </w:rPr>
        <w:t>).</w:t>
      </w:r>
    </w:p>
    <w:p w:rsidR="00BC7B23" w:rsidRPr="008B67E2" w:rsidP="00BC7B23">
      <w:pPr>
        <w:spacing w:after="32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8B67E2">
        <w:rPr>
          <w:rFonts w:asciiTheme="minorHAnsi" w:hAnsiTheme="minorHAnsi" w:cstheme="minorHAnsi"/>
          <w:sz w:val="24"/>
          <w:szCs w:val="24"/>
        </w:rPr>
        <w:t>O Suprem</w:t>
      </w:r>
      <w:r w:rsidR="00EC66FA">
        <w:rPr>
          <w:rFonts w:asciiTheme="minorHAnsi" w:hAnsiTheme="minorHAnsi" w:cstheme="minorHAnsi"/>
          <w:sz w:val="24"/>
          <w:szCs w:val="24"/>
        </w:rPr>
        <w:t>o Tribunal Federal, em sede de recurso e</w:t>
      </w:r>
      <w:r w:rsidRPr="008B67E2">
        <w:rPr>
          <w:rFonts w:asciiTheme="minorHAnsi" w:hAnsiTheme="minorHAnsi" w:cstheme="minorHAnsi"/>
          <w:sz w:val="24"/>
          <w:szCs w:val="24"/>
        </w:rPr>
        <w:t xml:space="preserve">xtraordinário com repercussão geral reconhecida, assentou entendimento no sentido </w:t>
      </w:r>
      <w:r w:rsidRPr="008B67E2">
        <w:rPr>
          <w:rFonts w:asciiTheme="minorHAnsi" w:hAnsiTheme="minorHAnsi"/>
          <w:sz w:val="24"/>
          <w:szCs w:val="24"/>
        </w:rPr>
        <w:t xml:space="preserve">da </w:t>
      </w:r>
      <w:r w:rsidRPr="008B67E2">
        <w:rPr>
          <w:rFonts w:asciiTheme="minorHAnsi" w:hAnsiTheme="minorHAnsi"/>
          <w:b/>
          <w:sz w:val="24"/>
          <w:szCs w:val="24"/>
        </w:rPr>
        <w:t>existência de uma coabitação normativa entre os Poder</w:t>
      </w:r>
      <w:bookmarkStart w:id="0" w:name="_GoBack"/>
      <w:bookmarkEnd w:id="0"/>
      <w:r w:rsidRPr="008B67E2">
        <w:rPr>
          <w:rFonts w:asciiTheme="minorHAnsi" w:hAnsiTheme="minorHAnsi"/>
          <w:b/>
          <w:sz w:val="24"/>
          <w:szCs w:val="24"/>
        </w:rPr>
        <w:t xml:space="preserve">es Executivo (decreto) e Legislativo (lei formal), para o exercício da competência destinada </w:t>
      </w:r>
      <w:r w:rsidRPr="008B67E2">
        <w:rPr>
          <w:rFonts w:asciiTheme="minorHAnsi" w:hAnsiTheme="minorHAnsi"/>
          <w:b/>
          <w:sz w:val="24"/>
          <w:szCs w:val="24"/>
        </w:rPr>
        <w:t>a</w:t>
      </w:r>
      <w:r w:rsidRPr="008B67E2">
        <w:rPr>
          <w:rFonts w:asciiTheme="minorHAnsi" w:hAnsiTheme="minorHAnsi"/>
          <w:b/>
          <w:sz w:val="24"/>
          <w:szCs w:val="24"/>
        </w:rPr>
        <w:t xml:space="preserve"> denominação de próprios, vias e logradouros públicos e suas alterações</w:t>
      </w:r>
      <w:r w:rsidRPr="008B67E2">
        <w:rPr>
          <w:rFonts w:asciiTheme="minorHAnsi" w:hAnsiTheme="minorHAnsi" w:cstheme="minorHAnsi"/>
          <w:sz w:val="24"/>
          <w:szCs w:val="24"/>
        </w:rPr>
        <w:t>:</w:t>
      </w:r>
    </w:p>
    <w:p w:rsidR="00BC7B23" w:rsidRPr="008B67E2" w:rsidP="00A96F09">
      <w:pPr>
        <w:ind w:firstLine="1701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B67E2">
        <w:rPr>
          <w:rFonts w:asciiTheme="minorHAnsi" w:hAnsiTheme="minorHAnsi" w:cstheme="minorHAnsi"/>
          <w:sz w:val="24"/>
          <w:szCs w:val="24"/>
        </w:rPr>
        <w:t xml:space="preserve">  </w:t>
      </w:r>
      <w:r w:rsidRPr="008B67E2">
        <w:rPr>
          <w:rFonts w:asciiTheme="minorHAnsi" w:hAnsiTheme="minorHAnsi" w:cstheme="minorHAnsi"/>
          <w:sz w:val="24"/>
          <w:szCs w:val="24"/>
        </w:rPr>
        <w:tab/>
      </w:r>
      <w:r w:rsidRPr="008B67E2">
        <w:rPr>
          <w:rFonts w:asciiTheme="minorHAnsi" w:hAnsiTheme="minorHAnsi" w:cstheme="minorHAnsi"/>
          <w:sz w:val="24"/>
          <w:szCs w:val="24"/>
        </w:rPr>
        <w:tab/>
      </w:r>
      <w:r w:rsidRPr="008B67E2">
        <w:rPr>
          <w:rFonts w:asciiTheme="minorHAnsi" w:hAnsiTheme="minorHAnsi" w:cstheme="minorHAnsi"/>
          <w:b/>
          <w:i/>
          <w:sz w:val="22"/>
          <w:szCs w:val="22"/>
        </w:rPr>
        <w:t>SUPREMO TRIBUNAL FEDERAL</w:t>
      </w:r>
    </w:p>
    <w:p w:rsidR="00BC7B23" w:rsidRPr="00B351E2" w:rsidP="00A96F09">
      <w:pPr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B351E2">
        <w:rPr>
          <w:rFonts w:asciiTheme="minorHAnsi" w:hAnsiTheme="minorHAnsi" w:cstheme="minorHAnsi"/>
          <w:b/>
          <w:i/>
          <w:sz w:val="22"/>
          <w:szCs w:val="22"/>
        </w:rPr>
        <w:t>03/10/2019</w:t>
      </w:r>
    </w:p>
    <w:p w:rsidR="00BC7B23" w:rsidRPr="00BD03A3" w:rsidP="00A96F09">
      <w:pPr>
        <w:ind w:left="2835"/>
        <w:jc w:val="both"/>
        <w:rPr>
          <w:rFonts w:asciiTheme="minorHAnsi" w:hAnsiTheme="minorHAnsi"/>
          <w:b/>
          <w:i/>
          <w:sz w:val="22"/>
          <w:szCs w:val="22"/>
        </w:rPr>
      </w:pPr>
      <w:r w:rsidRPr="00BD03A3">
        <w:rPr>
          <w:rFonts w:asciiTheme="minorHAnsi" w:hAnsiTheme="minorHAnsi"/>
          <w:b/>
          <w:i/>
          <w:sz w:val="22"/>
          <w:szCs w:val="22"/>
        </w:rPr>
        <w:t>RECURSO EXTRAORDINÁRIO 1.151.237 SÃO PAULO</w:t>
      </w:r>
    </w:p>
    <w:p w:rsidR="00BD03A3" w:rsidP="00A96F09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</w:p>
    <w:p w:rsidR="00BC7B23" w:rsidRPr="008B67E2" w:rsidP="00A96F09">
      <w:pPr>
        <w:ind w:left="2835"/>
        <w:jc w:val="both"/>
        <w:rPr>
          <w:rFonts w:asciiTheme="minorHAnsi" w:hAnsiTheme="minorHAnsi"/>
          <w:i/>
          <w:sz w:val="22"/>
          <w:szCs w:val="22"/>
          <w:u w:val="single"/>
        </w:rPr>
      </w:pPr>
      <w:r w:rsidRPr="008B67E2">
        <w:rPr>
          <w:rFonts w:asciiTheme="minorHAnsi" w:hAnsiTheme="minorHAnsi"/>
          <w:i/>
          <w:sz w:val="22"/>
          <w:szCs w:val="22"/>
        </w:rPr>
        <w:t xml:space="preserve">Ementa: </w:t>
      </w:r>
      <w:r w:rsidRPr="008B67E2">
        <w:rPr>
          <w:rFonts w:asciiTheme="minorHAnsi" w:hAnsiTheme="minorHAnsi"/>
          <w:b/>
          <w:i/>
          <w:sz w:val="22"/>
          <w:szCs w:val="22"/>
        </w:rPr>
        <w:t xml:space="preserve">RECURSO EXTRAORDINÁRIO COM REPERCUSSÃO GERAL RECONHECIDA. COMPETÊNCIA PARA DENOMINAÇÃO DEPRÓPRIOS, VIAS E LOGRADOUROS PÚBLICOS E SUAS ALTERAÇÕES. </w:t>
      </w:r>
      <w:r w:rsidRPr="008B67E2">
        <w:rPr>
          <w:rFonts w:asciiTheme="minorHAnsi" w:hAnsiTheme="minorHAnsi"/>
          <w:b/>
          <w:i/>
          <w:sz w:val="22"/>
          <w:szCs w:val="22"/>
          <w:u w:val="single"/>
        </w:rPr>
        <w:t>COABITAÇÃO NORMATIVA ENTRE OS PODERES EXECUTIVO</w:t>
      </w:r>
      <w:r w:rsidRPr="008B67E2">
        <w:rPr>
          <w:rFonts w:asciiTheme="minorHAnsi" w:hAnsiTheme="minorHAnsi"/>
          <w:b/>
          <w:i/>
          <w:sz w:val="22"/>
          <w:szCs w:val="22"/>
          <w:u w:val="single"/>
        </w:rPr>
        <w:t xml:space="preserve">  </w:t>
      </w:r>
      <w:r w:rsidRPr="008B67E2">
        <w:rPr>
          <w:rFonts w:asciiTheme="minorHAnsi" w:hAnsiTheme="minorHAnsi"/>
          <w:b/>
          <w:i/>
          <w:sz w:val="22"/>
          <w:szCs w:val="22"/>
          <w:u w:val="single"/>
        </w:rPr>
        <w:t>(DECRETO) E O LEGISLATIVO (LEI FORMAL), CADA QUAL NO ÂMBITO DE SUAS ATRIBUIÇÕES</w:t>
      </w:r>
      <w:r w:rsidRPr="008B67E2">
        <w:rPr>
          <w:rFonts w:asciiTheme="minorHAnsi" w:hAnsiTheme="minorHAnsi"/>
          <w:i/>
          <w:sz w:val="22"/>
          <w:szCs w:val="22"/>
          <w:u w:val="single"/>
        </w:rPr>
        <w:t xml:space="preserve">. </w:t>
      </w:r>
    </w:p>
    <w:p w:rsidR="00BC7B23" w:rsidRPr="008B67E2" w:rsidP="00A96F09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B67E2">
        <w:rPr>
          <w:rFonts w:asciiTheme="minorHAnsi" w:hAnsiTheme="minorHAnsi"/>
          <w:i/>
          <w:sz w:val="22"/>
          <w:szCs w:val="22"/>
        </w:rPr>
        <w:t>1. Tem-se, na origem, ação direta de inconstitucionalidade proposta perante o Tribunal de Justiça do Estado de São Paulo em face do art. 33, XII, da Lei Orgânica do Município de Sorocaba, que assim dispõe: “</w:t>
      </w:r>
      <w:r w:rsidRPr="008B67E2">
        <w:rPr>
          <w:rFonts w:asciiTheme="minorHAnsi" w:hAnsiTheme="minorHAnsi"/>
          <w:b/>
          <w:i/>
          <w:sz w:val="22"/>
          <w:szCs w:val="22"/>
        </w:rPr>
        <w:t>Art.33. Cabe à Câmara Municipal, com a sanção do Prefeito, legislar sobre as matérias de competência do Município, especialmente no que se refere ao seguinte: (...) XII – denominação de próprios, vias e logradouros públicos e suas alterações</w:t>
      </w:r>
      <w:r w:rsidRPr="008B67E2">
        <w:rPr>
          <w:rFonts w:asciiTheme="minorHAnsi" w:hAnsiTheme="minorHAnsi"/>
          <w:i/>
          <w:sz w:val="22"/>
          <w:szCs w:val="22"/>
        </w:rPr>
        <w:t xml:space="preserve">”. </w:t>
      </w:r>
    </w:p>
    <w:p w:rsidR="00BC7B23" w:rsidRPr="008B67E2" w:rsidP="00A96F09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B67E2">
        <w:rPr>
          <w:rFonts w:asciiTheme="minorHAnsi" w:hAnsiTheme="minorHAnsi"/>
          <w:i/>
          <w:sz w:val="22"/>
          <w:szCs w:val="22"/>
        </w:rPr>
        <w:t xml:space="preserve">2. Na inicial da ação direta, a Procuradoria-Geral de Justiça do Estado de São Paulo sustenta que tal atribuição é privativa do Chefe do Poder Executivo. </w:t>
      </w:r>
    </w:p>
    <w:p w:rsidR="00BC7B23" w:rsidRPr="008B67E2" w:rsidP="00A96F09">
      <w:pPr>
        <w:ind w:left="2835"/>
        <w:jc w:val="both"/>
        <w:rPr>
          <w:rFonts w:asciiTheme="minorHAnsi" w:hAnsiTheme="minorHAnsi" w:cs="Arial"/>
          <w:i/>
          <w:sz w:val="22"/>
          <w:szCs w:val="22"/>
        </w:rPr>
      </w:pPr>
      <w:r w:rsidRPr="008B67E2">
        <w:rPr>
          <w:rFonts w:asciiTheme="minorHAnsi" w:hAnsiTheme="minorHAnsi"/>
          <w:i/>
          <w:sz w:val="22"/>
          <w:szCs w:val="22"/>
        </w:rPr>
        <w:t>3. O Tribunal de Justiça do Estado de São Paulo julgou procedente a ação no ponto, por considerar que a denominação de vias públicas compete tanto ao Poder Legislativo, quanto ao Executivo. Assim, reputou inconstitucional a norma, porque concede tal prerrogativa unicamente à Câmara Municipal.</w:t>
      </w:r>
      <w:r w:rsidRPr="008B67E2">
        <w:rPr>
          <w:rFonts w:asciiTheme="minorHAnsi" w:hAnsiTheme="minorHAnsi" w:cs="Arial"/>
          <w:i/>
          <w:sz w:val="22"/>
          <w:szCs w:val="22"/>
        </w:rPr>
        <w:t xml:space="preserve"> </w:t>
      </w:r>
    </w:p>
    <w:p w:rsidR="00BC7B23" w:rsidRPr="008B67E2" w:rsidP="00A96F09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B67E2">
        <w:rPr>
          <w:rFonts w:asciiTheme="minorHAnsi" w:hAnsiTheme="minorHAnsi"/>
          <w:i/>
          <w:sz w:val="22"/>
          <w:szCs w:val="22"/>
        </w:rPr>
        <w:t>4. A Constituição Federal consagrou o Município como entidade federativa indispensável ao nosso sistema federativo, integrando-o na organização político-administrativa e garantindo-lhe plena autonomia, como se nota na análise dos artigos 1º, 18, 29, 30 e 34, VII, c, todos da Constituição Federal.</w:t>
      </w:r>
    </w:p>
    <w:p w:rsidR="00BC7B23" w:rsidRPr="008B67E2" w:rsidP="00A96F09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B67E2">
        <w:rPr>
          <w:rFonts w:asciiTheme="minorHAnsi" w:hAnsiTheme="minorHAnsi"/>
          <w:i/>
          <w:sz w:val="22"/>
          <w:szCs w:val="22"/>
        </w:rPr>
        <w:t xml:space="preserve">5. As competências legislativas do município caracterizam-se pelo princípio da predominância do interesse local, que, apesar de difícil conceituação, refere-se àqueles interesses que disserem respeito mais diretamente às suas necessidades imediatas. </w:t>
      </w:r>
    </w:p>
    <w:p w:rsidR="00BC7B23" w:rsidRPr="008B67E2" w:rsidP="00A96F09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B67E2">
        <w:rPr>
          <w:rFonts w:asciiTheme="minorHAnsi" w:hAnsiTheme="minorHAnsi"/>
          <w:i/>
          <w:sz w:val="22"/>
          <w:szCs w:val="22"/>
        </w:rPr>
        <w:t>6. A atividade legislativa municipal submete-se à Lei Orgânica dos municípios, à qual cabe o importante papel de definir, mesmo que exemplificativamente, as matérias de competência legislativa da Câmara, uma vez que a Constituição Federal (artigos 30 e 31) não as exaure, pois usa a expressão interesse local como catalisador dos assuntos de competência municipal. Essa função legislativa é exercida pela Câmara dos Vereadores, que é o órgão legislativo do município, em colaboração com o prefeito, a quem cabe também o poder de iniciativa das leis, assim como o poder de sancioná-las e promulgá-las, nos termos propostos como modelo, pelo processo legislativo federal.</w:t>
      </w:r>
    </w:p>
    <w:p w:rsidR="00BC7B23" w:rsidRPr="008B67E2" w:rsidP="00A96F09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B67E2">
        <w:rPr>
          <w:rFonts w:asciiTheme="minorHAnsi" w:hAnsiTheme="minorHAnsi"/>
          <w:i/>
          <w:sz w:val="22"/>
          <w:szCs w:val="22"/>
        </w:rPr>
        <w:t xml:space="preserve">7. </w:t>
      </w:r>
      <w:r w:rsidRPr="008B67E2">
        <w:rPr>
          <w:rFonts w:asciiTheme="minorHAnsi" w:hAnsiTheme="minorHAnsi"/>
          <w:b/>
          <w:i/>
          <w:sz w:val="22"/>
          <w:szCs w:val="22"/>
        </w:rPr>
        <w:t>A Lei Orgânica do Município de Sorocaba, ao estabelecer, em seu artigo 33, inciso XII, como matéria de interesse local, e, consequentemente, de competência legislativa municipal, a disciplina de denominação de próprios, vias e logradouros públicos e suas alterações, representa legítimo exercício da competência legislativa municipal. Não há dúvida de que se trata de assunto predominantemente de interesse local (CF, art. 30, I).</w:t>
      </w:r>
    </w:p>
    <w:p w:rsidR="00BC7B23" w:rsidRPr="008B67E2" w:rsidP="00A96F09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B67E2">
        <w:rPr>
          <w:rFonts w:asciiTheme="minorHAnsi" w:hAnsiTheme="minorHAnsi"/>
          <w:i/>
          <w:sz w:val="22"/>
          <w:szCs w:val="22"/>
        </w:rPr>
        <w:t xml:space="preserve">8. Por outro lado, a norma em exame não incidiu em qualquer desrespeito à Separação de Poderes, </w:t>
      </w:r>
      <w:r w:rsidRPr="008B67E2">
        <w:rPr>
          <w:rFonts w:asciiTheme="minorHAnsi" w:hAnsiTheme="minorHAnsi"/>
          <w:b/>
          <w:i/>
          <w:sz w:val="22"/>
          <w:szCs w:val="22"/>
        </w:rPr>
        <w:t>pois a matéria referente à “denominação de próprios, vias e logradouros públicos e suas alterações” não pode ser limitada tão somente à questão de “atos de gestão do Executivo”, pois, no exercício dessa competência, o Poder Legislativo local poderá realizar homenagens cívicas, bem como colaborar na concretização da memorização da história e da proteção do patrimônio cultural imaterial do Município.</w:t>
      </w:r>
    </w:p>
    <w:p w:rsidR="00BC7B23" w:rsidRPr="008B67E2" w:rsidP="00A96F09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B67E2">
        <w:rPr>
          <w:rFonts w:asciiTheme="minorHAnsi" w:hAnsiTheme="minorHAnsi"/>
          <w:i/>
          <w:sz w:val="22"/>
          <w:szCs w:val="22"/>
        </w:rPr>
        <w:t xml:space="preserve">9. Em nenhum momento, a Lei Orgânica Municipal afastou expressamente a iniciativa concorrente para propositura do projeto de lei sobre a matéria. Portanto, deve ser interpretada no sentido de não excluirá competência administrativa do Prefeito Municipal para a prática de atos de gestão referentes </w:t>
      </w:r>
      <w:r w:rsidRPr="008B67E2">
        <w:rPr>
          <w:rFonts w:asciiTheme="minorHAnsi" w:hAnsiTheme="minorHAnsi"/>
          <w:i/>
          <w:sz w:val="22"/>
          <w:szCs w:val="22"/>
        </w:rPr>
        <w:t>a</w:t>
      </w:r>
      <w:r w:rsidRPr="008B67E2">
        <w:rPr>
          <w:rFonts w:asciiTheme="minorHAnsi" w:hAnsiTheme="minorHAnsi"/>
          <w:i/>
          <w:sz w:val="22"/>
          <w:szCs w:val="22"/>
        </w:rPr>
        <w:t xml:space="preserve"> matéria; mas, também, por estabelecer ao Poder Legislativo, no exercício de competência legislativa, baseada no princípio da predominância do interesse, a possibilidade de edição de leis para definir denominação de próprios, vias e logradouros públicos e suas alterações . </w:t>
      </w:r>
    </w:p>
    <w:p w:rsidR="00BC7B23" w:rsidRPr="008B67E2" w:rsidP="00A96F09">
      <w:pPr>
        <w:ind w:left="2835"/>
        <w:jc w:val="both"/>
        <w:rPr>
          <w:rFonts w:asciiTheme="minorHAnsi" w:hAnsiTheme="minorHAnsi"/>
          <w:b/>
          <w:i/>
          <w:sz w:val="22"/>
          <w:szCs w:val="22"/>
        </w:rPr>
      </w:pPr>
      <w:r w:rsidRPr="008B67E2">
        <w:rPr>
          <w:rFonts w:asciiTheme="minorHAnsi" w:hAnsiTheme="minorHAnsi"/>
          <w:b/>
          <w:i/>
          <w:sz w:val="22"/>
          <w:szCs w:val="22"/>
        </w:rPr>
        <w:t xml:space="preserve">10. Recurso Extraordinário provido, para declarar a constitucionalidade do art. 33, XII, da Lei Orgânica do </w:t>
      </w:r>
      <w:r w:rsidRPr="008B67E2">
        <w:rPr>
          <w:rFonts w:asciiTheme="minorHAnsi" w:hAnsiTheme="minorHAnsi"/>
          <w:b/>
          <w:i/>
          <w:sz w:val="22"/>
          <w:szCs w:val="22"/>
        </w:rPr>
        <w:t xml:space="preserve">Município de Sorocaba, concedendo-lhe interpretação conforme </w:t>
      </w:r>
      <w:r w:rsidRPr="008B67E2">
        <w:rPr>
          <w:rFonts w:asciiTheme="minorHAnsi" w:hAnsiTheme="minorHAnsi"/>
          <w:b/>
          <w:i/>
          <w:sz w:val="22"/>
          <w:szCs w:val="22"/>
        </w:rPr>
        <w:t>à</w:t>
      </w:r>
      <w:r w:rsidRPr="008B67E2">
        <w:rPr>
          <w:rFonts w:asciiTheme="minorHAnsi" w:hAnsiTheme="minorHAnsi"/>
          <w:b/>
          <w:i/>
          <w:sz w:val="22"/>
          <w:szCs w:val="22"/>
        </w:rPr>
        <w:t xml:space="preserve"> Constituição Federal, no sentido da existência de uma coabitação normativa entre os Poderes Executivo (decreto) e o Legislativo (lei formal), para o exercício da competência destinada a “denominação de próprios, vias e logradouros públicos e suas alterações”, cada qual no âmbito de suas atribuições.</w:t>
      </w:r>
    </w:p>
    <w:p w:rsidR="00BC7B23" w:rsidRPr="008B67E2" w:rsidP="00A96F09">
      <w:pPr>
        <w:ind w:left="2835"/>
        <w:jc w:val="both"/>
        <w:rPr>
          <w:rFonts w:asciiTheme="minorHAnsi" w:hAnsiTheme="minorHAnsi"/>
          <w:b/>
          <w:i/>
          <w:sz w:val="22"/>
          <w:szCs w:val="22"/>
        </w:rPr>
      </w:pPr>
      <w:r w:rsidRPr="008B67E2">
        <w:rPr>
          <w:rFonts w:asciiTheme="minorHAnsi" w:hAnsiTheme="minorHAnsi"/>
          <w:b/>
          <w:i/>
          <w:sz w:val="22"/>
          <w:szCs w:val="22"/>
        </w:rPr>
        <w:t xml:space="preserve">11. Fixada a seguinte tese de Repercussão Geral: "É comum aos poderes Executivo (decreto) e Legislativo (lei formal) a competência destinada </w:t>
      </w:r>
      <w:r w:rsidRPr="008B67E2">
        <w:rPr>
          <w:rFonts w:asciiTheme="minorHAnsi" w:hAnsiTheme="minorHAnsi"/>
          <w:b/>
          <w:i/>
          <w:sz w:val="22"/>
          <w:szCs w:val="22"/>
        </w:rPr>
        <w:t>a</w:t>
      </w:r>
      <w:r w:rsidRPr="008B67E2">
        <w:rPr>
          <w:rFonts w:asciiTheme="minorHAnsi" w:hAnsiTheme="minorHAnsi"/>
          <w:b/>
          <w:i/>
          <w:sz w:val="22"/>
          <w:szCs w:val="22"/>
        </w:rPr>
        <w:t xml:space="preserve"> denominação de próprios, vias e logradouros públicos e suas alterações, cada qual no âmbito de suas atribuições". </w:t>
      </w:r>
    </w:p>
    <w:p w:rsidR="00BC7B23" w:rsidP="00A96F09">
      <w:pPr>
        <w:ind w:left="2835" w:firstLine="708"/>
        <w:jc w:val="both"/>
        <w:rPr>
          <w:rFonts w:asciiTheme="minorHAnsi" w:hAnsiTheme="minorHAnsi"/>
          <w:b/>
          <w:i/>
          <w:sz w:val="12"/>
          <w:szCs w:val="12"/>
        </w:rPr>
      </w:pPr>
    </w:p>
    <w:p w:rsidR="00B21012" w:rsidRPr="008B67E2" w:rsidP="00A96F09">
      <w:pPr>
        <w:ind w:left="2835" w:firstLine="708"/>
        <w:jc w:val="both"/>
        <w:rPr>
          <w:rFonts w:asciiTheme="minorHAnsi" w:hAnsiTheme="minorHAnsi"/>
          <w:b/>
          <w:i/>
          <w:sz w:val="12"/>
          <w:szCs w:val="12"/>
        </w:rPr>
      </w:pPr>
    </w:p>
    <w:p w:rsidR="00BC7B23" w:rsidRPr="008B67E2" w:rsidP="00A96F09">
      <w:pPr>
        <w:ind w:left="2835"/>
        <w:jc w:val="both"/>
        <w:rPr>
          <w:rFonts w:asciiTheme="minorHAnsi" w:hAnsiTheme="minorHAnsi"/>
          <w:b/>
          <w:i/>
          <w:sz w:val="22"/>
          <w:szCs w:val="22"/>
        </w:rPr>
      </w:pPr>
      <w:r w:rsidRPr="008B67E2">
        <w:rPr>
          <w:rFonts w:asciiTheme="minorHAnsi" w:hAnsiTheme="minorHAnsi"/>
          <w:b/>
          <w:i/>
          <w:sz w:val="22"/>
          <w:szCs w:val="22"/>
        </w:rPr>
        <w:t>A C Ó R D ÃO</w:t>
      </w:r>
    </w:p>
    <w:p w:rsidR="00BC7B23" w:rsidRPr="008B67E2" w:rsidP="00A96F09">
      <w:pPr>
        <w:ind w:left="2835"/>
        <w:jc w:val="both"/>
        <w:rPr>
          <w:rFonts w:asciiTheme="minorHAnsi" w:hAnsiTheme="minorHAnsi"/>
          <w:i/>
          <w:sz w:val="4"/>
          <w:szCs w:val="4"/>
        </w:rPr>
      </w:pPr>
    </w:p>
    <w:p w:rsidR="00BC7B23" w:rsidRPr="008B67E2" w:rsidP="00A96F09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B67E2">
        <w:rPr>
          <w:rFonts w:asciiTheme="minorHAnsi" w:hAnsiTheme="minorHAnsi"/>
          <w:i/>
          <w:sz w:val="22"/>
          <w:szCs w:val="22"/>
        </w:rPr>
        <w:t xml:space="preserve">Vistos, relatados e discutidos estes autos, os Ministros do Supremo Tribunal Federal, em Plenário, sob a Presidência do Senhor Ministro DIAS TOFFOLI, em conformidade com a ata de julgamento e as notas taquigráficas, preliminarmente, por unanimidade, reconheceu a existência de matéria constitucional e de repercussão geral. Por maioria, vencidos os Ministros ROBERTO BARROSO e MARCO AURÉLIO, deram provimento ao recurso extraordinário para declarar a constitucionalidade do art. 33, XII, da Lei Orgânica do Município de Sorocaba, concedendo-lhe interpretação conforme </w:t>
      </w:r>
      <w:r w:rsidRPr="008B67E2">
        <w:rPr>
          <w:rFonts w:asciiTheme="minorHAnsi" w:hAnsiTheme="minorHAnsi"/>
          <w:i/>
          <w:sz w:val="22"/>
          <w:szCs w:val="22"/>
        </w:rPr>
        <w:t>à</w:t>
      </w:r>
      <w:r w:rsidRPr="008B67E2">
        <w:rPr>
          <w:rFonts w:asciiTheme="minorHAnsi" w:hAnsiTheme="minorHAnsi"/>
          <w:i/>
          <w:sz w:val="22"/>
          <w:szCs w:val="22"/>
        </w:rPr>
        <w:t xml:space="preserve"> Constituição Federal, no sentido da existência de uma coabitação normativa entre os Poderes do Executivo (decreto) e o Legislativo (lei formal), para o exercício da competência destinada a denominação de próprios, vias e logradouros públicos e suas alterações, cada qual no âmbito de suas atribuições, nos termos do voto do Relator, em que foi fixada a seguinte tese: "É comum aos poderes Executivo (decreto) e Legislativo (lei formal) a competência destinada a denominação de próprios, vias e logradouros públicos e suas alterações, cada qual no âmbito de suas atribuições". Não participou, justificadamente, deste julgamento, a Ministra CÁRMEN LÚCIA. Ausentes, justificadamente, os Ministros CELSO DE MELLO e RICARDOLEWANDOWSKI. </w:t>
      </w:r>
    </w:p>
    <w:p w:rsidR="00B04E50" w:rsidRPr="00D56D6F" w:rsidP="00A96F09">
      <w:pPr>
        <w:ind w:left="2835"/>
        <w:jc w:val="both"/>
        <w:rPr>
          <w:rFonts w:asciiTheme="minorHAnsi" w:hAnsiTheme="minorHAnsi"/>
          <w:i/>
          <w:sz w:val="4"/>
          <w:szCs w:val="4"/>
        </w:rPr>
      </w:pPr>
    </w:p>
    <w:p w:rsidR="00BC7B23" w:rsidRPr="008B67E2" w:rsidP="00A96F09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B67E2">
        <w:rPr>
          <w:rFonts w:asciiTheme="minorHAnsi" w:hAnsiTheme="minorHAnsi"/>
          <w:i/>
          <w:sz w:val="22"/>
          <w:szCs w:val="22"/>
        </w:rPr>
        <w:t xml:space="preserve">Brasília, </w:t>
      </w:r>
      <w:r w:rsidRPr="008B67E2">
        <w:rPr>
          <w:rFonts w:asciiTheme="minorHAnsi" w:hAnsiTheme="minorHAnsi"/>
          <w:i/>
          <w:sz w:val="22"/>
          <w:szCs w:val="22"/>
        </w:rPr>
        <w:t>3</w:t>
      </w:r>
      <w:r w:rsidRPr="008B67E2">
        <w:rPr>
          <w:rFonts w:asciiTheme="minorHAnsi" w:hAnsiTheme="minorHAnsi"/>
          <w:i/>
          <w:sz w:val="22"/>
          <w:szCs w:val="22"/>
        </w:rPr>
        <w:t xml:space="preserve"> de outubro de 2019.</w:t>
      </w:r>
    </w:p>
    <w:p w:rsidR="00B04E50" w:rsidRPr="00D56D6F" w:rsidP="00A96F09">
      <w:pPr>
        <w:ind w:left="2835"/>
        <w:jc w:val="both"/>
        <w:rPr>
          <w:rFonts w:asciiTheme="minorHAnsi" w:hAnsiTheme="minorHAnsi"/>
          <w:i/>
          <w:sz w:val="4"/>
          <w:szCs w:val="4"/>
        </w:rPr>
      </w:pPr>
    </w:p>
    <w:p w:rsidR="00BC7B23" w:rsidRPr="008B67E2" w:rsidP="00A96F09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B67E2">
        <w:rPr>
          <w:rFonts w:asciiTheme="minorHAnsi" w:hAnsiTheme="minorHAnsi"/>
          <w:i/>
          <w:sz w:val="22"/>
          <w:szCs w:val="22"/>
        </w:rPr>
        <w:t>Ministro ALEXANDREDE MORAES</w:t>
      </w:r>
      <w:r w:rsidRPr="008B67E2" w:rsidR="002712E9">
        <w:rPr>
          <w:rFonts w:asciiTheme="minorHAnsi" w:hAnsiTheme="minorHAnsi"/>
          <w:i/>
          <w:sz w:val="22"/>
          <w:szCs w:val="22"/>
        </w:rPr>
        <w:t xml:space="preserve"> </w:t>
      </w:r>
      <w:r w:rsidRPr="008B67E2" w:rsidR="00492D99">
        <w:rPr>
          <w:rFonts w:asciiTheme="minorHAnsi" w:hAnsiTheme="minorHAnsi"/>
          <w:i/>
          <w:sz w:val="22"/>
          <w:szCs w:val="22"/>
        </w:rPr>
        <w:t>–</w:t>
      </w:r>
      <w:r w:rsidR="00B351E2">
        <w:rPr>
          <w:rFonts w:asciiTheme="minorHAnsi" w:hAnsiTheme="minorHAnsi"/>
          <w:i/>
          <w:sz w:val="22"/>
          <w:szCs w:val="22"/>
        </w:rPr>
        <w:t xml:space="preserve"> </w:t>
      </w:r>
      <w:r w:rsidRPr="008B67E2">
        <w:rPr>
          <w:rFonts w:asciiTheme="minorHAnsi" w:hAnsiTheme="minorHAnsi"/>
          <w:i/>
          <w:sz w:val="22"/>
          <w:szCs w:val="22"/>
        </w:rPr>
        <w:t>Relator</w:t>
      </w:r>
    </w:p>
    <w:p w:rsidR="002635B7" w:rsidRPr="008B67E2" w:rsidP="00BC7B23">
      <w:pPr>
        <w:pStyle w:val="NormalWeb"/>
        <w:spacing w:line="360" w:lineRule="auto"/>
        <w:ind w:firstLine="2268"/>
        <w:jc w:val="both"/>
        <w:rPr>
          <w:rFonts w:asciiTheme="minorHAnsi" w:hAnsiTheme="minorHAnsi" w:cstheme="minorHAnsi"/>
        </w:rPr>
      </w:pPr>
      <w:r w:rsidRPr="008B67E2">
        <w:rPr>
          <w:rFonts w:asciiTheme="minorHAnsi" w:hAnsiTheme="minorHAnsi" w:cstheme="minorHAnsi"/>
        </w:rPr>
        <w:t>No mesmo sentido</w:t>
      </w:r>
      <w:r w:rsidRPr="008B67E2" w:rsidR="00942B12">
        <w:rPr>
          <w:rFonts w:asciiTheme="minorHAnsi" w:hAnsiTheme="minorHAnsi" w:cstheme="minorHAnsi"/>
        </w:rPr>
        <w:t>,</w:t>
      </w:r>
      <w:r w:rsidRPr="008B67E2">
        <w:rPr>
          <w:rFonts w:asciiTheme="minorHAnsi" w:hAnsiTheme="minorHAnsi" w:cstheme="minorHAnsi"/>
        </w:rPr>
        <w:t xml:space="preserve"> colacionamos decisão da Corte Paulista:</w:t>
      </w:r>
    </w:p>
    <w:p w:rsidR="00491521" w:rsidRPr="00B04E50" w:rsidP="00A96F09">
      <w:pPr>
        <w:pStyle w:val="NormalWeb"/>
        <w:spacing w:before="0" w:beforeAutospacing="0" w:after="0" w:afterAutospacing="0"/>
        <w:ind w:left="2835"/>
        <w:jc w:val="both"/>
        <w:rPr>
          <w:rFonts w:asciiTheme="minorHAnsi" w:hAnsiTheme="minorHAnsi" w:cstheme="minorHAnsi"/>
          <w:i/>
          <w:sz w:val="20"/>
          <w:szCs w:val="20"/>
          <w:shd w:val="clear" w:color="auto" w:fill="FFFFFF"/>
        </w:rPr>
      </w:pPr>
      <w:r w:rsidRPr="008B67E2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AÇÃO DIRETA DE INCONSTITUCIONALIDADE – LEI Nº 2.086, DE 25 DE MAIO DE 2110, DO MUNICÍPIO DE ITAPECERICA DA </w:t>
      </w:r>
      <w:r w:rsidRPr="008B67E2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SERRA – INICIATIVA PARLAMENTAR – DENOMINAÇÃO DE LOGRADOUROS PÚBLICOS – VÍCIO DE INICIATIVA – INEXISTÊNCIA – INICIATIVA LEGISLATIVA COMUM - INCONSTITUCIONALIDADE – INEXISTÊNCIA. 1. O Tribunal de Justiça tem competência para julgar a representação de inconstitucionalidade de lei ou ato normativo estadual ou municipal em face da Constituição Estadual (art. 125, § 2º, CF, e art. 74, </w:t>
      </w:r>
      <w:r w:rsidRPr="008B67E2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VI,</w:t>
      </w:r>
      <w:r w:rsidRPr="008B67E2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CE). Inadmissibilidade de manejo da ação direta para contrapor leis infraconstitucionais. Conflito de leis que não se confunde com ofensa aos princípios da legalidade e harmonia entre os Poderes. </w:t>
      </w:r>
      <w:r w:rsidRPr="008B67E2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2. É comum aos poderes Executivo (decreto) e Legislativo (lei formal) a competência destinada </w:t>
      </w:r>
      <w:r w:rsidRPr="008B67E2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a</w:t>
      </w:r>
      <w:r w:rsidRPr="008B67E2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 denominação de próprios, vias e logradouros públicos e suas alterações, cada qual no âmbito de suas atribuições (Tema nº 1.070 do STF).</w:t>
      </w:r>
      <w:r w:rsidRPr="008B67E2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Ação direta de inconstitucionalidade improcedente.</w:t>
      </w:r>
      <w:r w:rsidRPr="00B04E50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 (TJSP;</w:t>
      </w:r>
      <w:r w:rsidRPr="00B04E50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 xml:space="preserve">  </w:t>
      </w:r>
      <w:r w:rsidRPr="00B04E50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 xml:space="preserve">Direta de Inconstitucionalidade 2216092-06.2021.8.26.0000; Relator (a): Décio </w:t>
      </w:r>
      <w:r w:rsidRPr="00B04E50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Notarangeli</w:t>
      </w:r>
      <w:r w:rsidRPr="00B04E50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; Órgão Julgador: Órgão Especial; Tribunal de Justiça de São Paulo - N/A; Data do Julgamento: 09/02/2022; Data de Registro: 10/02/2022)</w:t>
      </w:r>
    </w:p>
    <w:p w:rsidR="00A96F09" w:rsidRPr="00BD03A3" w:rsidP="00A96F09">
      <w:pPr>
        <w:pStyle w:val="NormalWeb"/>
        <w:spacing w:before="0" w:beforeAutospacing="0" w:after="0" w:afterAutospacing="0"/>
        <w:ind w:left="2835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BC7B23" w:rsidRPr="008B67E2" w:rsidP="00B351E2">
      <w:pPr>
        <w:pStyle w:val="NormalWeb"/>
        <w:spacing w:before="0" w:beforeAutospacing="0" w:after="120" w:afterAutospacing="0" w:line="360" w:lineRule="auto"/>
        <w:ind w:firstLine="2268"/>
        <w:jc w:val="both"/>
        <w:rPr>
          <w:rFonts w:asciiTheme="minorHAnsi" w:hAnsiTheme="minorHAnsi" w:cstheme="minorHAnsi"/>
        </w:rPr>
      </w:pPr>
      <w:r w:rsidRPr="008B67E2">
        <w:rPr>
          <w:rFonts w:asciiTheme="minorHAnsi" w:hAnsiTheme="minorHAnsi" w:cstheme="minorHAnsi"/>
        </w:rPr>
        <w:t>Por fim, no que tange à forma o projeto atende aos preceitos da Lei Complementar nº 95/98 que dispõe sobre a elaboração, a redação, a alteração e a consolidação das leis, conforme determina o parágrafo único do art. 59 da Constituição Federal e estabelece normas para a consolidação dos atos normativos que menciona.</w:t>
      </w:r>
    </w:p>
    <w:p w:rsidR="00BC7B23" w:rsidRPr="008B67E2" w:rsidP="00B351E2">
      <w:pPr>
        <w:autoSpaceDE w:val="0"/>
        <w:autoSpaceDN w:val="0"/>
        <w:adjustRightInd w:val="0"/>
        <w:spacing w:after="12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8839D4">
        <w:rPr>
          <w:rFonts w:ascii="Calibri" w:eastAsia="Calibri" w:hAnsi="Calibri" w:cs="Calibri"/>
          <w:sz w:val="24"/>
          <w:szCs w:val="24"/>
        </w:rPr>
        <w:t xml:space="preserve">Ante </w:t>
      </w:r>
      <w:r w:rsidRPr="008839D4" w:rsidR="00CB134B">
        <w:rPr>
          <w:rFonts w:ascii="Calibri" w:eastAsia="Calibri" w:hAnsi="Calibri" w:cs="Calibri"/>
          <w:sz w:val="24"/>
          <w:szCs w:val="24"/>
        </w:rPr>
        <w:t xml:space="preserve">todo </w:t>
      </w:r>
      <w:r w:rsidRPr="008839D4">
        <w:rPr>
          <w:rFonts w:ascii="Calibri" w:eastAsia="Calibri" w:hAnsi="Calibri" w:cs="Calibri"/>
          <w:sz w:val="24"/>
          <w:szCs w:val="24"/>
        </w:rPr>
        <w:t xml:space="preserve">o exposto, </w:t>
      </w:r>
      <w:r w:rsidRPr="008839D4" w:rsidR="00492D99">
        <w:rPr>
          <w:rFonts w:asciiTheme="minorHAnsi" w:hAnsiTheme="minorHAnsi" w:cstheme="minorHAnsi"/>
          <w:sz w:val="24"/>
          <w:szCs w:val="24"/>
        </w:rPr>
        <w:t>opinamos pela</w:t>
      </w:r>
      <w:r w:rsidRPr="008839D4">
        <w:rPr>
          <w:rFonts w:asciiTheme="minorHAnsi" w:hAnsiTheme="minorHAnsi" w:cstheme="minorHAnsi"/>
          <w:sz w:val="24"/>
          <w:szCs w:val="24"/>
        </w:rPr>
        <w:t xml:space="preserve"> constitucionalidade</w:t>
      </w:r>
      <w:r w:rsidRPr="008839D4" w:rsidR="002712E9">
        <w:rPr>
          <w:rFonts w:asciiTheme="minorHAnsi" w:hAnsiTheme="minorHAnsi" w:cstheme="minorHAnsi"/>
          <w:sz w:val="24"/>
          <w:szCs w:val="24"/>
        </w:rPr>
        <w:t xml:space="preserve"> </w:t>
      </w:r>
      <w:r w:rsidR="00287D10">
        <w:rPr>
          <w:rFonts w:asciiTheme="minorHAnsi" w:hAnsiTheme="minorHAnsi" w:cstheme="minorHAnsi"/>
          <w:sz w:val="24"/>
          <w:szCs w:val="24"/>
        </w:rPr>
        <w:t xml:space="preserve">e legalidade </w:t>
      </w:r>
      <w:r w:rsidRPr="008839D4" w:rsidR="00F33495">
        <w:rPr>
          <w:rFonts w:asciiTheme="minorHAnsi" w:hAnsiTheme="minorHAnsi" w:cstheme="minorHAnsi"/>
          <w:sz w:val="24"/>
          <w:szCs w:val="24"/>
        </w:rPr>
        <w:t>do projeto</w:t>
      </w:r>
      <w:r w:rsidR="00287D10">
        <w:rPr>
          <w:rFonts w:asciiTheme="minorHAnsi" w:hAnsiTheme="minorHAnsi" w:cstheme="minorHAnsi"/>
          <w:sz w:val="24"/>
          <w:szCs w:val="24"/>
        </w:rPr>
        <w:t xml:space="preserve">. </w:t>
      </w:r>
      <w:r w:rsidRPr="008B67E2" w:rsidR="00BB1719">
        <w:rPr>
          <w:rFonts w:ascii="Calibri" w:eastAsia="Calibri" w:hAnsi="Calibri" w:cs="Calibri"/>
          <w:b/>
          <w:sz w:val="24"/>
          <w:szCs w:val="24"/>
        </w:rPr>
        <w:t>N</w:t>
      </w:r>
      <w:r w:rsidRPr="008B67E2">
        <w:rPr>
          <w:rFonts w:ascii="Calibri" w:eastAsia="Calibri" w:hAnsi="Calibri" w:cs="Calibri"/>
          <w:b/>
          <w:sz w:val="24"/>
          <w:szCs w:val="24"/>
        </w:rPr>
        <w:t>o</w:t>
      </w:r>
      <w:r w:rsidRPr="008B67E2" w:rsidR="00BB1719">
        <w:rPr>
          <w:rFonts w:ascii="Calibri" w:eastAsia="Calibri" w:hAnsi="Calibri" w:cs="Calibri"/>
          <w:b/>
          <w:sz w:val="24"/>
          <w:szCs w:val="24"/>
        </w:rPr>
        <w:t xml:space="preserve"> mérito</w:t>
      </w:r>
      <w:r w:rsidR="00EC66FA">
        <w:rPr>
          <w:rFonts w:ascii="Calibri" w:eastAsia="Calibri" w:hAnsi="Calibri" w:cs="Calibri"/>
          <w:b/>
          <w:sz w:val="24"/>
          <w:szCs w:val="24"/>
        </w:rPr>
        <w:t xml:space="preserve"> Plenário é </w:t>
      </w:r>
      <w:r w:rsidRPr="008B67E2" w:rsidR="00EC66FA">
        <w:rPr>
          <w:rFonts w:ascii="Calibri" w:eastAsia="Calibri" w:hAnsi="Calibri" w:cs="Calibri"/>
          <w:b/>
          <w:sz w:val="24"/>
          <w:szCs w:val="24"/>
        </w:rPr>
        <w:t>soberano</w:t>
      </w:r>
      <w:r w:rsidR="00EC66FA">
        <w:rPr>
          <w:rFonts w:ascii="Calibri" w:eastAsia="Calibri" w:hAnsi="Calibri" w:cs="Calibri"/>
          <w:b/>
          <w:sz w:val="24"/>
          <w:szCs w:val="24"/>
        </w:rPr>
        <w:t>.</w:t>
      </w:r>
    </w:p>
    <w:p w:rsidR="00BC7B23" w:rsidRPr="008B67E2" w:rsidP="00BC7B23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 w:rsidRPr="008B67E2">
        <w:rPr>
          <w:rFonts w:asciiTheme="minorHAnsi" w:hAnsiTheme="minorHAnsi" w:cstheme="minorHAnsi"/>
          <w:color w:val="auto"/>
        </w:rPr>
        <w:t xml:space="preserve"> </w:t>
      </w:r>
      <w:r w:rsidRPr="008B67E2">
        <w:rPr>
          <w:rFonts w:asciiTheme="minorHAnsi" w:hAnsiTheme="minorHAnsi" w:cstheme="minorHAnsi"/>
          <w:color w:val="auto"/>
        </w:rPr>
        <w:tab/>
      </w:r>
      <w:r w:rsidRPr="008B67E2">
        <w:rPr>
          <w:rFonts w:asciiTheme="minorHAnsi" w:hAnsiTheme="minorHAnsi" w:cstheme="minorHAnsi"/>
          <w:color w:val="auto"/>
        </w:rPr>
        <w:tab/>
      </w:r>
      <w:r w:rsidRPr="008B67E2">
        <w:rPr>
          <w:rFonts w:asciiTheme="minorHAnsi" w:hAnsiTheme="minorHAnsi" w:cstheme="minorHAnsi"/>
          <w:color w:val="auto"/>
        </w:rPr>
        <w:tab/>
        <w:t xml:space="preserve">É o </w:t>
      </w:r>
      <w:r w:rsidR="00EC66FA">
        <w:rPr>
          <w:rFonts w:asciiTheme="minorHAnsi" w:hAnsiTheme="minorHAnsi" w:cstheme="minorHAnsi"/>
          <w:color w:val="auto"/>
        </w:rPr>
        <w:t>parecer, a superior consideração.</w:t>
      </w:r>
    </w:p>
    <w:p w:rsidR="00BC7B23" w:rsidP="00BC7B23">
      <w:pPr>
        <w:pStyle w:val="BodyText"/>
        <w:spacing w:before="240" w:line="360" w:lineRule="auto"/>
        <w:rPr>
          <w:rFonts w:asciiTheme="minorHAnsi" w:hAnsiTheme="minorHAnsi" w:cstheme="minorHAnsi"/>
          <w:szCs w:val="24"/>
        </w:rPr>
      </w:pPr>
      <w:r w:rsidRPr="008B67E2">
        <w:rPr>
          <w:rFonts w:asciiTheme="minorHAnsi" w:hAnsiTheme="minorHAnsi" w:cstheme="minorHAnsi"/>
          <w:szCs w:val="24"/>
        </w:rPr>
        <w:t xml:space="preserve"> </w:t>
      </w:r>
      <w:r w:rsidRPr="008B67E2">
        <w:rPr>
          <w:rFonts w:asciiTheme="minorHAnsi" w:hAnsiTheme="minorHAnsi" w:cstheme="minorHAnsi"/>
          <w:szCs w:val="24"/>
        </w:rPr>
        <w:tab/>
      </w:r>
      <w:r w:rsidRPr="008B67E2">
        <w:rPr>
          <w:rFonts w:asciiTheme="minorHAnsi" w:hAnsiTheme="minorHAnsi" w:cstheme="minorHAnsi"/>
          <w:szCs w:val="24"/>
        </w:rPr>
        <w:tab/>
      </w:r>
      <w:r w:rsidRPr="008B67E2">
        <w:rPr>
          <w:rFonts w:asciiTheme="minorHAnsi" w:hAnsiTheme="minorHAnsi" w:cstheme="minorHAnsi"/>
          <w:szCs w:val="24"/>
        </w:rPr>
        <w:tab/>
      </w:r>
      <w:r w:rsidRPr="005D6640">
        <w:rPr>
          <w:rFonts w:asciiTheme="minorHAnsi" w:hAnsiTheme="minorHAnsi" w:cstheme="minorHAnsi"/>
          <w:szCs w:val="24"/>
        </w:rPr>
        <w:t xml:space="preserve">Procuradoria, </w:t>
      </w:r>
      <w:r w:rsidRPr="008A3659">
        <w:rPr>
          <w:rFonts w:asciiTheme="minorHAnsi" w:hAnsiTheme="minorHAnsi" w:cstheme="minorHAnsi"/>
          <w:szCs w:val="24"/>
        </w:rPr>
        <w:t xml:space="preserve">aos </w:t>
      </w:r>
      <w:r w:rsidRPr="008A3659" w:rsidR="008A3659">
        <w:rPr>
          <w:rFonts w:asciiTheme="minorHAnsi" w:hAnsiTheme="minorHAnsi" w:cstheme="minorHAnsi"/>
          <w:szCs w:val="24"/>
        </w:rPr>
        <w:t>24</w:t>
      </w:r>
      <w:r w:rsidRPr="008A3659" w:rsidR="0068114B">
        <w:rPr>
          <w:rFonts w:asciiTheme="minorHAnsi" w:hAnsiTheme="minorHAnsi" w:cstheme="minorHAnsi"/>
          <w:szCs w:val="24"/>
        </w:rPr>
        <w:t xml:space="preserve"> </w:t>
      </w:r>
      <w:r w:rsidRPr="008A3659" w:rsidR="005B3FBC">
        <w:rPr>
          <w:rFonts w:asciiTheme="minorHAnsi" w:hAnsiTheme="minorHAnsi" w:cstheme="minorHAnsi"/>
          <w:szCs w:val="24"/>
        </w:rPr>
        <w:t xml:space="preserve">de </w:t>
      </w:r>
      <w:r w:rsidRPr="008A3659" w:rsidR="008A3659">
        <w:rPr>
          <w:rFonts w:asciiTheme="minorHAnsi" w:hAnsiTheme="minorHAnsi" w:cstheme="minorHAnsi"/>
          <w:szCs w:val="24"/>
        </w:rPr>
        <w:t>novembro</w:t>
      </w:r>
      <w:r w:rsidRPr="008A3659" w:rsidR="001C3EF4">
        <w:rPr>
          <w:rFonts w:asciiTheme="minorHAnsi" w:hAnsiTheme="minorHAnsi" w:cstheme="minorHAnsi"/>
          <w:szCs w:val="24"/>
        </w:rPr>
        <w:t xml:space="preserve"> </w:t>
      </w:r>
      <w:r w:rsidRPr="008A3659">
        <w:rPr>
          <w:rFonts w:asciiTheme="minorHAnsi" w:hAnsiTheme="minorHAnsi" w:cstheme="minorHAnsi"/>
          <w:szCs w:val="24"/>
        </w:rPr>
        <w:t>de 202</w:t>
      </w:r>
      <w:r w:rsidRPr="008A3659" w:rsidR="00EC66FA">
        <w:rPr>
          <w:rFonts w:asciiTheme="minorHAnsi" w:hAnsiTheme="minorHAnsi" w:cstheme="minorHAnsi"/>
          <w:szCs w:val="24"/>
        </w:rPr>
        <w:t>3</w:t>
      </w:r>
      <w:r w:rsidRPr="008A3659">
        <w:rPr>
          <w:rFonts w:asciiTheme="minorHAnsi" w:hAnsiTheme="minorHAnsi" w:cstheme="minorHAnsi"/>
          <w:szCs w:val="24"/>
        </w:rPr>
        <w:t>.</w:t>
      </w:r>
    </w:p>
    <w:p w:rsidR="008A3659" w:rsidRPr="008A3659" w:rsidP="00BC7B23">
      <w:pPr>
        <w:pStyle w:val="BodyText"/>
        <w:spacing w:before="240" w:line="360" w:lineRule="auto"/>
        <w:rPr>
          <w:rFonts w:asciiTheme="minorHAnsi" w:hAnsiTheme="minorHAnsi" w:cstheme="minorHAnsi"/>
          <w:color w:val="FF0000"/>
          <w:sz w:val="12"/>
          <w:szCs w:val="12"/>
        </w:rPr>
      </w:pPr>
    </w:p>
    <w:p w:rsidR="00287D10" w:rsidP="009B6B9B">
      <w:pPr>
        <w:tabs>
          <w:tab w:val="left" w:pos="288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B6B9B" w:rsidRPr="009B6B9B" w:rsidP="009B6B9B">
      <w:pPr>
        <w:tabs>
          <w:tab w:val="left" w:pos="288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B6B9B">
        <w:rPr>
          <w:rFonts w:asciiTheme="minorHAnsi" w:hAnsiTheme="minorHAnsi" w:cstheme="minorHAnsi"/>
          <w:b/>
          <w:sz w:val="24"/>
          <w:szCs w:val="24"/>
        </w:rPr>
        <w:t>Rosemeire de Souza Cardoso Barbosa</w:t>
      </w:r>
    </w:p>
    <w:p w:rsidR="009B6B9B" w:rsidRPr="009B6B9B" w:rsidP="009B6B9B">
      <w:pPr>
        <w:tabs>
          <w:tab w:val="left" w:pos="288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B6B9B">
        <w:rPr>
          <w:rFonts w:asciiTheme="minorHAnsi" w:hAnsiTheme="minorHAnsi" w:cstheme="minorHAnsi"/>
          <w:b/>
          <w:sz w:val="24"/>
          <w:szCs w:val="24"/>
        </w:rPr>
        <w:t>Procuradora – OAB/SP 308.298</w:t>
      </w:r>
    </w:p>
    <w:p w:rsidR="00942B12" w:rsidRPr="008B67E2" w:rsidP="009B6B9B">
      <w:pPr>
        <w:jc w:val="center"/>
        <w:rPr>
          <w:rFonts w:asciiTheme="minorHAnsi" w:hAnsiTheme="minorHAnsi" w:cstheme="minorHAnsi"/>
          <w:sz w:val="24"/>
          <w:szCs w:val="24"/>
        </w:rPr>
      </w:pPr>
      <w:r w:rsidRPr="009B6B9B">
        <w:rPr>
          <w:rFonts w:asciiTheme="minorHAnsi" w:hAnsiTheme="minorHAnsi" w:cstheme="minorHAnsi"/>
          <w:sz w:val="24"/>
          <w:szCs w:val="24"/>
        </w:rPr>
        <w:t>Assinatura Eletrônica</w:t>
      </w:r>
    </w:p>
    <w:sectPr w:rsidSect="00287D10">
      <w:headerReference w:type="default" r:id="rId6"/>
      <w:footerReference w:type="default" r:id="rId7"/>
      <w:type w:val="continuous"/>
      <w:pgSz w:w="11906" w:h="16838"/>
      <w:pgMar w:top="266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A64832" w:rsidP="006D1008">
            <w:pPr>
              <w:pStyle w:val="Footer"/>
              <w:jc w:val="right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A64832" w:rsidP="006D1008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A64832" w:rsidP="006D1008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>: www.camaravalinhos.sp.gov.br</w:t>
            </w:r>
          </w:p>
          <w:p w:rsidR="00330380" w:rsidP="00496AE3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D56D6F">
              <w:rPr>
                <w:b/>
                <w:bCs/>
                <w:noProof/>
                <w:sz w:val="18"/>
                <w:szCs w:val="18"/>
              </w:rPr>
              <w:t>7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D56D6F">
              <w:rPr>
                <w:b/>
                <w:bCs/>
                <w:noProof/>
                <w:sz w:val="18"/>
                <w:szCs w:val="18"/>
              </w:rPr>
              <w:t>7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64832" w:rsidRPr="00CC028B" w:rsidP="00496AE3">
    <w:pPr>
      <w:pStyle w:val="Footer"/>
      <w:jc w:val="right"/>
      <w:rPr>
        <w:rFonts w:asciiTheme="minorHAnsi" w:hAnsiTheme="minorHAnsi" w:cstheme="minorHAnsi"/>
        <w:sz w:val="18"/>
        <w:szCs w:val="18"/>
      </w:rPr>
    </w:pPr>
    <w:r w:rsidRPr="00CC028B">
      <w:rPr>
        <w:rFonts w:asciiTheme="minorHAnsi" w:hAnsiTheme="minorHAnsi" w:cstheme="minorHAnsi"/>
        <w:sz w:val="18"/>
        <w:szCs w:val="18"/>
      </w:rPr>
      <w:t xml:space="preserve">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A64832">
      <w:r>
        <w:separator/>
      </w:r>
    </w:p>
  </w:footnote>
  <w:footnote w:type="continuationSeparator" w:id="1">
    <w:p w:rsidR="00A64832">
      <w:r>
        <w:continuationSeparator/>
      </w:r>
    </w:p>
  </w:footnote>
  <w:footnote w:id="2">
    <w:p w:rsidR="00A96F09" w:rsidRPr="00287D10" w:rsidP="00A96F09">
      <w:pPr>
        <w:pStyle w:val="Default"/>
        <w:jc w:val="both"/>
        <w:rPr>
          <w:rFonts w:asciiTheme="minorHAnsi" w:hAnsiTheme="minorHAnsi" w:cstheme="minorHAnsi"/>
          <w:i/>
          <w:color w:val="auto"/>
          <w:sz w:val="20"/>
          <w:szCs w:val="20"/>
        </w:rPr>
      </w:pPr>
      <w:r>
        <w:rPr>
          <w:rStyle w:val="FootnoteReference"/>
        </w:rPr>
        <w:footnoteRef/>
      </w:r>
      <w:r w:rsidRPr="00A96F09">
        <w:rPr>
          <w:rFonts w:asciiTheme="minorHAnsi" w:hAnsiTheme="minorHAnsi" w:cstheme="minorHAnsi"/>
          <w:i/>
          <w:color w:val="auto"/>
          <w:sz w:val="20"/>
          <w:szCs w:val="20"/>
        </w:rPr>
        <w:t>Nesse sentido é o entendimento do C. Supremo Tribunal Federal</w:t>
      </w:r>
      <w:r>
        <w:rPr>
          <w:rFonts w:asciiTheme="minorHAnsi" w:hAnsiTheme="minorHAnsi" w:cstheme="minorHAnsi"/>
          <w:i/>
          <w:color w:val="auto"/>
          <w:sz w:val="20"/>
          <w:szCs w:val="20"/>
        </w:rPr>
        <w:t>:</w:t>
      </w:r>
      <w:r w:rsidRPr="008B67E2">
        <w:rPr>
          <w:rFonts w:asciiTheme="minorHAnsi" w:hAnsiTheme="minorHAnsi" w:cstheme="minorHAnsi"/>
        </w:rPr>
        <w:t xml:space="preserve"> </w:t>
      </w:r>
      <w:r w:rsidRPr="008B67E2">
        <w:rPr>
          <w:rFonts w:asciiTheme="minorHAnsi" w:hAnsiTheme="minorHAnsi" w:cstheme="minorHAnsi"/>
          <w:i/>
          <w:color w:val="auto"/>
          <w:sz w:val="22"/>
          <w:szCs w:val="22"/>
        </w:rPr>
        <w:t>“</w:t>
      </w:r>
      <w:r w:rsidRPr="00287D10">
        <w:rPr>
          <w:rFonts w:asciiTheme="minorHAnsi" w:hAnsiTheme="minorHAnsi" w:cstheme="minorHAnsi"/>
          <w:i/>
          <w:color w:val="auto"/>
          <w:sz w:val="20"/>
          <w:szCs w:val="20"/>
        </w:rPr>
        <w:t xml:space="preserve">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287D10">
        <w:rPr>
          <w:rFonts w:asciiTheme="minorHAnsi" w:hAnsiTheme="minorHAnsi" w:cstheme="minorHAnsi"/>
          <w:i/>
          <w:color w:val="auto"/>
          <w:sz w:val="20"/>
          <w:szCs w:val="20"/>
        </w:rPr>
        <w:t>exoficio</w:t>
      </w:r>
      <w:r w:rsidRPr="00287D10">
        <w:rPr>
          <w:rFonts w:asciiTheme="minorHAnsi" w:hAnsiTheme="minorHAnsi" w:cstheme="minorHAnsi"/>
          <w:i/>
          <w:color w:val="auto"/>
          <w:sz w:val="20"/>
          <w:szCs w:val="20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</w:t>
      </w:r>
      <w:r w:rsidRPr="00287D10">
        <w:rPr>
          <w:rFonts w:asciiTheme="minorHAnsi" w:hAnsiTheme="minorHAnsi" w:cstheme="minorHAnsi"/>
          <w:i/>
          <w:color w:val="auto"/>
          <w:sz w:val="20"/>
          <w:szCs w:val="20"/>
        </w:rPr>
        <w:t>)</w:t>
      </w:r>
      <w:r w:rsidRPr="00287D10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</w:p>
    <w:p w:rsidR="00A96F09" w:rsidP="00A96F0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4832" w:rsidP="00496AE3">
    <w:pPr>
      <w:pStyle w:val="Header"/>
      <w:jc w:val="center"/>
      <w:rPr>
        <w:b/>
        <w:sz w:val="26"/>
        <w:lang w:val="pt-PT"/>
      </w:rPr>
    </w:pPr>
  </w:p>
  <w:p w:rsidR="00A64832" w:rsidP="00496AE3">
    <w:pPr>
      <w:pStyle w:val="Header"/>
      <w:jc w:val="center"/>
      <w:rPr>
        <w:b/>
        <w:sz w:val="26"/>
        <w:lang w:val="pt-P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4832" w:rsidP="00496AE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69361804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26177023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62337882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A64832" w:rsidP="00496AE3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35404148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42724999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A64832" w:rsidP="00496AE3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A64832" w:rsidP="00496AE3">
    <w:pPr>
      <w:pStyle w:val="Header"/>
      <w:jc w:val="center"/>
    </w:pPr>
    <w:r>
      <w:rPr>
        <w:lang w:val="pt-PT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23"/>
    <w:rsid w:val="00047019"/>
    <w:rsid w:val="0006519E"/>
    <w:rsid w:val="00092394"/>
    <w:rsid w:val="000A285B"/>
    <w:rsid w:val="000A3873"/>
    <w:rsid w:val="000D4061"/>
    <w:rsid w:val="00102C41"/>
    <w:rsid w:val="0011121D"/>
    <w:rsid w:val="00176014"/>
    <w:rsid w:val="001A4329"/>
    <w:rsid w:val="001A6A6D"/>
    <w:rsid w:val="001C3EF4"/>
    <w:rsid w:val="001C4409"/>
    <w:rsid w:val="00240EE3"/>
    <w:rsid w:val="002635B7"/>
    <w:rsid w:val="002712E9"/>
    <w:rsid w:val="00287D10"/>
    <w:rsid w:val="00290365"/>
    <w:rsid w:val="002B756F"/>
    <w:rsid w:val="002C72B1"/>
    <w:rsid w:val="003110FB"/>
    <w:rsid w:val="00330380"/>
    <w:rsid w:val="0035614F"/>
    <w:rsid w:val="00385030"/>
    <w:rsid w:val="00386B56"/>
    <w:rsid w:val="0039714D"/>
    <w:rsid w:val="003A419C"/>
    <w:rsid w:val="004201FD"/>
    <w:rsid w:val="00491521"/>
    <w:rsid w:val="00492D99"/>
    <w:rsid w:val="00496AE3"/>
    <w:rsid w:val="004B1EC0"/>
    <w:rsid w:val="004E1DAE"/>
    <w:rsid w:val="004F04BB"/>
    <w:rsid w:val="0053705A"/>
    <w:rsid w:val="005A6B0F"/>
    <w:rsid w:val="005B3FBC"/>
    <w:rsid w:val="005B411E"/>
    <w:rsid w:val="005C225B"/>
    <w:rsid w:val="005C7DE3"/>
    <w:rsid w:val="005D6640"/>
    <w:rsid w:val="0060143B"/>
    <w:rsid w:val="0068114B"/>
    <w:rsid w:val="0068682D"/>
    <w:rsid w:val="006879F6"/>
    <w:rsid w:val="006D1008"/>
    <w:rsid w:val="006E0843"/>
    <w:rsid w:val="006E0D35"/>
    <w:rsid w:val="007163D7"/>
    <w:rsid w:val="00720462"/>
    <w:rsid w:val="00775511"/>
    <w:rsid w:val="00787712"/>
    <w:rsid w:val="00792DC2"/>
    <w:rsid w:val="007A6DB6"/>
    <w:rsid w:val="007B1A2B"/>
    <w:rsid w:val="007C3334"/>
    <w:rsid w:val="0081248F"/>
    <w:rsid w:val="008474C2"/>
    <w:rsid w:val="00882694"/>
    <w:rsid w:val="008839D4"/>
    <w:rsid w:val="00891543"/>
    <w:rsid w:val="008A3659"/>
    <w:rsid w:val="008B67E2"/>
    <w:rsid w:val="008C4B19"/>
    <w:rsid w:val="008D111C"/>
    <w:rsid w:val="008D55AB"/>
    <w:rsid w:val="008E6DA9"/>
    <w:rsid w:val="008F0BD6"/>
    <w:rsid w:val="008F2188"/>
    <w:rsid w:val="008F334C"/>
    <w:rsid w:val="008F402A"/>
    <w:rsid w:val="00910C59"/>
    <w:rsid w:val="00913125"/>
    <w:rsid w:val="009142B6"/>
    <w:rsid w:val="00937280"/>
    <w:rsid w:val="00942B12"/>
    <w:rsid w:val="00972BE9"/>
    <w:rsid w:val="00992903"/>
    <w:rsid w:val="009B6B9B"/>
    <w:rsid w:val="009D07C3"/>
    <w:rsid w:val="00A146F1"/>
    <w:rsid w:val="00A23443"/>
    <w:rsid w:val="00A42EB0"/>
    <w:rsid w:val="00A54C0F"/>
    <w:rsid w:val="00A64832"/>
    <w:rsid w:val="00A66B2B"/>
    <w:rsid w:val="00A837FA"/>
    <w:rsid w:val="00A842FB"/>
    <w:rsid w:val="00A93DFF"/>
    <w:rsid w:val="00A96F09"/>
    <w:rsid w:val="00AC37A5"/>
    <w:rsid w:val="00AE0522"/>
    <w:rsid w:val="00AF63BE"/>
    <w:rsid w:val="00B04E50"/>
    <w:rsid w:val="00B16224"/>
    <w:rsid w:val="00B21012"/>
    <w:rsid w:val="00B3117F"/>
    <w:rsid w:val="00B351E2"/>
    <w:rsid w:val="00B667F0"/>
    <w:rsid w:val="00B8195A"/>
    <w:rsid w:val="00B94496"/>
    <w:rsid w:val="00BB12A6"/>
    <w:rsid w:val="00BB1719"/>
    <w:rsid w:val="00BC7B23"/>
    <w:rsid w:val="00BD03A3"/>
    <w:rsid w:val="00BD344D"/>
    <w:rsid w:val="00BF029B"/>
    <w:rsid w:val="00BF539B"/>
    <w:rsid w:val="00C0082F"/>
    <w:rsid w:val="00C02A5E"/>
    <w:rsid w:val="00C17B4E"/>
    <w:rsid w:val="00C41E28"/>
    <w:rsid w:val="00C65B70"/>
    <w:rsid w:val="00CA445C"/>
    <w:rsid w:val="00CB134B"/>
    <w:rsid w:val="00CC028B"/>
    <w:rsid w:val="00CD21CB"/>
    <w:rsid w:val="00CD71B2"/>
    <w:rsid w:val="00D4175E"/>
    <w:rsid w:val="00D43EDB"/>
    <w:rsid w:val="00D56D6F"/>
    <w:rsid w:val="00D614DE"/>
    <w:rsid w:val="00DE623B"/>
    <w:rsid w:val="00DF2518"/>
    <w:rsid w:val="00DF75AC"/>
    <w:rsid w:val="00E66BD6"/>
    <w:rsid w:val="00EA3220"/>
    <w:rsid w:val="00EA41C7"/>
    <w:rsid w:val="00EC66FA"/>
    <w:rsid w:val="00F33495"/>
    <w:rsid w:val="00F53BEF"/>
    <w:rsid w:val="00F6243C"/>
    <w:rsid w:val="00F90F1A"/>
    <w:rsid w:val="00F923D1"/>
    <w:rsid w:val="00FA055F"/>
    <w:rsid w:val="00FD2D0F"/>
    <w:rsid w:val="00FD4C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7B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BC7B23"/>
    <w:pPr>
      <w:spacing w:after="120"/>
    </w:pPr>
    <w:rPr>
      <w:rFonts w:ascii="Arial" w:hAnsi="Arial"/>
      <w:sz w:val="24"/>
    </w:rPr>
  </w:style>
  <w:style w:type="character" w:customStyle="1" w:styleId="CorpodetextoChar">
    <w:name w:val="Corpo de texto Char"/>
    <w:basedOn w:val="DefaultParagraphFont"/>
    <w:link w:val="BodyText"/>
    <w:uiPriority w:val="99"/>
    <w:rsid w:val="00BC7B23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BC7B23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link w:val="RodapChar"/>
    <w:unhideWhenUsed/>
    <w:rsid w:val="00BC7B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BC7B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850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8503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highlight">
    <w:name w:val="highlight"/>
    <w:basedOn w:val="DefaultParagraphFont"/>
    <w:rsid w:val="007A6DB6"/>
  </w:style>
  <w:style w:type="paragraph" w:styleId="Header">
    <w:name w:val="header"/>
    <w:basedOn w:val="Normal"/>
    <w:link w:val="CabealhoChar"/>
    <w:unhideWhenUsed/>
    <w:rsid w:val="00496A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496AE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287D10"/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287D1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287D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46E79-160D-4427-98D8-61DE642D5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2040</Words>
  <Characters>11016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7</cp:revision>
  <cp:lastPrinted>2022-02-08T14:06:00Z</cp:lastPrinted>
  <dcterms:created xsi:type="dcterms:W3CDTF">2023-08-14T15:39:00Z</dcterms:created>
  <dcterms:modified xsi:type="dcterms:W3CDTF">2023-11-24T16:32:00Z</dcterms:modified>
</cp:coreProperties>
</file>