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4B4374" w:rsidP="00A779B8">
      <w:pPr>
        <w:pStyle w:val="Default"/>
        <w:jc w:val="both"/>
        <w:rPr>
          <w:rFonts w:ascii="Calibri" w:hAnsi="Calibri" w:cs="Calibri"/>
          <w:b/>
          <w:color w:val="auto"/>
        </w:rPr>
      </w:pPr>
    </w:p>
    <w:p w:rsidR="00A779B8" w:rsidRPr="004B4374" w:rsidP="00A779B8">
      <w:pPr>
        <w:pStyle w:val="Default"/>
        <w:jc w:val="both"/>
        <w:rPr>
          <w:rFonts w:ascii="Calibri" w:eastAsia="Times New Roman" w:hAnsi="Calibri" w:cs="Calibri"/>
          <w:bCs/>
          <w:color w:val="auto"/>
        </w:rPr>
      </w:pPr>
      <w:r w:rsidRPr="004B4374">
        <w:rPr>
          <w:rFonts w:ascii="Calibri" w:hAnsi="Calibri" w:cs="Calibri"/>
          <w:b/>
          <w:color w:val="auto"/>
        </w:rPr>
        <w:t>Parecer Jurídico nº</w:t>
      </w:r>
      <w:r w:rsidRPr="004B4374" w:rsidR="004B4374">
        <w:rPr>
          <w:rFonts w:ascii="Calibri" w:hAnsi="Calibri" w:cs="Calibri"/>
          <w:b/>
          <w:color w:val="auto"/>
        </w:rPr>
        <w:t>442</w:t>
      </w:r>
      <w:r w:rsidRPr="004B4374">
        <w:rPr>
          <w:rFonts w:ascii="Calibri" w:hAnsi="Calibri" w:cs="Calibri"/>
          <w:b/>
          <w:color w:val="auto"/>
        </w:rPr>
        <w:t>/202</w:t>
      </w:r>
      <w:r w:rsidRPr="004B4374" w:rsidR="00473A76">
        <w:rPr>
          <w:rFonts w:ascii="Calibri" w:hAnsi="Calibri" w:cs="Calibri"/>
          <w:b/>
          <w:color w:val="auto"/>
        </w:rPr>
        <w:t>3</w:t>
      </w:r>
      <w:r w:rsidRPr="004B4374">
        <w:rPr>
          <w:rFonts w:ascii="Calibri" w:hAnsi="Calibri" w:cs="Calibri"/>
          <w:b/>
          <w:color w:val="auto"/>
        </w:rPr>
        <w:t>.</w:t>
      </w:r>
    </w:p>
    <w:p w:rsidR="00200A82" w:rsidRPr="004B4374" w:rsidP="00473A76">
      <w:pPr>
        <w:spacing w:after="0" w:line="240" w:lineRule="auto"/>
        <w:jc w:val="both"/>
        <w:rPr>
          <w:rFonts w:ascii="Calibri" w:eastAsia="Calibri" w:hAnsi="Calibri" w:cs="Calibri"/>
          <w:szCs w:val="24"/>
        </w:rPr>
      </w:pPr>
      <w:r w:rsidRPr="004B4374">
        <w:rPr>
          <w:rFonts w:ascii="Calibri" w:hAnsi="Calibri" w:cs="Calibri"/>
          <w:b/>
          <w:bCs/>
          <w:szCs w:val="24"/>
        </w:rPr>
        <w:t xml:space="preserve">Assunto: </w:t>
      </w:r>
      <w:r w:rsidRPr="004B4374" w:rsidR="00CB1EDF">
        <w:rPr>
          <w:rFonts w:ascii="Calibri" w:hAnsi="Calibri" w:cs="Calibri"/>
          <w:b/>
          <w:bCs/>
          <w:szCs w:val="24"/>
        </w:rPr>
        <w:t>Emenda 27</w:t>
      </w:r>
      <w:r w:rsidRPr="004B4374" w:rsidR="00A779B8">
        <w:rPr>
          <w:rFonts w:ascii="Calibri" w:hAnsi="Calibri" w:cs="Calibri"/>
          <w:b/>
          <w:bCs/>
          <w:szCs w:val="24"/>
        </w:rPr>
        <w:t xml:space="preserve"> ao</w:t>
      </w:r>
      <w:r w:rsidRPr="004B4374" w:rsidR="00FC140B">
        <w:rPr>
          <w:rFonts w:ascii="Calibri" w:hAnsi="Calibri" w:cs="Calibri"/>
          <w:b/>
          <w:bCs/>
          <w:szCs w:val="24"/>
        </w:rPr>
        <w:t xml:space="preserve"> </w:t>
      </w:r>
      <w:r w:rsidRPr="004B4374" w:rsidR="00FC140B">
        <w:rPr>
          <w:rFonts w:ascii="Calibri" w:hAnsi="Calibri" w:cs="Calibri"/>
          <w:b/>
          <w:bCs/>
        </w:rPr>
        <w:t xml:space="preserve">Projeto de Lei nº </w:t>
      </w:r>
      <w:r w:rsidRPr="004B4374">
        <w:rPr>
          <w:rFonts w:ascii="Calibri" w:hAnsi="Calibri" w:cs="Calibri"/>
          <w:b/>
          <w:bCs/>
        </w:rPr>
        <w:t>185</w:t>
      </w:r>
      <w:r w:rsidRPr="004B4374" w:rsidR="001604ED">
        <w:rPr>
          <w:rFonts w:ascii="Calibri" w:hAnsi="Calibri" w:cs="Calibri"/>
          <w:b/>
          <w:bCs/>
        </w:rPr>
        <w:t>/202</w:t>
      </w:r>
      <w:r w:rsidRPr="004B4374">
        <w:rPr>
          <w:rFonts w:ascii="Calibri" w:hAnsi="Calibri" w:cs="Calibri"/>
          <w:b/>
          <w:bCs/>
        </w:rPr>
        <w:t>2</w:t>
      </w:r>
      <w:r w:rsidRPr="004B4374" w:rsidR="0023693B">
        <w:rPr>
          <w:rFonts w:ascii="Calibri" w:hAnsi="Calibri" w:cs="Calibri"/>
          <w:b/>
          <w:bCs/>
        </w:rPr>
        <w:t xml:space="preserve"> </w:t>
      </w:r>
      <w:r w:rsidRPr="004B4374" w:rsidR="000368DD">
        <w:rPr>
          <w:rFonts w:ascii="Calibri" w:hAnsi="Calibri" w:cs="Calibri"/>
          <w:bCs/>
        </w:rPr>
        <w:t xml:space="preserve">que </w:t>
      </w:r>
      <w:r w:rsidRPr="004B4374" w:rsidR="000368DD">
        <w:rPr>
          <w:rFonts w:ascii="Calibri" w:eastAsia="Calibri" w:hAnsi="Calibri" w:cs="Calibri"/>
          <w:szCs w:val="24"/>
        </w:rPr>
        <w:t>“</w:t>
      </w:r>
      <w:r w:rsidRPr="004B4374">
        <w:rPr>
          <w:rFonts w:ascii="Calibri" w:eastAsia="Calibri" w:hAnsi="Calibri" w:cs="Calibri"/>
          <w:szCs w:val="24"/>
        </w:rPr>
        <w:t>Institui o Plano Diretor Municipal de Valinhos e dá outras providências</w:t>
      </w:r>
      <w:r w:rsidRPr="004B4374" w:rsidR="0071039A">
        <w:rPr>
          <w:rFonts w:ascii="Calibri" w:eastAsia="Calibri" w:hAnsi="Calibri" w:cs="Calibri"/>
          <w:szCs w:val="24"/>
        </w:rPr>
        <w:t>”</w:t>
      </w:r>
      <w:r w:rsidRPr="004B4374">
        <w:rPr>
          <w:rFonts w:ascii="Calibri" w:eastAsia="Calibri" w:hAnsi="Calibri" w:cs="Calibri"/>
          <w:szCs w:val="24"/>
        </w:rPr>
        <w:t>.</w:t>
      </w:r>
    </w:p>
    <w:p w:rsidR="00A779B8" w:rsidRPr="004B4374" w:rsidP="0023693B">
      <w:pPr>
        <w:spacing w:after="0" w:line="240" w:lineRule="auto"/>
        <w:jc w:val="both"/>
        <w:rPr>
          <w:rFonts w:ascii="Calibri" w:hAnsi="Calibri" w:cs="Calibri"/>
          <w:b/>
          <w:bCs/>
          <w:szCs w:val="24"/>
        </w:rPr>
      </w:pPr>
      <w:r w:rsidRPr="004B4374">
        <w:rPr>
          <w:rFonts w:ascii="Calibri" w:hAnsi="Calibri" w:cs="Calibri"/>
          <w:b/>
          <w:bCs/>
        </w:rPr>
        <w:t>Emenda de a</w:t>
      </w:r>
      <w:r w:rsidRPr="004B4374" w:rsidR="0023693B">
        <w:rPr>
          <w:rFonts w:ascii="Calibri" w:hAnsi="Calibri" w:cs="Calibri"/>
          <w:b/>
          <w:bCs/>
          <w:szCs w:val="24"/>
        </w:rPr>
        <w:t xml:space="preserve">utoria </w:t>
      </w:r>
      <w:r w:rsidRPr="004B4374" w:rsidR="00200A82">
        <w:rPr>
          <w:rFonts w:ascii="Calibri" w:hAnsi="Calibri" w:cs="Calibri"/>
          <w:b/>
          <w:bCs/>
          <w:szCs w:val="24"/>
        </w:rPr>
        <w:t>da Comissão de Sistematização</w:t>
      </w:r>
    </w:p>
    <w:p w:rsidR="00A779B8" w:rsidRPr="004B4374" w:rsidP="00A779B8">
      <w:pPr>
        <w:pStyle w:val="Default"/>
        <w:jc w:val="both"/>
        <w:rPr>
          <w:rFonts w:ascii="Calibri" w:hAnsi="Calibri" w:cs="Calibri"/>
          <w:b/>
          <w:i/>
          <w:color w:val="auto"/>
        </w:rPr>
      </w:pPr>
    </w:p>
    <w:p w:rsidR="000F259D" w:rsidRPr="004B4374" w:rsidP="00A779B8">
      <w:pPr>
        <w:pStyle w:val="Default"/>
        <w:jc w:val="both"/>
        <w:rPr>
          <w:rFonts w:ascii="Calibri" w:hAnsi="Calibri" w:cs="Calibri"/>
          <w:b/>
          <w:i/>
          <w:color w:val="auto"/>
        </w:rPr>
      </w:pPr>
    </w:p>
    <w:p w:rsidR="000F259D" w:rsidRPr="004B4374" w:rsidP="00A779B8">
      <w:pPr>
        <w:pStyle w:val="Default"/>
        <w:jc w:val="both"/>
        <w:rPr>
          <w:rFonts w:ascii="Calibri" w:hAnsi="Calibri" w:cs="Calibri"/>
          <w:b/>
          <w:i/>
          <w:color w:val="auto"/>
        </w:rPr>
      </w:pPr>
    </w:p>
    <w:p w:rsidR="000F259D" w:rsidRPr="004B4374" w:rsidP="00A779B8">
      <w:pPr>
        <w:pStyle w:val="Default"/>
        <w:jc w:val="both"/>
        <w:rPr>
          <w:rFonts w:ascii="Calibri" w:hAnsi="Calibri" w:cs="Calibri"/>
          <w:b/>
          <w:i/>
          <w:color w:val="auto"/>
        </w:rPr>
      </w:pPr>
    </w:p>
    <w:p w:rsidR="00A779B8" w:rsidRPr="004B4374" w:rsidP="00A779B8">
      <w:pPr>
        <w:pStyle w:val="Default"/>
        <w:jc w:val="both"/>
        <w:rPr>
          <w:rFonts w:ascii="Calibri" w:hAnsi="Calibri" w:cs="Calibri"/>
          <w:b/>
          <w:i/>
          <w:color w:val="auto"/>
        </w:rPr>
      </w:pPr>
      <w:r w:rsidRPr="004B4374">
        <w:rPr>
          <w:rFonts w:ascii="Calibri" w:hAnsi="Calibri" w:cs="Calibri"/>
          <w:b/>
          <w:i/>
          <w:color w:val="auto"/>
        </w:rPr>
        <w:t>À Comissão de Justiça e Redação,</w:t>
      </w:r>
    </w:p>
    <w:p w:rsidR="00A779B8" w:rsidRPr="004B4374" w:rsidP="00A779B8">
      <w:pPr>
        <w:pStyle w:val="Default"/>
        <w:jc w:val="both"/>
        <w:rPr>
          <w:rFonts w:ascii="Calibri" w:hAnsi="Calibri" w:cs="Calibri"/>
          <w:b/>
          <w:i/>
          <w:color w:val="auto"/>
        </w:rPr>
      </w:pPr>
      <w:r w:rsidRPr="004B4374">
        <w:rPr>
          <w:rFonts w:ascii="Calibri" w:hAnsi="Calibri" w:cs="Calibri"/>
          <w:b/>
          <w:i/>
          <w:color w:val="auto"/>
        </w:rPr>
        <w:t xml:space="preserve">Exmo. </w:t>
      </w:r>
      <w:r w:rsidRPr="004B4374" w:rsidR="00473A76">
        <w:rPr>
          <w:rFonts w:ascii="Calibri" w:hAnsi="Calibri" w:cs="Calibri"/>
          <w:b/>
          <w:i/>
          <w:color w:val="auto"/>
        </w:rPr>
        <w:t>Sr.</w:t>
      </w:r>
      <w:r w:rsidRPr="004B4374" w:rsidR="00473A76">
        <w:rPr>
          <w:rFonts w:ascii="Calibri" w:hAnsi="Calibri" w:cs="Calibri"/>
          <w:b/>
          <w:i/>
          <w:color w:val="auto"/>
        </w:rPr>
        <w:t xml:space="preserve"> </w:t>
      </w:r>
      <w:r w:rsidRPr="004B4374">
        <w:rPr>
          <w:rFonts w:ascii="Calibri" w:hAnsi="Calibri" w:cs="Calibri"/>
          <w:b/>
          <w:i/>
          <w:color w:val="auto"/>
        </w:rPr>
        <w:t>Presidente</w:t>
      </w:r>
      <w:r w:rsidRPr="004B4374" w:rsidR="00473A76">
        <w:rPr>
          <w:rFonts w:ascii="Calibri" w:hAnsi="Calibri" w:cs="Calibri"/>
          <w:b/>
          <w:i/>
          <w:color w:val="auto"/>
        </w:rPr>
        <w:t xml:space="preserve"> Vereador Gabriel Bueno</w:t>
      </w:r>
      <w:r w:rsidRPr="004B4374">
        <w:rPr>
          <w:rFonts w:ascii="Calibri" w:hAnsi="Calibri" w:cs="Calibri"/>
          <w:b/>
          <w:i/>
          <w:color w:val="auto"/>
        </w:rPr>
        <w:t>.</w:t>
      </w:r>
    </w:p>
    <w:p w:rsidR="00A779B8" w:rsidRPr="004B4374" w:rsidP="00A779B8">
      <w:pPr>
        <w:pStyle w:val="Default"/>
        <w:jc w:val="both"/>
        <w:rPr>
          <w:rFonts w:ascii="Calibri" w:hAnsi="Calibri" w:cs="Calibri"/>
          <w:b/>
          <w:i/>
          <w:color w:val="auto"/>
        </w:rPr>
      </w:pPr>
    </w:p>
    <w:p w:rsidR="00A779B8" w:rsidRPr="004B4374" w:rsidP="00A779B8">
      <w:pPr>
        <w:pStyle w:val="Default"/>
        <w:spacing w:after="120" w:line="360" w:lineRule="auto"/>
        <w:jc w:val="both"/>
        <w:rPr>
          <w:rFonts w:ascii="Calibri" w:hAnsi="Calibri" w:cs="Calibri"/>
          <w:color w:val="auto"/>
          <w:sz w:val="12"/>
          <w:szCs w:val="12"/>
        </w:rPr>
      </w:pPr>
    </w:p>
    <w:p w:rsidR="000F259D" w:rsidRPr="004B4374" w:rsidP="00A779B8">
      <w:pPr>
        <w:pStyle w:val="Default"/>
        <w:spacing w:after="120" w:line="360" w:lineRule="auto"/>
        <w:jc w:val="both"/>
        <w:rPr>
          <w:rFonts w:ascii="Calibri" w:hAnsi="Calibri" w:cs="Calibri"/>
          <w:color w:val="auto"/>
          <w:sz w:val="12"/>
          <w:szCs w:val="12"/>
        </w:rPr>
      </w:pPr>
    </w:p>
    <w:p w:rsidR="000F259D" w:rsidRPr="004B4374" w:rsidP="00A779B8">
      <w:pPr>
        <w:pStyle w:val="Default"/>
        <w:spacing w:after="120" w:line="360" w:lineRule="auto"/>
        <w:jc w:val="both"/>
        <w:rPr>
          <w:rFonts w:ascii="Calibri" w:hAnsi="Calibri" w:cs="Calibri"/>
          <w:color w:val="auto"/>
          <w:sz w:val="12"/>
          <w:szCs w:val="12"/>
        </w:rPr>
      </w:pPr>
    </w:p>
    <w:p w:rsidR="0023693B" w:rsidRPr="004B4374" w:rsidP="000368DD">
      <w:pPr>
        <w:pStyle w:val="Default"/>
        <w:spacing w:after="240" w:line="360" w:lineRule="auto"/>
        <w:ind w:firstLine="2268"/>
        <w:jc w:val="both"/>
        <w:rPr>
          <w:rFonts w:ascii="Calibri" w:hAnsi="Calibri" w:cs="Calibri"/>
          <w:i/>
          <w:color w:val="auto"/>
        </w:rPr>
      </w:pPr>
      <w:r w:rsidRPr="004B4374">
        <w:rPr>
          <w:rFonts w:ascii="Calibri" w:hAnsi="Calibri" w:cs="Calibri"/>
          <w:color w:val="auto"/>
        </w:rPr>
        <w:t>Trata-se de parecer jurídico relativo à emenda em epígrafe que</w:t>
      </w:r>
      <w:r w:rsidRPr="004B4374" w:rsidR="00473A76">
        <w:rPr>
          <w:rFonts w:ascii="Calibri" w:hAnsi="Calibri" w:cs="Calibri"/>
          <w:color w:val="auto"/>
        </w:rPr>
        <w:t xml:space="preserve"> tenciona</w:t>
      </w:r>
      <w:r w:rsidRPr="004B4374" w:rsidR="000368DD">
        <w:rPr>
          <w:rFonts w:ascii="Calibri" w:hAnsi="Calibri" w:cs="Calibri"/>
          <w:color w:val="auto"/>
        </w:rPr>
        <w:t xml:space="preserve"> </w:t>
      </w:r>
      <w:r w:rsidRPr="004B4374" w:rsidR="00D7536E">
        <w:rPr>
          <w:rFonts w:ascii="Calibri" w:hAnsi="Calibri" w:cs="Calibri"/>
          <w:color w:val="auto"/>
        </w:rPr>
        <w:t>incluir</w:t>
      </w:r>
      <w:r w:rsidRPr="004B4374" w:rsidR="00CB1EDF">
        <w:rPr>
          <w:rFonts w:ascii="Calibri" w:hAnsi="Calibri" w:cs="Calibri"/>
          <w:color w:val="auto"/>
        </w:rPr>
        <w:t xml:space="preserve"> o inciso IX ao art. 86</w:t>
      </w:r>
      <w:r w:rsidRPr="004B4374" w:rsidR="001E6618">
        <w:rPr>
          <w:rFonts w:ascii="Calibri" w:hAnsi="Calibri" w:cs="Calibri"/>
          <w:color w:val="auto"/>
        </w:rPr>
        <w:t xml:space="preserve"> e </w:t>
      </w:r>
      <w:r w:rsidRPr="004B4374" w:rsidR="00CB1EDF">
        <w:rPr>
          <w:rFonts w:ascii="Calibri" w:hAnsi="Calibri" w:cs="Calibri"/>
          <w:color w:val="auto"/>
        </w:rPr>
        <w:t>a Seção IX ao Capítulo III do Título IV</w:t>
      </w:r>
      <w:r w:rsidRPr="004B4374" w:rsidR="001E6618">
        <w:rPr>
          <w:rFonts w:ascii="Calibri" w:hAnsi="Calibri" w:cs="Calibri"/>
          <w:color w:val="auto"/>
        </w:rPr>
        <w:t xml:space="preserve"> e</w:t>
      </w:r>
      <w:r w:rsidRPr="004B4374" w:rsidR="001E6618">
        <w:rPr>
          <w:rFonts w:ascii="Calibri" w:hAnsi="Calibri" w:cs="Calibri"/>
          <w:color w:val="auto"/>
        </w:rPr>
        <w:t xml:space="preserve"> </w:t>
      </w:r>
      <w:r w:rsidRPr="004B4374" w:rsidR="00CB1EDF">
        <w:rPr>
          <w:rFonts w:ascii="Calibri" w:hAnsi="Calibri" w:cs="Calibri"/>
          <w:color w:val="auto"/>
        </w:rPr>
        <w:t xml:space="preserve"> </w:t>
      </w:r>
      <w:r w:rsidRPr="004B4374" w:rsidR="00CB1EDF">
        <w:rPr>
          <w:rFonts w:ascii="Calibri" w:hAnsi="Calibri" w:cs="Calibri"/>
          <w:color w:val="auto"/>
        </w:rPr>
        <w:t xml:space="preserve">alterar o </w:t>
      </w:r>
      <w:r w:rsidRPr="004B4374" w:rsidR="00CB1EDF">
        <w:rPr>
          <w:rFonts w:ascii="Calibri" w:hAnsi="Calibri" w:cs="Calibri"/>
          <w:i/>
          <w:color w:val="auto"/>
        </w:rPr>
        <w:t>caput</w:t>
      </w:r>
      <w:r w:rsidRPr="004B4374" w:rsidR="00CB1EDF">
        <w:rPr>
          <w:rFonts w:ascii="Calibri" w:hAnsi="Calibri" w:cs="Calibri"/>
          <w:color w:val="auto"/>
        </w:rPr>
        <w:t xml:space="preserve"> do art. 117</w:t>
      </w:r>
      <w:r w:rsidRPr="004B4374" w:rsidR="000368DD">
        <w:rPr>
          <w:rFonts w:ascii="Calibri" w:hAnsi="Calibri" w:cs="Calibri"/>
          <w:color w:val="auto"/>
        </w:rPr>
        <w:t xml:space="preserve"> do Projeto de Lei </w:t>
      </w:r>
      <w:r w:rsidRPr="004B4374" w:rsidR="00D7536E">
        <w:rPr>
          <w:rFonts w:ascii="Calibri" w:hAnsi="Calibri" w:cs="Calibri"/>
          <w:color w:val="auto"/>
        </w:rPr>
        <w:t>185</w:t>
      </w:r>
      <w:r w:rsidRPr="004B4374" w:rsidR="000368DD">
        <w:rPr>
          <w:rFonts w:ascii="Calibri" w:hAnsi="Calibri" w:cs="Calibri"/>
          <w:color w:val="auto"/>
        </w:rPr>
        <w:t>/202</w:t>
      </w:r>
      <w:r w:rsidRPr="004B4374" w:rsidR="00D7536E">
        <w:rPr>
          <w:rFonts w:ascii="Calibri" w:hAnsi="Calibri" w:cs="Calibri"/>
          <w:color w:val="auto"/>
        </w:rPr>
        <w:t>2</w:t>
      </w:r>
      <w:r w:rsidRPr="004B4374" w:rsidR="001E6618">
        <w:rPr>
          <w:rFonts w:ascii="Calibri" w:hAnsi="Calibri" w:cs="Calibri"/>
          <w:color w:val="auto"/>
        </w:rPr>
        <w:t xml:space="preserve"> e o Anexo III</w:t>
      </w:r>
      <w:r w:rsidRPr="004B4374" w:rsidR="000368DD">
        <w:rPr>
          <w:rFonts w:ascii="Calibri" w:hAnsi="Calibri" w:cs="Calibri"/>
          <w:color w:val="auto"/>
        </w:rPr>
        <w:t xml:space="preserve">, que </w:t>
      </w:r>
      <w:r w:rsidRPr="004B4374" w:rsidR="000368DD">
        <w:rPr>
          <w:rFonts w:ascii="Calibri" w:hAnsi="Calibri" w:cs="Calibri"/>
          <w:i/>
          <w:color w:val="auto"/>
        </w:rPr>
        <w:t>“</w:t>
      </w:r>
      <w:r w:rsidRPr="004B4374" w:rsidR="00D7536E">
        <w:rPr>
          <w:rFonts w:ascii="Calibri" w:hAnsi="Calibri" w:cs="Calibri"/>
          <w:i/>
          <w:color w:val="auto"/>
        </w:rPr>
        <w:t>Institui o Plano Diretor Municipal de Valinhos e dá outras providências”</w:t>
      </w:r>
      <w:r w:rsidRPr="004B4374" w:rsidR="00473A76">
        <w:rPr>
          <w:rFonts w:ascii="Calibri" w:hAnsi="Calibri" w:cs="Calibri"/>
          <w:i/>
          <w:color w:val="auto"/>
        </w:rPr>
        <w:t>,</w:t>
      </w:r>
      <w:r w:rsidRPr="004B4374" w:rsidR="00B33EC1">
        <w:rPr>
          <w:rFonts w:ascii="Calibri" w:hAnsi="Calibri" w:cs="Calibri"/>
          <w:i/>
          <w:color w:val="auto"/>
        </w:rPr>
        <w:t xml:space="preserve"> </w:t>
      </w:r>
      <w:r w:rsidRPr="004B4374"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4B4374" w:rsidP="00473A76">
            <w:pPr>
              <w:pStyle w:val="Default"/>
              <w:tabs>
                <w:tab w:val="left" w:pos="2055"/>
              </w:tabs>
              <w:spacing w:line="276" w:lineRule="auto"/>
              <w:jc w:val="center"/>
              <w:rPr>
                <w:rFonts w:ascii="Calibri" w:eastAsia="Times New Roman" w:hAnsi="Calibri" w:cs="Calibri"/>
                <w:b/>
                <w:color w:val="auto"/>
              </w:rPr>
            </w:pPr>
          </w:p>
          <w:p w:rsidR="000368DD" w:rsidRPr="004B4374" w:rsidP="00473A76">
            <w:pPr>
              <w:pStyle w:val="Default"/>
              <w:tabs>
                <w:tab w:val="left" w:pos="2055"/>
              </w:tabs>
              <w:spacing w:line="276" w:lineRule="auto"/>
              <w:jc w:val="center"/>
              <w:rPr>
                <w:rFonts w:ascii="Calibri" w:eastAsia="Times New Roman" w:hAnsi="Calibri" w:cs="Calibri"/>
                <w:b/>
                <w:color w:val="auto"/>
              </w:rPr>
            </w:pPr>
            <w:r w:rsidRPr="004B4374">
              <w:rPr>
                <w:rFonts w:ascii="Calibri" w:eastAsia="Times New Roman" w:hAnsi="Calibri" w:cs="Calibri"/>
                <w:b/>
                <w:color w:val="auto"/>
              </w:rPr>
              <w:t xml:space="preserve">Projeto de Lei </w:t>
            </w:r>
            <w:r w:rsidRPr="004B4374" w:rsidR="00D7536E">
              <w:rPr>
                <w:rFonts w:ascii="Calibri" w:eastAsia="Times New Roman" w:hAnsi="Calibri" w:cs="Calibri"/>
                <w:b/>
                <w:color w:val="auto"/>
              </w:rPr>
              <w:t>185</w:t>
            </w:r>
            <w:r w:rsidRPr="004B4374">
              <w:rPr>
                <w:rFonts w:ascii="Calibri" w:eastAsia="Times New Roman" w:hAnsi="Calibri" w:cs="Calibri"/>
                <w:b/>
                <w:color w:val="auto"/>
              </w:rPr>
              <w:t>/202</w:t>
            </w:r>
            <w:r w:rsidRPr="004B4374" w:rsidR="00636403">
              <w:rPr>
                <w:rFonts w:ascii="Calibri" w:eastAsia="Times New Roman" w:hAnsi="Calibri" w:cs="Calibri"/>
                <w:b/>
                <w:color w:val="auto"/>
              </w:rPr>
              <w:t>2</w:t>
            </w:r>
          </w:p>
          <w:p w:rsidR="000368DD" w:rsidRPr="004B4374"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4B4374" w:rsidP="00473A76">
            <w:pPr>
              <w:pStyle w:val="Default"/>
              <w:tabs>
                <w:tab w:val="left" w:pos="2055"/>
              </w:tabs>
              <w:spacing w:line="276" w:lineRule="auto"/>
              <w:jc w:val="center"/>
              <w:rPr>
                <w:rFonts w:ascii="Calibri" w:eastAsia="Times New Roman" w:hAnsi="Calibri" w:cs="Calibri"/>
                <w:b/>
                <w:color w:val="auto"/>
              </w:rPr>
            </w:pPr>
          </w:p>
          <w:p w:rsidR="000368DD" w:rsidRPr="004B4374" w:rsidP="00D7536E">
            <w:pPr>
              <w:pStyle w:val="Default"/>
              <w:tabs>
                <w:tab w:val="left" w:pos="2055"/>
              </w:tabs>
              <w:spacing w:line="276" w:lineRule="auto"/>
              <w:jc w:val="center"/>
              <w:rPr>
                <w:rFonts w:ascii="Calibri" w:eastAsia="Times New Roman" w:hAnsi="Calibri" w:cs="Calibri"/>
                <w:b/>
                <w:color w:val="auto"/>
              </w:rPr>
            </w:pPr>
            <w:r w:rsidRPr="004B4374">
              <w:rPr>
                <w:rFonts w:ascii="Calibri" w:eastAsia="Times New Roman" w:hAnsi="Calibri" w:cs="Calibri"/>
                <w:b/>
                <w:color w:val="auto"/>
              </w:rPr>
              <w:t xml:space="preserve">Emenda nº </w:t>
            </w:r>
            <w:r w:rsidRPr="004B4374" w:rsidR="001E6618">
              <w:rPr>
                <w:rFonts w:ascii="Calibri" w:eastAsia="Times New Roman" w:hAnsi="Calibri" w:cs="Calibri"/>
                <w:b/>
                <w:color w:val="auto"/>
              </w:rPr>
              <w:t>27</w:t>
            </w:r>
            <w:r w:rsidRPr="004B4374">
              <w:rPr>
                <w:rFonts w:ascii="Calibri" w:eastAsia="Times New Roman" w:hAnsi="Calibri" w:cs="Calibri"/>
                <w:b/>
                <w:color w:val="auto"/>
              </w:rPr>
              <w:t xml:space="preserve"> ao PL </w:t>
            </w:r>
            <w:r w:rsidRPr="004B4374" w:rsidR="00D7536E">
              <w:rPr>
                <w:rFonts w:ascii="Calibri" w:eastAsia="Times New Roman" w:hAnsi="Calibri" w:cs="Calibri"/>
                <w:b/>
                <w:color w:val="auto"/>
              </w:rPr>
              <w:t>185</w:t>
            </w:r>
            <w:r w:rsidRPr="004B4374">
              <w:rPr>
                <w:rFonts w:ascii="Calibri" w:eastAsia="Times New Roman" w:hAnsi="Calibri" w:cs="Calibri"/>
                <w:b/>
                <w:color w:val="auto"/>
              </w:rPr>
              <w:t>/202</w:t>
            </w:r>
            <w:r w:rsidRPr="004B4374" w:rsidR="00D7536E">
              <w:rPr>
                <w:rFonts w:ascii="Calibri" w:eastAsia="Times New Roman" w:hAnsi="Calibri" w:cs="Calibri"/>
                <w:b/>
                <w:color w:val="auto"/>
              </w:rPr>
              <w:t>2</w:t>
            </w:r>
          </w:p>
        </w:tc>
      </w:tr>
      <w:tr w:rsidTr="000368DD">
        <w:tblPrEx>
          <w:tblW w:w="8613" w:type="dxa"/>
          <w:tblLook w:val="04A0"/>
        </w:tblPrEx>
        <w:tc>
          <w:tcPr>
            <w:tcW w:w="4077" w:type="dxa"/>
          </w:tcPr>
          <w:p w:rsidR="00B1562E" w:rsidRPr="004B4374" w:rsidP="00215CC1">
            <w:pPr>
              <w:pStyle w:val="Default"/>
              <w:tabs>
                <w:tab w:val="left" w:pos="2055"/>
              </w:tabs>
              <w:jc w:val="both"/>
              <w:rPr>
                <w:rFonts w:ascii="Calibri" w:eastAsia="Times New Roman" w:hAnsi="Calibri" w:cs="Calibri"/>
                <w:color w:val="auto"/>
              </w:rPr>
            </w:pPr>
          </w:p>
          <w:p w:rsidR="00B1562E" w:rsidRPr="004B4374" w:rsidP="00215CC1">
            <w:pPr>
              <w:pStyle w:val="Default"/>
              <w:tabs>
                <w:tab w:val="left" w:pos="2055"/>
              </w:tabs>
              <w:jc w:val="both"/>
              <w:rPr>
                <w:rFonts w:ascii="Calibri" w:eastAsia="Times New Roman" w:hAnsi="Calibri" w:cs="Calibri"/>
                <w:color w:val="auto"/>
              </w:rPr>
            </w:pPr>
          </w:p>
          <w:p w:rsidR="00B1562E" w:rsidRPr="004B4374" w:rsidP="00215CC1">
            <w:pPr>
              <w:pStyle w:val="Default"/>
              <w:tabs>
                <w:tab w:val="left" w:pos="2055"/>
              </w:tabs>
              <w:jc w:val="both"/>
              <w:rPr>
                <w:rFonts w:ascii="Calibri" w:eastAsia="Times New Roman" w:hAnsi="Calibri" w:cs="Calibri"/>
                <w:color w:val="auto"/>
              </w:rPr>
            </w:pPr>
          </w:p>
          <w:p w:rsidR="00B1562E" w:rsidRPr="004B4374" w:rsidP="00215CC1">
            <w:pPr>
              <w:pStyle w:val="Default"/>
              <w:tabs>
                <w:tab w:val="left" w:pos="2055"/>
              </w:tabs>
              <w:jc w:val="both"/>
              <w:rPr>
                <w:rFonts w:ascii="Calibri" w:eastAsia="Times New Roman" w:hAnsi="Calibri" w:cs="Calibri"/>
                <w:color w:val="auto"/>
              </w:rPr>
            </w:pPr>
          </w:p>
          <w:p w:rsidR="00215CC1" w:rsidRPr="004B4374" w:rsidP="00215CC1">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Art. 86. As Áreas Estratégicas de Valinhos dividem-se em:</w:t>
            </w:r>
          </w:p>
          <w:p w:rsidR="00215CC1" w:rsidRPr="004B4374" w:rsidP="00215CC1">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I - Áreas Estratégicas de Intervenção Prioritária (AEIP);</w:t>
            </w:r>
          </w:p>
          <w:p w:rsidR="00215CC1" w:rsidRPr="004B4374" w:rsidP="00215CC1">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II - Áreas Estratégicas de Desenvolvimento Econômico (AEDE);</w:t>
            </w:r>
          </w:p>
          <w:p w:rsidR="00215CC1" w:rsidRPr="004B4374" w:rsidP="00215CC1">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III - Áreas Estratégicas de Apoio às Comunidades Rurais (AECR);</w:t>
            </w:r>
          </w:p>
          <w:p w:rsidR="00215CC1" w:rsidRPr="004B4374" w:rsidP="00215CC1">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IV - Áreas Estratégicas de Regularização Fundiária (AERF);</w:t>
            </w:r>
          </w:p>
          <w:p w:rsidR="00215CC1" w:rsidRPr="004B4374" w:rsidP="00215CC1">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V - Áreas Estratégicas de Drenagem (AED);</w:t>
            </w:r>
          </w:p>
          <w:p w:rsidR="00215CC1" w:rsidRPr="004B4374" w:rsidP="00215CC1">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VI - Área Estratégica de Conectividade de Paisagens (Reconecta Valinhos) (AECP);</w:t>
            </w:r>
          </w:p>
          <w:p w:rsidR="00215CC1" w:rsidRPr="004B4374" w:rsidP="00215CC1">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 xml:space="preserve">VII - Áreas Estratégicas de Conservação (AEC); </w:t>
            </w:r>
            <w:r w:rsidRPr="004B4374">
              <w:rPr>
                <w:rFonts w:ascii="Calibri" w:eastAsia="Times New Roman" w:hAnsi="Calibri" w:cs="Calibri"/>
                <w:color w:val="auto"/>
              </w:rPr>
              <w:t>e</w:t>
            </w:r>
          </w:p>
          <w:p w:rsidR="00215CC1" w:rsidRPr="004B4374" w:rsidP="00215CC1">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VIII - Área Estratégica de Extração Minerária (AEM).</w:t>
            </w:r>
          </w:p>
          <w:p w:rsidR="00215CC1" w:rsidRPr="004B4374" w:rsidP="00215CC1">
            <w:pPr>
              <w:pStyle w:val="Default"/>
              <w:tabs>
                <w:tab w:val="left" w:pos="2055"/>
              </w:tabs>
              <w:jc w:val="both"/>
              <w:rPr>
                <w:rFonts w:ascii="Calibri" w:eastAsia="Times New Roman" w:hAnsi="Calibri" w:cs="Calibri"/>
                <w:color w:val="auto"/>
              </w:rPr>
            </w:pPr>
          </w:p>
          <w:p w:rsidR="000368DD" w:rsidRPr="004B4374" w:rsidP="00215CC1">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Parágrafo único. As delimitações das Áreas Estratégicas constam no Anexo III – Áreas Estratégicas.</w:t>
            </w:r>
          </w:p>
        </w:tc>
        <w:tc>
          <w:tcPr>
            <w:tcW w:w="4536" w:type="dxa"/>
          </w:tcPr>
          <w:p w:rsidR="00B1562E" w:rsidRPr="004B4374" w:rsidP="00215CC1">
            <w:pPr>
              <w:pStyle w:val="Default"/>
              <w:tabs>
                <w:tab w:val="left" w:pos="2055"/>
              </w:tabs>
              <w:jc w:val="both"/>
              <w:rPr>
                <w:rFonts w:asciiTheme="minorHAnsi" w:hAnsiTheme="minorHAnsi"/>
                <w:i/>
                <w:color w:val="auto"/>
              </w:rPr>
            </w:pPr>
            <w:r w:rsidRPr="004B4374">
              <w:rPr>
                <w:rFonts w:asciiTheme="minorHAnsi" w:hAnsiTheme="minorHAnsi"/>
                <w:i/>
                <w:color w:val="auto"/>
              </w:rPr>
              <w:t>Art. 1º É incluído o inciso IX ao Art. 86 do Projeto de Lei 185/2022, com a seguinte redação:</w:t>
            </w:r>
          </w:p>
          <w:p w:rsidR="00B1562E" w:rsidRPr="004B4374" w:rsidP="00215CC1">
            <w:pPr>
              <w:pStyle w:val="Default"/>
              <w:tabs>
                <w:tab w:val="left" w:pos="2055"/>
              </w:tabs>
              <w:jc w:val="both"/>
              <w:rPr>
                <w:rFonts w:ascii="Calibri" w:hAnsi="Calibri" w:cs="Calibri"/>
                <w:b/>
                <w:color w:val="auto"/>
              </w:rPr>
            </w:pPr>
          </w:p>
          <w:p w:rsidR="00215CC1" w:rsidRPr="004B4374" w:rsidP="00215CC1">
            <w:pPr>
              <w:pStyle w:val="Default"/>
              <w:tabs>
                <w:tab w:val="left" w:pos="2055"/>
              </w:tabs>
              <w:jc w:val="both"/>
              <w:rPr>
                <w:rFonts w:ascii="Calibri" w:hAnsi="Calibri" w:cs="Calibri"/>
                <w:b/>
                <w:color w:val="auto"/>
                <w:lang w:val="en-US"/>
              </w:rPr>
            </w:pPr>
            <w:r w:rsidRPr="004B4374">
              <w:rPr>
                <w:rFonts w:ascii="Calibri" w:hAnsi="Calibri" w:cs="Calibri"/>
                <w:b/>
                <w:color w:val="auto"/>
                <w:lang w:val="en-US"/>
              </w:rPr>
              <w:t>Art. 86 [...]:</w:t>
            </w:r>
          </w:p>
          <w:p w:rsidR="00215CC1" w:rsidRPr="004B4374" w:rsidP="00215CC1">
            <w:pPr>
              <w:pStyle w:val="Default"/>
              <w:tabs>
                <w:tab w:val="left" w:pos="2055"/>
              </w:tabs>
              <w:jc w:val="both"/>
              <w:rPr>
                <w:rFonts w:ascii="Calibri" w:hAnsi="Calibri" w:cs="Calibri"/>
                <w:color w:val="auto"/>
                <w:lang w:val="en-US"/>
              </w:rPr>
            </w:pPr>
            <w:r w:rsidRPr="004B4374">
              <w:rPr>
                <w:rFonts w:ascii="Calibri" w:hAnsi="Calibri" w:cs="Calibri"/>
                <w:color w:val="auto"/>
                <w:lang w:val="en-US"/>
              </w:rPr>
              <w:t>I - (...)</w:t>
            </w:r>
          </w:p>
          <w:p w:rsidR="00215CC1" w:rsidRPr="004B4374" w:rsidP="00215CC1">
            <w:pPr>
              <w:pStyle w:val="Default"/>
              <w:tabs>
                <w:tab w:val="left" w:pos="2055"/>
              </w:tabs>
              <w:jc w:val="both"/>
              <w:rPr>
                <w:rFonts w:ascii="Calibri" w:hAnsi="Calibri" w:cs="Calibri"/>
                <w:color w:val="auto"/>
                <w:lang w:val="en-US"/>
              </w:rPr>
            </w:pPr>
            <w:r w:rsidRPr="004B4374">
              <w:rPr>
                <w:rFonts w:ascii="Calibri" w:hAnsi="Calibri" w:cs="Calibri"/>
                <w:color w:val="auto"/>
                <w:lang w:val="en-US"/>
              </w:rPr>
              <w:t>II - (...)</w:t>
            </w:r>
          </w:p>
          <w:p w:rsidR="00215CC1" w:rsidRPr="004B4374" w:rsidP="00215CC1">
            <w:pPr>
              <w:pStyle w:val="Default"/>
              <w:tabs>
                <w:tab w:val="left" w:pos="2055"/>
              </w:tabs>
              <w:jc w:val="both"/>
              <w:rPr>
                <w:rFonts w:ascii="Calibri" w:hAnsi="Calibri" w:cs="Calibri"/>
                <w:color w:val="auto"/>
                <w:lang w:val="en-US"/>
              </w:rPr>
            </w:pPr>
            <w:r w:rsidRPr="004B4374">
              <w:rPr>
                <w:rFonts w:ascii="Calibri" w:hAnsi="Calibri" w:cs="Calibri"/>
                <w:color w:val="auto"/>
                <w:lang w:val="en-US"/>
              </w:rPr>
              <w:t>III. (...)</w:t>
            </w:r>
          </w:p>
          <w:p w:rsidR="00215CC1" w:rsidRPr="004B4374" w:rsidP="00215CC1">
            <w:pPr>
              <w:pStyle w:val="Default"/>
              <w:tabs>
                <w:tab w:val="left" w:pos="2055"/>
              </w:tabs>
              <w:jc w:val="both"/>
              <w:rPr>
                <w:rFonts w:ascii="Calibri" w:hAnsi="Calibri" w:cs="Calibri"/>
                <w:color w:val="auto"/>
                <w:lang w:val="en-US"/>
              </w:rPr>
            </w:pPr>
            <w:r w:rsidRPr="004B4374">
              <w:rPr>
                <w:rFonts w:ascii="Calibri" w:hAnsi="Calibri" w:cs="Calibri"/>
                <w:color w:val="auto"/>
                <w:lang w:val="en-US"/>
              </w:rPr>
              <w:t>IV. (...)</w:t>
            </w:r>
          </w:p>
          <w:p w:rsidR="00215CC1" w:rsidRPr="004B4374" w:rsidP="00215CC1">
            <w:pPr>
              <w:pStyle w:val="Default"/>
              <w:tabs>
                <w:tab w:val="left" w:pos="2055"/>
              </w:tabs>
              <w:jc w:val="both"/>
              <w:rPr>
                <w:rFonts w:ascii="Calibri" w:hAnsi="Calibri" w:cs="Calibri"/>
                <w:color w:val="auto"/>
              </w:rPr>
            </w:pPr>
            <w:r w:rsidRPr="004B4374">
              <w:rPr>
                <w:rFonts w:ascii="Calibri" w:hAnsi="Calibri" w:cs="Calibri"/>
                <w:color w:val="auto"/>
              </w:rPr>
              <w:t>V. (...)</w:t>
            </w:r>
          </w:p>
          <w:p w:rsidR="00215CC1" w:rsidRPr="004B4374" w:rsidP="00215CC1">
            <w:pPr>
              <w:pStyle w:val="Default"/>
              <w:tabs>
                <w:tab w:val="left" w:pos="2055"/>
              </w:tabs>
              <w:jc w:val="both"/>
              <w:rPr>
                <w:rFonts w:ascii="Calibri" w:hAnsi="Calibri" w:cs="Calibri"/>
                <w:color w:val="auto"/>
              </w:rPr>
            </w:pPr>
            <w:r w:rsidRPr="004B4374">
              <w:rPr>
                <w:rFonts w:ascii="Calibri" w:hAnsi="Calibri" w:cs="Calibri"/>
                <w:color w:val="auto"/>
              </w:rPr>
              <w:t>VI. (...)</w:t>
            </w:r>
          </w:p>
          <w:p w:rsidR="00215CC1" w:rsidRPr="004B4374" w:rsidP="00215CC1">
            <w:pPr>
              <w:pStyle w:val="Default"/>
              <w:tabs>
                <w:tab w:val="left" w:pos="2055"/>
              </w:tabs>
              <w:jc w:val="both"/>
              <w:rPr>
                <w:rFonts w:ascii="Calibri" w:hAnsi="Calibri" w:cs="Calibri"/>
                <w:color w:val="auto"/>
              </w:rPr>
            </w:pPr>
            <w:r w:rsidRPr="004B4374">
              <w:rPr>
                <w:rFonts w:ascii="Calibri" w:hAnsi="Calibri" w:cs="Calibri"/>
                <w:color w:val="auto"/>
              </w:rPr>
              <w:t>VII. (...)</w:t>
            </w:r>
          </w:p>
          <w:p w:rsidR="00215CC1" w:rsidRPr="004B4374" w:rsidP="00215CC1">
            <w:pPr>
              <w:pStyle w:val="Default"/>
              <w:tabs>
                <w:tab w:val="left" w:pos="2055"/>
              </w:tabs>
              <w:jc w:val="both"/>
              <w:rPr>
                <w:rFonts w:ascii="Calibri" w:hAnsi="Calibri" w:cs="Calibri"/>
                <w:color w:val="auto"/>
              </w:rPr>
            </w:pPr>
            <w:r w:rsidRPr="004B4374">
              <w:rPr>
                <w:rFonts w:ascii="Calibri" w:hAnsi="Calibri" w:cs="Calibri"/>
                <w:color w:val="auto"/>
              </w:rPr>
              <w:t>VIII. (...)</w:t>
            </w:r>
          </w:p>
          <w:p w:rsidR="000368DD" w:rsidRPr="004B4374" w:rsidP="00B41272">
            <w:pPr>
              <w:pStyle w:val="Default"/>
              <w:tabs>
                <w:tab w:val="left" w:pos="2055"/>
              </w:tabs>
              <w:jc w:val="both"/>
              <w:rPr>
                <w:rFonts w:ascii="Calibri" w:hAnsi="Calibri" w:cs="Calibri"/>
                <w:b/>
                <w:color w:val="auto"/>
              </w:rPr>
            </w:pPr>
            <w:r w:rsidRPr="004B4374">
              <w:rPr>
                <w:rFonts w:ascii="Calibri" w:hAnsi="Calibri" w:cs="Calibri"/>
                <w:b/>
                <w:color w:val="auto"/>
              </w:rPr>
              <w:t>IX – Área Estratégica de Preservação Histórico-Cultural</w:t>
            </w:r>
            <w:r w:rsidRPr="004B4374" w:rsidR="00B41272">
              <w:rPr>
                <w:rFonts w:ascii="Calibri" w:hAnsi="Calibri" w:cs="Calibri"/>
                <w:b/>
                <w:color w:val="auto"/>
              </w:rPr>
              <w:t xml:space="preserve"> </w:t>
            </w:r>
            <w:r w:rsidRPr="004B4374">
              <w:rPr>
                <w:rFonts w:ascii="Calibri" w:hAnsi="Calibri" w:cs="Calibri"/>
                <w:b/>
                <w:color w:val="auto"/>
              </w:rPr>
              <w:t>(AEPHC).</w:t>
            </w:r>
          </w:p>
        </w:tc>
      </w:tr>
      <w:tr w:rsidTr="000368DD">
        <w:tblPrEx>
          <w:tblW w:w="8613" w:type="dxa"/>
          <w:tblLook w:val="04A0"/>
        </w:tblPrEx>
        <w:tc>
          <w:tcPr>
            <w:tcW w:w="4077" w:type="dxa"/>
          </w:tcPr>
          <w:p w:rsidR="00215CC1" w:rsidRPr="004B4374" w:rsidP="00215CC1">
            <w:pPr>
              <w:pStyle w:val="Default"/>
              <w:tabs>
                <w:tab w:val="left" w:pos="2055"/>
              </w:tabs>
              <w:jc w:val="both"/>
              <w:rPr>
                <w:rFonts w:ascii="Calibri" w:eastAsia="Times New Roman" w:hAnsi="Calibri" w:cs="Calibri"/>
                <w:color w:val="auto"/>
              </w:rPr>
            </w:pPr>
          </w:p>
        </w:tc>
        <w:tc>
          <w:tcPr>
            <w:tcW w:w="4536" w:type="dxa"/>
          </w:tcPr>
          <w:p w:rsidR="00B1562E" w:rsidRPr="004B4374" w:rsidP="00487A76">
            <w:pPr>
              <w:pStyle w:val="Default"/>
              <w:tabs>
                <w:tab w:val="left" w:pos="2055"/>
              </w:tabs>
              <w:jc w:val="both"/>
              <w:rPr>
                <w:rFonts w:ascii="Calibri" w:hAnsi="Calibri" w:cs="Calibri"/>
                <w:b/>
                <w:color w:val="auto"/>
              </w:rPr>
            </w:pPr>
          </w:p>
          <w:p w:rsidR="00B1562E" w:rsidRPr="004B4374" w:rsidP="00487A76">
            <w:pPr>
              <w:pStyle w:val="Default"/>
              <w:tabs>
                <w:tab w:val="left" w:pos="2055"/>
              </w:tabs>
              <w:jc w:val="both"/>
              <w:rPr>
                <w:rFonts w:asciiTheme="minorHAnsi" w:hAnsiTheme="minorHAnsi"/>
                <w:i/>
                <w:color w:val="auto"/>
              </w:rPr>
            </w:pPr>
            <w:r w:rsidRPr="004B4374">
              <w:rPr>
                <w:rFonts w:asciiTheme="minorHAnsi" w:hAnsiTheme="minorHAnsi"/>
                <w:i/>
                <w:color w:val="auto"/>
              </w:rPr>
              <w:t>Art. 2º É incluída a Seção IX ao Capítulo III do Título IV do Projeto de Lei 185/2022, com a seguinte redação, a partir do Art. 115, renumerando demais artigos:</w:t>
            </w:r>
          </w:p>
          <w:p w:rsidR="00B1562E" w:rsidRPr="004B4374" w:rsidP="00487A76">
            <w:pPr>
              <w:pStyle w:val="Default"/>
              <w:tabs>
                <w:tab w:val="left" w:pos="2055"/>
              </w:tabs>
              <w:jc w:val="both"/>
              <w:rPr>
                <w:rFonts w:ascii="Calibri" w:hAnsi="Calibri" w:cs="Calibri"/>
                <w:b/>
                <w:color w:val="auto"/>
              </w:rPr>
            </w:pP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Seção IX - Área Estratégica de Preservação Histórico</w:t>
            </w:r>
            <w:r w:rsidRPr="004B4374" w:rsidR="002F6514">
              <w:rPr>
                <w:rFonts w:ascii="Calibri" w:hAnsi="Calibri" w:cs="Calibri"/>
                <w:b/>
                <w:color w:val="auto"/>
              </w:rPr>
              <w:t>-</w:t>
            </w:r>
            <w:r w:rsidRPr="004B4374">
              <w:rPr>
                <w:rFonts w:ascii="Calibri" w:hAnsi="Calibri" w:cs="Calibri"/>
                <w:b/>
                <w:color w:val="auto"/>
              </w:rPr>
              <w:t>Cultural (AEPHC)</w:t>
            </w:r>
          </w:p>
          <w:p w:rsidR="00487A76" w:rsidRPr="004B4374" w:rsidP="00487A76">
            <w:pPr>
              <w:pStyle w:val="Default"/>
              <w:tabs>
                <w:tab w:val="left" w:pos="2055"/>
              </w:tabs>
              <w:jc w:val="both"/>
              <w:rPr>
                <w:rFonts w:ascii="Calibri" w:hAnsi="Calibri" w:cs="Calibri"/>
                <w:b/>
                <w:color w:val="auto"/>
              </w:rPr>
            </w:pP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Art. 115. As Áreas Estratégicas de Preservação Histórico</w:t>
            </w:r>
            <w:r w:rsidRPr="004B4374" w:rsidR="00025E3E">
              <w:rPr>
                <w:rFonts w:ascii="Calibri" w:hAnsi="Calibri" w:cs="Calibri"/>
                <w:b/>
                <w:color w:val="auto"/>
              </w:rPr>
              <w:t>-</w:t>
            </w:r>
            <w:r w:rsidRPr="004B4374">
              <w:rPr>
                <w:rFonts w:ascii="Calibri" w:hAnsi="Calibri" w:cs="Calibri"/>
                <w:b/>
                <w:color w:val="auto"/>
              </w:rPr>
              <w:t>Cultural (AEPHC) são porções do território destinadas à preservação, recuperação e manutenção do patrimônio histórico, artístico e arqueológico, podendo se configurar como sítios, edifícios ou conjuntos urbanos.</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 xml:space="preserve"> § 1º. São consideradas como AEPHC:</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 xml:space="preserve">I – AEPHC </w:t>
            </w:r>
            <w:r w:rsidRPr="004B4374">
              <w:rPr>
                <w:rFonts w:ascii="Calibri" w:hAnsi="Calibri" w:cs="Calibri"/>
                <w:b/>
                <w:color w:val="auto"/>
              </w:rPr>
              <w:t>1</w:t>
            </w:r>
            <w:r w:rsidRPr="004B4374">
              <w:rPr>
                <w:rFonts w:ascii="Calibri" w:hAnsi="Calibri" w:cs="Calibri"/>
                <w:b/>
                <w:color w:val="auto"/>
              </w:rPr>
              <w:t>: Casa de Flávio de Carvalho;</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 xml:space="preserve">II – AEPHC </w:t>
            </w:r>
            <w:r w:rsidRPr="004B4374">
              <w:rPr>
                <w:rFonts w:ascii="Calibri" w:hAnsi="Calibri" w:cs="Calibri"/>
                <w:b/>
                <w:color w:val="auto"/>
              </w:rPr>
              <w:t>2</w:t>
            </w:r>
            <w:r w:rsidRPr="004B4374">
              <w:rPr>
                <w:rFonts w:ascii="Calibri" w:hAnsi="Calibri" w:cs="Calibri"/>
                <w:b/>
                <w:color w:val="auto"/>
              </w:rPr>
              <w:t>: Conjunto Ferroviário de Valinhos;</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 xml:space="preserve">III – AEPHC </w:t>
            </w:r>
            <w:r w:rsidRPr="004B4374">
              <w:rPr>
                <w:rFonts w:ascii="Calibri" w:hAnsi="Calibri" w:cs="Calibri"/>
                <w:b/>
                <w:color w:val="auto"/>
              </w:rPr>
              <w:t>3</w:t>
            </w:r>
            <w:r w:rsidRPr="004B4374">
              <w:rPr>
                <w:rFonts w:ascii="Calibri" w:hAnsi="Calibri" w:cs="Calibri"/>
                <w:b/>
                <w:color w:val="auto"/>
              </w:rPr>
              <w:t>: Edifícios da antiga fábrica da</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Companhia Gessy Industrial;</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 xml:space="preserve">IV – AEPHC </w:t>
            </w:r>
            <w:r w:rsidRPr="004B4374">
              <w:rPr>
                <w:rFonts w:ascii="Calibri" w:hAnsi="Calibri" w:cs="Calibri"/>
                <w:b/>
                <w:color w:val="auto"/>
              </w:rPr>
              <w:t>4</w:t>
            </w:r>
            <w:r w:rsidRPr="004B4374">
              <w:rPr>
                <w:rFonts w:ascii="Calibri" w:hAnsi="Calibri" w:cs="Calibri"/>
                <w:b/>
                <w:color w:val="auto"/>
              </w:rPr>
              <w:t xml:space="preserve">: Sede da antiga fazenda </w:t>
            </w:r>
            <w:r w:rsidRPr="004B4374">
              <w:rPr>
                <w:rFonts w:ascii="Calibri" w:hAnsi="Calibri" w:cs="Calibri"/>
                <w:b/>
                <w:color w:val="auto"/>
              </w:rPr>
              <w:t>Cacutá</w:t>
            </w:r>
            <w:r w:rsidRPr="004B4374">
              <w:rPr>
                <w:rFonts w:ascii="Calibri" w:hAnsi="Calibri" w:cs="Calibri"/>
                <w:b/>
                <w:color w:val="auto"/>
              </w:rPr>
              <w:t>.</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 2º. Também se enquadram como AEPHC os imóveis ou áreas tombadas ou preservadas por legislação Municipal, Estadual ou Federal.</w:t>
            </w:r>
          </w:p>
          <w:p w:rsidR="009E04BC" w:rsidRPr="004B4374" w:rsidP="00487A76">
            <w:pPr>
              <w:pStyle w:val="Default"/>
              <w:tabs>
                <w:tab w:val="left" w:pos="2055"/>
              </w:tabs>
              <w:jc w:val="both"/>
              <w:rPr>
                <w:rFonts w:ascii="Calibri" w:hAnsi="Calibri" w:cs="Calibri"/>
                <w:b/>
                <w:color w:val="auto"/>
              </w:rPr>
            </w:pPr>
          </w:p>
          <w:p w:rsidR="00B1562E" w:rsidRPr="004B4374" w:rsidP="00487A76">
            <w:pPr>
              <w:pStyle w:val="Default"/>
              <w:tabs>
                <w:tab w:val="left" w:pos="2055"/>
              </w:tabs>
              <w:jc w:val="both"/>
              <w:rPr>
                <w:rFonts w:ascii="Calibri" w:hAnsi="Calibri" w:cs="Calibri"/>
                <w:b/>
                <w:color w:val="auto"/>
              </w:rPr>
            </w:pP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Art. 116. São objetivos da AEPHC:</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 xml:space="preserve">I - Promover e incentivar a preservação, </w:t>
            </w:r>
            <w:r w:rsidRPr="004B4374">
              <w:rPr>
                <w:rFonts w:ascii="Calibri" w:hAnsi="Calibri" w:cs="Calibri"/>
                <w:b/>
                <w:color w:val="auto"/>
              </w:rPr>
              <w:t>a</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conservação</w:t>
            </w:r>
            <w:r w:rsidRPr="004B4374">
              <w:rPr>
                <w:rFonts w:ascii="Calibri" w:hAnsi="Calibri" w:cs="Calibri"/>
                <w:b/>
                <w:color w:val="auto"/>
              </w:rPr>
              <w:t>, o restauro e a valorização do</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patrimônio</w:t>
            </w:r>
            <w:r w:rsidRPr="004B4374">
              <w:rPr>
                <w:rFonts w:ascii="Calibri" w:hAnsi="Calibri" w:cs="Calibri"/>
                <w:b/>
                <w:color w:val="auto"/>
              </w:rPr>
              <w:t xml:space="preserve"> cultural no âmbito do Município;</w:t>
            </w:r>
          </w:p>
          <w:p w:rsidR="00487A76"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II - Preservar a identidade dos bairros e das áreas de interesse histórico-cultural, valorizando as características históricas, sociais e culturais;</w:t>
            </w:r>
          </w:p>
          <w:p w:rsidR="00215CC1" w:rsidRPr="004B4374" w:rsidP="00487A76">
            <w:pPr>
              <w:pStyle w:val="Default"/>
              <w:tabs>
                <w:tab w:val="left" w:pos="2055"/>
              </w:tabs>
              <w:jc w:val="both"/>
              <w:rPr>
                <w:rFonts w:ascii="Calibri" w:hAnsi="Calibri" w:cs="Calibri"/>
                <w:b/>
                <w:color w:val="auto"/>
              </w:rPr>
            </w:pPr>
            <w:r w:rsidRPr="004B4374">
              <w:rPr>
                <w:rFonts w:ascii="Calibri" w:hAnsi="Calibri" w:cs="Calibri"/>
                <w:b/>
                <w:color w:val="auto"/>
              </w:rPr>
              <w:t>III - Estimular a fruição e o uso público do patrimônio cultural;</w:t>
            </w:r>
          </w:p>
          <w:p w:rsidR="009E04BC" w:rsidRPr="004B4374" w:rsidP="009E04BC">
            <w:pPr>
              <w:pStyle w:val="Default"/>
              <w:tabs>
                <w:tab w:val="left" w:pos="2055"/>
              </w:tabs>
              <w:jc w:val="both"/>
              <w:rPr>
                <w:rFonts w:ascii="Calibri" w:hAnsi="Calibri" w:cs="Calibri"/>
                <w:b/>
                <w:color w:val="auto"/>
              </w:rPr>
            </w:pPr>
            <w:r w:rsidRPr="004B4374">
              <w:rPr>
                <w:rFonts w:ascii="Calibri" w:hAnsi="Calibri" w:cs="Calibri"/>
                <w:b/>
                <w:color w:val="auto"/>
              </w:rPr>
              <w:t>IV - Possibilitar o desenvolvimento ordenado e sustentável das áreas de interesse histórico e cultural, tendo como premissa a preservação do patrimônio cultural.</w:t>
            </w:r>
          </w:p>
          <w:p w:rsidR="009E04BC" w:rsidRPr="004B4374" w:rsidP="009E04BC">
            <w:pPr>
              <w:pStyle w:val="Default"/>
              <w:tabs>
                <w:tab w:val="left" w:pos="2055"/>
              </w:tabs>
              <w:jc w:val="both"/>
              <w:rPr>
                <w:rFonts w:ascii="Calibri" w:hAnsi="Calibri" w:cs="Calibri"/>
                <w:b/>
                <w:color w:val="auto"/>
                <w:sz w:val="12"/>
                <w:szCs w:val="12"/>
              </w:rPr>
            </w:pPr>
          </w:p>
          <w:p w:rsidR="009E04BC" w:rsidRPr="004B4374" w:rsidP="00CB468F">
            <w:pPr>
              <w:pStyle w:val="Default"/>
              <w:tabs>
                <w:tab w:val="left" w:pos="2055"/>
              </w:tabs>
              <w:spacing w:after="120"/>
              <w:jc w:val="both"/>
              <w:rPr>
                <w:rFonts w:ascii="Calibri" w:hAnsi="Calibri" w:cs="Calibri"/>
                <w:b/>
                <w:color w:val="auto"/>
              </w:rPr>
            </w:pPr>
            <w:r w:rsidRPr="004B4374">
              <w:rPr>
                <w:rFonts w:ascii="Calibri" w:hAnsi="Calibri" w:cs="Calibri"/>
                <w:b/>
                <w:color w:val="auto"/>
              </w:rPr>
              <w:t xml:space="preserve"> Art. 117. São medidas urbanísticas previstas para os objetivos da AEPHC:</w:t>
            </w:r>
          </w:p>
          <w:p w:rsidR="009E04BC" w:rsidRPr="004B4374" w:rsidP="00CB468F">
            <w:pPr>
              <w:pStyle w:val="Default"/>
              <w:tabs>
                <w:tab w:val="left" w:pos="2055"/>
              </w:tabs>
              <w:spacing w:after="120"/>
              <w:jc w:val="both"/>
              <w:rPr>
                <w:rFonts w:ascii="Calibri" w:hAnsi="Calibri" w:cs="Calibri"/>
                <w:b/>
                <w:color w:val="auto"/>
              </w:rPr>
            </w:pPr>
            <w:r w:rsidRPr="004B4374">
              <w:rPr>
                <w:rFonts w:ascii="Calibri" w:hAnsi="Calibri" w:cs="Calibri"/>
                <w:b/>
                <w:color w:val="auto"/>
              </w:rPr>
              <w:t>I - Aplicar às edificações particulares localizadas em AEPHC a Transferência do Potencial Construtivo (TPC), conforme disposto no Art. 203 e seguintes desta lei.</w:t>
            </w:r>
          </w:p>
          <w:p w:rsidR="009E04BC" w:rsidRPr="004B4374" w:rsidP="00CB468F">
            <w:pPr>
              <w:pStyle w:val="Default"/>
              <w:tabs>
                <w:tab w:val="left" w:pos="2055"/>
              </w:tabs>
              <w:spacing w:after="120"/>
              <w:jc w:val="both"/>
              <w:rPr>
                <w:rFonts w:ascii="Calibri" w:hAnsi="Calibri" w:cs="Calibri"/>
                <w:b/>
                <w:color w:val="auto"/>
              </w:rPr>
            </w:pPr>
            <w:r w:rsidRPr="004B4374">
              <w:rPr>
                <w:rFonts w:ascii="Calibri" w:hAnsi="Calibri" w:cs="Calibri"/>
                <w:b/>
                <w:color w:val="auto"/>
              </w:rPr>
              <w:t>II - Elaborar planos de ação visando à preservação, à conservação, ao restauro, à utilização e à valorização dos imóveis;</w:t>
            </w:r>
          </w:p>
          <w:p w:rsidR="009E04BC" w:rsidRPr="004B4374" w:rsidP="00CB468F">
            <w:pPr>
              <w:pStyle w:val="Default"/>
              <w:tabs>
                <w:tab w:val="left" w:pos="2055"/>
              </w:tabs>
              <w:spacing w:after="120"/>
              <w:jc w:val="both"/>
              <w:rPr>
                <w:rFonts w:ascii="Calibri" w:hAnsi="Calibri" w:cs="Calibri"/>
                <w:b/>
                <w:color w:val="auto"/>
              </w:rPr>
            </w:pPr>
            <w:r w:rsidRPr="004B4374">
              <w:rPr>
                <w:rFonts w:ascii="Calibri" w:hAnsi="Calibri" w:cs="Calibri"/>
                <w:b/>
                <w:color w:val="auto"/>
              </w:rPr>
              <w:t xml:space="preserve">III - Elaborar planos específicos para as áreas do entorno dos imóveis, explicitando as restrições e as qualidades pretendidas para essas áreas; </w:t>
            </w:r>
            <w:r w:rsidRPr="004B4374">
              <w:rPr>
                <w:rFonts w:ascii="Calibri" w:hAnsi="Calibri" w:cs="Calibri"/>
                <w:b/>
                <w:color w:val="auto"/>
              </w:rPr>
              <w:t>e</w:t>
            </w:r>
          </w:p>
          <w:p w:rsidR="009E04BC" w:rsidRPr="004B4374" w:rsidP="00CB468F">
            <w:pPr>
              <w:pStyle w:val="Default"/>
              <w:tabs>
                <w:tab w:val="left" w:pos="2055"/>
              </w:tabs>
              <w:spacing w:after="120"/>
              <w:jc w:val="both"/>
              <w:rPr>
                <w:rFonts w:ascii="Calibri" w:hAnsi="Calibri" w:cs="Calibri"/>
                <w:b/>
                <w:color w:val="auto"/>
                <w:u w:val="single"/>
              </w:rPr>
            </w:pPr>
            <w:r w:rsidRPr="004B4374">
              <w:rPr>
                <w:rFonts w:ascii="Calibri" w:hAnsi="Calibri" w:cs="Calibri"/>
                <w:b/>
                <w:color w:val="auto"/>
                <w:u w:val="single"/>
              </w:rPr>
              <w:t>IV – Conceder isenção fiscal de IPTU aos imóveis localizados em AEPHC, condicionando o benefício à execução de obras de restauração, conservação e recuperação de bens ou ao atestado de excelência de conservação do imóvel pelo órgão municipal competente.</w:t>
            </w:r>
          </w:p>
          <w:p w:rsidR="009E04BC" w:rsidRPr="004B4374" w:rsidP="009E04BC">
            <w:pPr>
              <w:pStyle w:val="Default"/>
              <w:tabs>
                <w:tab w:val="left" w:pos="2055"/>
              </w:tabs>
              <w:jc w:val="both"/>
              <w:rPr>
                <w:rFonts w:ascii="Calibri" w:hAnsi="Calibri" w:cs="Calibri"/>
                <w:b/>
                <w:color w:val="auto"/>
              </w:rPr>
            </w:pPr>
            <w:r w:rsidRPr="004B4374">
              <w:rPr>
                <w:rFonts w:ascii="Calibri" w:hAnsi="Calibri" w:cs="Calibri"/>
                <w:b/>
                <w:color w:val="auto"/>
              </w:rPr>
              <w:t>Parágrafo único. Excluem-se do disposto no inciso I do</w:t>
            </w:r>
            <w:r w:rsidRPr="004B4374" w:rsidR="00B1562E">
              <w:rPr>
                <w:rFonts w:ascii="Calibri" w:hAnsi="Calibri" w:cs="Calibri"/>
                <w:b/>
                <w:color w:val="auto"/>
              </w:rPr>
              <w:t xml:space="preserve"> </w:t>
            </w:r>
            <w:r w:rsidRPr="004B4374">
              <w:rPr>
                <w:rFonts w:ascii="Calibri" w:hAnsi="Calibri" w:cs="Calibri"/>
                <w:b/>
                <w:color w:val="auto"/>
              </w:rPr>
              <w:t>caput os bairros tombados.</w:t>
            </w:r>
          </w:p>
          <w:p w:rsidR="00B1562E" w:rsidRPr="004B4374" w:rsidP="009E04BC">
            <w:pPr>
              <w:pStyle w:val="Default"/>
              <w:tabs>
                <w:tab w:val="left" w:pos="2055"/>
              </w:tabs>
              <w:jc w:val="both"/>
              <w:rPr>
                <w:rFonts w:ascii="Calibri" w:hAnsi="Calibri" w:cs="Calibri"/>
                <w:b/>
                <w:color w:val="auto"/>
              </w:rPr>
            </w:pPr>
          </w:p>
        </w:tc>
      </w:tr>
      <w:tr w:rsidTr="000368DD">
        <w:tblPrEx>
          <w:tblW w:w="8613" w:type="dxa"/>
          <w:tblLook w:val="04A0"/>
        </w:tblPrEx>
        <w:tc>
          <w:tcPr>
            <w:tcW w:w="4077" w:type="dxa"/>
          </w:tcPr>
          <w:p w:rsidR="00B1562E" w:rsidRPr="004B4374" w:rsidP="00F215B2">
            <w:pPr>
              <w:pStyle w:val="Default"/>
              <w:tabs>
                <w:tab w:val="left" w:pos="2055"/>
              </w:tabs>
              <w:jc w:val="both"/>
              <w:rPr>
                <w:rFonts w:ascii="Calibri" w:eastAsia="Times New Roman" w:hAnsi="Calibri" w:cs="Calibri"/>
                <w:color w:val="auto"/>
              </w:rPr>
            </w:pPr>
          </w:p>
          <w:p w:rsidR="00B1562E" w:rsidRPr="004B4374" w:rsidP="00F215B2">
            <w:pPr>
              <w:pStyle w:val="Default"/>
              <w:tabs>
                <w:tab w:val="left" w:pos="2055"/>
              </w:tabs>
              <w:jc w:val="both"/>
              <w:rPr>
                <w:rFonts w:ascii="Calibri" w:eastAsia="Times New Roman" w:hAnsi="Calibri" w:cs="Calibri"/>
                <w:color w:val="auto"/>
              </w:rPr>
            </w:pPr>
          </w:p>
          <w:p w:rsidR="00B1562E" w:rsidRPr="004B4374" w:rsidP="00F215B2">
            <w:pPr>
              <w:pStyle w:val="Default"/>
              <w:tabs>
                <w:tab w:val="left" w:pos="2055"/>
              </w:tabs>
              <w:jc w:val="both"/>
              <w:rPr>
                <w:rFonts w:ascii="Calibri" w:eastAsia="Times New Roman" w:hAnsi="Calibri" w:cs="Calibri"/>
                <w:color w:val="auto"/>
              </w:rPr>
            </w:pPr>
          </w:p>
          <w:p w:rsidR="00B1562E" w:rsidRPr="004B4374" w:rsidP="00F215B2">
            <w:pPr>
              <w:pStyle w:val="Default"/>
              <w:tabs>
                <w:tab w:val="left" w:pos="2055"/>
              </w:tabs>
              <w:jc w:val="both"/>
              <w:rPr>
                <w:rFonts w:ascii="Calibri" w:eastAsia="Times New Roman" w:hAnsi="Calibri" w:cs="Calibri"/>
                <w:color w:val="auto"/>
              </w:rPr>
            </w:pPr>
          </w:p>
          <w:p w:rsidR="00B1562E" w:rsidRPr="004B4374" w:rsidP="00F215B2">
            <w:pPr>
              <w:pStyle w:val="Default"/>
              <w:tabs>
                <w:tab w:val="left" w:pos="2055"/>
              </w:tabs>
              <w:jc w:val="both"/>
              <w:rPr>
                <w:rFonts w:ascii="Calibri" w:eastAsia="Times New Roman" w:hAnsi="Calibri" w:cs="Calibri"/>
                <w:color w:val="auto"/>
              </w:rPr>
            </w:pPr>
          </w:p>
          <w:p w:rsidR="00F215B2"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Art. 117. Os Instrumentos Fiscais e Financeiros visam à indução das ações previstas pelo Plano Diretor, com foco na conservação ambiental e na qualificação do meio urbano construído, sendo eles:</w:t>
            </w:r>
          </w:p>
          <w:p w:rsidR="00F215B2"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I - Imposto Sobre a Propriedade Predial e Territorial Urbana (IPTU);</w:t>
            </w:r>
          </w:p>
          <w:p w:rsidR="00F215B2"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II - Imposto Sobre a Propriedade Territorial Rural (ITR);</w:t>
            </w:r>
          </w:p>
          <w:p w:rsidR="00F215B2"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III - Pagamento por Prestação de Serviços Ambientais (PSA);</w:t>
            </w:r>
          </w:p>
          <w:p w:rsidR="00F215B2"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IV - Contribuição de melhoria;</w:t>
            </w:r>
          </w:p>
          <w:p w:rsidR="00F215B2"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V - Fundo de Desenvolvimento Urbano (FDU);</w:t>
            </w:r>
          </w:p>
          <w:p w:rsidR="00F215B2"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VI - Fundo Municipal de Meio Ambiente e Desenvolvimento Sustentável</w:t>
            </w:r>
          </w:p>
          <w:p w:rsidR="00F215B2"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(FMMA);</w:t>
            </w:r>
          </w:p>
          <w:p w:rsidR="00F215B2"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 xml:space="preserve">VII - Fundo Municipal de Desenvolvimento Rural Sustentável (FDRS); </w:t>
            </w:r>
            <w:r w:rsidRPr="004B4374">
              <w:rPr>
                <w:rFonts w:ascii="Calibri" w:eastAsia="Times New Roman" w:hAnsi="Calibri" w:cs="Calibri"/>
                <w:color w:val="auto"/>
              </w:rPr>
              <w:t>e</w:t>
            </w:r>
          </w:p>
          <w:p w:rsidR="00F215B2"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VIII - Fundo Municipal de Habitação (FUMHAB)</w:t>
            </w:r>
          </w:p>
          <w:p w:rsidR="00416A67" w:rsidRPr="004B4374" w:rsidP="00F215B2">
            <w:pPr>
              <w:pStyle w:val="Default"/>
              <w:tabs>
                <w:tab w:val="left" w:pos="2055"/>
              </w:tabs>
              <w:jc w:val="both"/>
              <w:rPr>
                <w:rFonts w:ascii="Calibri" w:eastAsia="Times New Roman" w:hAnsi="Calibri" w:cs="Calibri"/>
                <w:color w:val="auto"/>
              </w:rPr>
            </w:pPr>
            <w:r w:rsidRPr="004B4374">
              <w:rPr>
                <w:rFonts w:ascii="Calibri" w:eastAsia="Times New Roman" w:hAnsi="Calibri" w:cs="Calibri"/>
                <w:color w:val="auto"/>
              </w:rPr>
              <w:t>Parágrafo único. Quando indicado, os instrumentos devem ser objeto de regulamentação por meio de lei municipal específica.</w:t>
            </w:r>
          </w:p>
        </w:tc>
        <w:tc>
          <w:tcPr>
            <w:tcW w:w="4536" w:type="dxa"/>
          </w:tcPr>
          <w:p w:rsidR="00B1562E" w:rsidRPr="004B4374" w:rsidP="00F215B2">
            <w:pPr>
              <w:pStyle w:val="Default"/>
              <w:tabs>
                <w:tab w:val="left" w:pos="2055"/>
              </w:tabs>
              <w:jc w:val="both"/>
              <w:rPr>
                <w:color w:val="auto"/>
              </w:rPr>
            </w:pPr>
          </w:p>
          <w:p w:rsidR="00B1562E" w:rsidRPr="004B4374" w:rsidP="00F215B2">
            <w:pPr>
              <w:pStyle w:val="Default"/>
              <w:tabs>
                <w:tab w:val="left" w:pos="2055"/>
              </w:tabs>
              <w:jc w:val="both"/>
              <w:rPr>
                <w:rFonts w:asciiTheme="minorHAnsi" w:hAnsiTheme="minorHAnsi"/>
                <w:i/>
                <w:color w:val="auto"/>
              </w:rPr>
            </w:pPr>
            <w:r w:rsidRPr="004B4374">
              <w:rPr>
                <w:rFonts w:asciiTheme="minorHAnsi" w:hAnsiTheme="minorHAnsi"/>
                <w:i/>
                <w:color w:val="auto"/>
              </w:rPr>
              <w:t>Art. 3º É alterado o caput do Art. 117 do Projeto de Lei 185/2022, passando a ter a seguinte redação:</w:t>
            </w:r>
          </w:p>
          <w:p w:rsidR="00B1562E" w:rsidRPr="004B4374" w:rsidP="00F215B2">
            <w:pPr>
              <w:pStyle w:val="Default"/>
              <w:tabs>
                <w:tab w:val="left" w:pos="2055"/>
              </w:tabs>
              <w:jc w:val="both"/>
              <w:rPr>
                <w:rFonts w:ascii="Calibri" w:hAnsi="Calibri" w:cs="Calibri"/>
                <w:b/>
                <w:color w:val="auto"/>
              </w:rPr>
            </w:pPr>
          </w:p>
          <w:p w:rsidR="00416A67" w:rsidRPr="004B4374" w:rsidP="00F215B2">
            <w:pPr>
              <w:pStyle w:val="Default"/>
              <w:tabs>
                <w:tab w:val="left" w:pos="2055"/>
              </w:tabs>
              <w:jc w:val="both"/>
              <w:rPr>
                <w:rFonts w:ascii="Calibri" w:hAnsi="Calibri" w:cs="Calibri"/>
                <w:color w:val="auto"/>
              </w:rPr>
            </w:pPr>
            <w:r w:rsidRPr="004B4374">
              <w:rPr>
                <w:rFonts w:ascii="Calibri" w:hAnsi="Calibri" w:cs="Calibri"/>
                <w:color w:val="auto"/>
              </w:rPr>
              <w:t xml:space="preserve">Art. 117. Os Instrumentos Fiscais e Financeiros visam à indução das ações previstas pelo Plano Diretor, com foco na conservação ambiental, </w:t>
            </w:r>
            <w:r w:rsidRPr="004B4374">
              <w:rPr>
                <w:rFonts w:ascii="Calibri" w:hAnsi="Calibri" w:cs="Calibri"/>
                <w:b/>
                <w:color w:val="auto"/>
              </w:rPr>
              <w:t>preservação histórico-cultural</w:t>
            </w:r>
            <w:r w:rsidRPr="004B4374">
              <w:rPr>
                <w:rFonts w:ascii="Calibri" w:hAnsi="Calibri" w:cs="Calibri"/>
                <w:color w:val="auto"/>
              </w:rPr>
              <w:t xml:space="preserve"> e na qualificação do meio urbano construído, sendo eles:</w:t>
            </w:r>
          </w:p>
          <w:p w:rsidR="00F215B2" w:rsidRPr="004B4374" w:rsidP="00F215B2">
            <w:pPr>
              <w:pStyle w:val="Default"/>
              <w:tabs>
                <w:tab w:val="left" w:pos="2055"/>
              </w:tabs>
              <w:jc w:val="both"/>
              <w:rPr>
                <w:rFonts w:ascii="Calibri" w:hAnsi="Calibri" w:cs="Calibri"/>
                <w:b/>
                <w:color w:val="auto"/>
              </w:rPr>
            </w:pPr>
            <w:r w:rsidRPr="004B4374">
              <w:rPr>
                <w:rFonts w:ascii="Calibri" w:hAnsi="Calibri" w:cs="Calibri"/>
                <w:b/>
                <w:color w:val="auto"/>
              </w:rPr>
              <w:t>[...]</w:t>
            </w:r>
          </w:p>
        </w:tc>
      </w:tr>
      <w:tr w:rsidTr="000368DD">
        <w:tblPrEx>
          <w:tblW w:w="8613" w:type="dxa"/>
          <w:tblLook w:val="04A0"/>
        </w:tblPrEx>
        <w:tc>
          <w:tcPr>
            <w:tcW w:w="4077" w:type="dxa"/>
          </w:tcPr>
          <w:p w:rsidR="00B1562E" w:rsidRPr="004B4374" w:rsidP="00F215B2">
            <w:pPr>
              <w:pStyle w:val="Default"/>
              <w:tabs>
                <w:tab w:val="left" w:pos="2055"/>
              </w:tabs>
              <w:jc w:val="both"/>
              <w:rPr>
                <w:rFonts w:ascii="Calibri" w:eastAsia="Times New Roman" w:hAnsi="Calibri" w:cs="Calibri"/>
                <w:b/>
                <w:color w:val="auto"/>
              </w:rPr>
            </w:pPr>
          </w:p>
        </w:tc>
        <w:tc>
          <w:tcPr>
            <w:tcW w:w="4536" w:type="dxa"/>
          </w:tcPr>
          <w:p w:rsidR="00EC5876" w:rsidRPr="004B4374" w:rsidP="00B1562E">
            <w:pPr>
              <w:pStyle w:val="Default"/>
              <w:spacing w:after="240"/>
              <w:jc w:val="both"/>
              <w:rPr>
                <w:rFonts w:asciiTheme="minorHAnsi" w:hAnsiTheme="minorHAnsi"/>
                <w:b/>
                <w:i/>
                <w:color w:val="auto"/>
              </w:rPr>
            </w:pPr>
          </w:p>
          <w:p w:rsidR="00B1562E" w:rsidRPr="004B4374" w:rsidP="00B1562E">
            <w:pPr>
              <w:pStyle w:val="Default"/>
              <w:spacing w:after="240"/>
              <w:jc w:val="both"/>
              <w:rPr>
                <w:rFonts w:asciiTheme="minorHAnsi" w:hAnsiTheme="minorHAnsi"/>
                <w:b/>
                <w:i/>
                <w:color w:val="auto"/>
              </w:rPr>
            </w:pPr>
            <w:r w:rsidRPr="004B4374">
              <w:rPr>
                <w:rFonts w:asciiTheme="minorHAnsi" w:hAnsiTheme="minorHAnsi"/>
                <w:b/>
                <w:i/>
                <w:color w:val="auto"/>
              </w:rPr>
              <w:t>Art. 4º É alterado o Anexo III do Projeto de Lei 185/2022 – Mapa Áreas Estratégicas - para incluir e identificar as Áreas Estratégicas previstas nesta emenda.</w:t>
            </w:r>
          </w:p>
          <w:p w:rsidR="00B1562E" w:rsidRPr="004B4374" w:rsidP="00F215B2">
            <w:pPr>
              <w:pStyle w:val="Default"/>
              <w:tabs>
                <w:tab w:val="left" w:pos="2055"/>
              </w:tabs>
              <w:jc w:val="both"/>
              <w:rPr>
                <w:b/>
                <w:color w:val="auto"/>
              </w:rPr>
            </w:pPr>
          </w:p>
        </w:tc>
      </w:tr>
    </w:tbl>
    <w:p w:rsidR="00473A76" w:rsidRPr="004B4374" w:rsidP="0023693B">
      <w:pPr>
        <w:pStyle w:val="Default"/>
        <w:spacing w:after="240" w:line="360" w:lineRule="auto"/>
        <w:ind w:firstLine="2268"/>
        <w:jc w:val="both"/>
        <w:rPr>
          <w:rFonts w:ascii="Calibri" w:hAnsi="Calibri" w:cs="Calibri"/>
          <w:i/>
          <w:color w:val="auto"/>
          <w:sz w:val="12"/>
          <w:szCs w:val="12"/>
        </w:rPr>
      </w:pPr>
    </w:p>
    <w:p w:rsidR="001962C1" w:rsidRPr="004B4374" w:rsidP="00A779B8">
      <w:pPr>
        <w:pStyle w:val="Default"/>
        <w:spacing w:after="240" w:line="360" w:lineRule="auto"/>
        <w:ind w:firstLine="2268"/>
        <w:jc w:val="both"/>
        <w:rPr>
          <w:rFonts w:ascii="Calibri" w:hAnsi="Calibri" w:cs="Calibri"/>
          <w:color w:val="auto"/>
        </w:rPr>
      </w:pPr>
      <w:r w:rsidRPr="004B4374">
        <w:rPr>
          <w:rFonts w:ascii="Calibri" w:hAnsi="Calibri" w:cs="Calibri"/>
          <w:color w:val="auto"/>
        </w:rPr>
        <w:t>Consta da justificativa do projeto:</w:t>
      </w:r>
    </w:p>
    <w:p w:rsidR="000C0CB7" w:rsidRPr="004B4374" w:rsidP="00EC5876">
      <w:pPr>
        <w:pStyle w:val="Default"/>
        <w:ind w:left="2835"/>
        <w:jc w:val="both"/>
        <w:rPr>
          <w:rFonts w:ascii="Calibri" w:hAnsi="Calibri" w:cs="Calibri"/>
          <w:i/>
          <w:color w:val="auto"/>
          <w:sz w:val="22"/>
          <w:szCs w:val="22"/>
        </w:rPr>
      </w:pPr>
      <w:r w:rsidRPr="004B4374">
        <w:rPr>
          <w:rFonts w:ascii="Calibri" w:hAnsi="Calibri" w:cs="Calibri"/>
          <w:i/>
          <w:color w:val="auto"/>
          <w:sz w:val="22"/>
          <w:szCs w:val="22"/>
        </w:rPr>
        <w:t xml:space="preserve">A presente emenda tem o objetivo de criar as Áreas Estratégicas de Preservação Histórico-Cultural (AEPHC), de modo a promover e incentivar a preservação, a conservação, o </w:t>
      </w:r>
      <w:r w:rsidRPr="004B4374">
        <w:rPr>
          <w:rFonts w:ascii="Calibri" w:hAnsi="Calibri" w:cs="Calibri"/>
          <w:i/>
          <w:color w:val="auto"/>
          <w:sz w:val="22"/>
          <w:szCs w:val="22"/>
        </w:rPr>
        <w:t>restauro</w:t>
      </w:r>
      <w:r w:rsidRPr="004B4374">
        <w:rPr>
          <w:rFonts w:ascii="Calibri" w:hAnsi="Calibri" w:cs="Calibri"/>
          <w:i/>
          <w:color w:val="auto"/>
          <w:sz w:val="22"/>
          <w:szCs w:val="22"/>
        </w:rPr>
        <w:t xml:space="preserve"> e a valorização do patrimônio cultural no âmbito do Município de Valinhos. </w:t>
      </w:r>
    </w:p>
    <w:p w:rsidR="000C0CB7" w:rsidRPr="004B4374" w:rsidP="00EC5876">
      <w:pPr>
        <w:pStyle w:val="Default"/>
        <w:ind w:left="2835"/>
        <w:jc w:val="both"/>
        <w:rPr>
          <w:rFonts w:ascii="Calibri" w:hAnsi="Calibri" w:cs="Calibri"/>
          <w:i/>
          <w:color w:val="auto"/>
          <w:sz w:val="12"/>
          <w:szCs w:val="12"/>
        </w:rPr>
      </w:pPr>
    </w:p>
    <w:p w:rsidR="001E6618" w:rsidRPr="004B4374" w:rsidP="00EC5876">
      <w:pPr>
        <w:pStyle w:val="Default"/>
        <w:ind w:left="2835"/>
        <w:jc w:val="both"/>
        <w:rPr>
          <w:rFonts w:ascii="Calibri" w:hAnsi="Calibri" w:cs="Calibri"/>
          <w:i/>
          <w:color w:val="auto"/>
          <w:sz w:val="22"/>
          <w:szCs w:val="22"/>
        </w:rPr>
      </w:pPr>
      <w:r w:rsidRPr="004B4374">
        <w:rPr>
          <w:rFonts w:ascii="Calibri" w:hAnsi="Calibri" w:cs="Calibri"/>
          <w:i/>
          <w:color w:val="auto"/>
          <w:sz w:val="22"/>
          <w:szCs w:val="22"/>
        </w:rPr>
        <w:t xml:space="preserve">Hoje possuímos diversas áreas nesta condição, mas que precisam de proteção e estímulo para </w:t>
      </w:r>
      <w:r w:rsidRPr="004B4374">
        <w:rPr>
          <w:rFonts w:ascii="Calibri" w:hAnsi="Calibri" w:cs="Calibri"/>
          <w:i/>
          <w:color w:val="auto"/>
          <w:sz w:val="22"/>
          <w:szCs w:val="22"/>
        </w:rPr>
        <w:t>serem</w:t>
      </w:r>
      <w:r w:rsidRPr="004B4374">
        <w:rPr>
          <w:rFonts w:ascii="Calibri" w:hAnsi="Calibri" w:cs="Calibri"/>
          <w:i/>
          <w:color w:val="auto"/>
          <w:sz w:val="22"/>
          <w:szCs w:val="22"/>
        </w:rPr>
        <w:t xml:space="preserve"> preservadas. A vinculação desta área estratégica a instrumentos como a Transferência do Potencial Construtivo (TPC) e a isenção de IPTU para quem executa obras de restauro, conservação e recuperação nestes imóveis são </w:t>
      </w:r>
      <w:r w:rsidRPr="004B4374">
        <w:rPr>
          <w:rFonts w:ascii="Calibri" w:hAnsi="Calibri" w:cs="Calibri"/>
          <w:i/>
          <w:color w:val="auto"/>
          <w:sz w:val="22"/>
          <w:szCs w:val="22"/>
        </w:rPr>
        <w:t>meios</w:t>
      </w:r>
      <w:r w:rsidRPr="004B4374">
        <w:rPr>
          <w:rFonts w:ascii="Calibri" w:hAnsi="Calibri" w:cs="Calibri"/>
          <w:i/>
          <w:color w:val="auto"/>
          <w:sz w:val="22"/>
          <w:szCs w:val="22"/>
        </w:rPr>
        <w:t xml:space="preserve"> para garantir os objetivos pretendidos com a criação desta área.</w:t>
      </w:r>
    </w:p>
    <w:p w:rsidR="000C0CB7" w:rsidRPr="004B4374" w:rsidP="00A779B8">
      <w:pPr>
        <w:pStyle w:val="Default"/>
        <w:spacing w:after="240" w:line="360" w:lineRule="auto"/>
        <w:ind w:firstLine="2268"/>
        <w:jc w:val="both"/>
        <w:rPr>
          <w:rFonts w:ascii="Calibri" w:hAnsi="Calibri" w:cs="Calibri"/>
          <w:i/>
          <w:color w:val="auto"/>
          <w:sz w:val="12"/>
          <w:szCs w:val="12"/>
        </w:rPr>
      </w:pPr>
    </w:p>
    <w:p w:rsidR="00A779B8" w:rsidRPr="004B4374" w:rsidP="00A779B8">
      <w:pPr>
        <w:pStyle w:val="Default"/>
        <w:spacing w:after="240" w:line="360" w:lineRule="auto"/>
        <w:ind w:firstLine="2268"/>
        <w:jc w:val="both"/>
        <w:rPr>
          <w:rFonts w:ascii="Calibri" w:hAnsi="Calibri" w:cs="Calibri"/>
          <w:color w:val="auto"/>
        </w:rPr>
      </w:pPr>
      <w:r w:rsidRPr="004B4374">
        <w:rPr>
          <w:rFonts w:ascii="Calibri" w:hAnsi="Calibri" w:cs="Calibri"/>
          <w:i/>
          <w:color w:val="auto"/>
        </w:rPr>
        <w:t>Ab initio</w:t>
      </w:r>
      <w:r w:rsidRPr="004B4374">
        <w:rPr>
          <w:rFonts w:ascii="Calibri" w:hAnsi="Calibri" w:cs="Calibri"/>
          <w:color w:val="auto"/>
        </w:rPr>
        <w:t>, cumpre destacar a competência regimental da Comissão de Justiça e Redação, estabelecida no artigo 38.</w:t>
      </w:r>
    </w:p>
    <w:p w:rsidR="00A779B8" w:rsidRPr="004B4374" w:rsidP="00A36A7A">
      <w:pPr>
        <w:spacing w:after="120" w:line="360" w:lineRule="auto"/>
        <w:ind w:firstLine="2268"/>
        <w:jc w:val="both"/>
        <w:rPr>
          <w:rFonts w:ascii="Calibri" w:hAnsi="Calibri" w:cs="Calibri"/>
        </w:rPr>
      </w:pPr>
      <w:r w:rsidRPr="004B4374">
        <w:rPr>
          <w:rFonts w:ascii="Calibri" w:hAnsi="Calibri" w:cs="Calibri"/>
          <w:szCs w:val="24"/>
        </w:rPr>
        <w:t>Outrossim</w:t>
      </w:r>
      <w:r w:rsidRPr="004B4374">
        <w:rPr>
          <w:rFonts w:ascii="Calibri" w:hAnsi="Calibri" w:cs="Calibri"/>
          <w:szCs w:val="24"/>
        </w:rPr>
        <w:t xml:space="preserve">, ressalta-se que a opinião jurídica exarada neste parecer </w:t>
      </w:r>
      <w:r w:rsidRPr="004B4374">
        <w:rPr>
          <w:rFonts w:ascii="Calibri" w:hAnsi="Calibri" w:cs="Calibri"/>
          <w:b/>
          <w:szCs w:val="24"/>
        </w:rPr>
        <w:t>não tem força vinculante,</w:t>
      </w:r>
      <w:r w:rsidRPr="004B4374" w:rsidR="00A36A7A">
        <w:rPr>
          <w:rFonts w:ascii="Calibri" w:hAnsi="Calibri" w:cs="Calibri"/>
          <w:szCs w:val="24"/>
        </w:rPr>
        <w:t xml:space="preserve"> sendo meramente opinativa</w:t>
      </w:r>
      <w:r>
        <w:rPr>
          <w:rStyle w:val="FootnoteReference"/>
          <w:rFonts w:ascii="Calibri" w:hAnsi="Calibri" w:cs="Calibri"/>
        </w:rPr>
        <w:footnoteReference w:id="2"/>
      </w:r>
      <w:r w:rsidRPr="004B4374" w:rsidR="00DF22E1">
        <w:rPr>
          <w:rFonts w:ascii="Calibri" w:hAnsi="Calibri" w:cs="Calibri"/>
        </w:rPr>
        <w:t xml:space="preserve"> </w:t>
      </w:r>
      <w:r w:rsidRPr="004B4374">
        <w:rPr>
          <w:rFonts w:ascii="Calibri" w:hAnsi="Calibri" w:cs="Calibri"/>
          <w:szCs w:val="24"/>
        </w:rPr>
        <w:t xml:space="preserve"> não fundamentando decisão proferida pelas Comissões e/ou nobres vereadores.</w:t>
      </w:r>
      <w:r w:rsidRPr="004B4374" w:rsidR="00A36A7A">
        <w:rPr>
          <w:rFonts w:ascii="Calibri" w:hAnsi="Calibri" w:cs="Calibri"/>
          <w:szCs w:val="24"/>
        </w:rPr>
        <w:t xml:space="preserve"> </w:t>
      </w:r>
    </w:p>
    <w:p w:rsidR="00A779B8" w:rsidRPr="004B4374" w:rsidP="00A779B8">
      <w:pPr>
        <w:tabs>
          <w:tab w:val="left" w:pos="1701"/>
        </w:tabs>
        <w:spacing w:after="240" w:line="360" w:lineRule="auto"/>
        <w:ind w:firstLine="2268"/>
        <w:jc w:val="both"/>
        <w:rPr>
          <w:rFonts w:ascii="Calibri" w:eastAsia="Calibri" w:hAnsi="Calibri" w:cs="Calibri"/>
          <w:szCs w:val="24"/>
        </w:rPr>
      </w:pPr>
      <w:r w:rsidRPr="004B4374">
        <w:rPr>
          <w:rFonts w:ascii="Calibri" w:eastAsia="Calibri" w:hAnsi="Calibri" w:cs="Calibri"/>
          <w:szCs w:val="24"/>
        </w:rPr>
        <w:t>Desta feita, considerando os aspectos jurídicos</w:t>
      </w:r>
      <w:r w:rsidRPr="004B4374" w:rsidR="001604ED">
        <w:rPr>
          <w:rFonts w:ascii="Calibri" w:eastAsia="Calibri" w:hAnsi="Calibri" w:cs="Calibri"/>
          <w:szCs w:val="24"/>
        </w:rPr>
        <w:t xml:space="preserve"> passamos para</w:t>
      </w:r>
      <w:r w:rsidRPr="004B4374">
        <w:rPr>
          <w:rFonts w:ascii="Calibri" w:eastAsia="Calibri" w:hAnsi="Calibri" w:cs="Calibri"/>
          <w:szCs w:val="24"/>
        </w:rPr>
        <w:t xml:space="preserve"> análise técnica do projeto em epígrafe solicitado.</w:t>
      </w:r>
    </w:p>
    <w:p w:rsidR="00A779B8" w:rsidRPr="004B4374" w:rsidP="00A779B8">
      <w:pPr>
        <w:spacing w:before="240" w:after="240" w:line="360" w:lineRule="auto"/>
        <w:ind w:firstLine="2268"/>
        <w:jc w:val="both"/>
        <w:rPr>
          <w:rFonts w:ascii="Calibri" w:hAnsi="Calibri" w:cs="Calibri"/>
          <w:szCs w:val="24"/>
        </w:rPr>
      </w:pPr>
      <w:r w:rsidRPr="004B4374">
        <w:rPr>
          <w:rFonts w:ascii="Calibri" w:hAnsi="Calibri" w:cs="Calibri"/>
          <w:szCs w:val="24"/>
        </w:rPr>
        <w:t>No que tange aos projetos de emendas o Regimento Interno desta Casa de Leis assim estabelece:</w:t>
      </w:r>
    </w:p>
    <w:p w:rsidR="00A779B8" w:rsidRPr="004B4374" w:rsidP="00DC5ECC">
      <w:pPr>
        <w:autoSpaceDE w:val="0"/>
        <w:autoSpaceDN w:val="0"/>
        <w:adjustRightInd w:val="0"/>
        <w:spacing w:after="0" w:line="240" w:lineRule="auto"/>
        <w:ind w:left="2835"/>
        <w:jc w:val="both"/>
        <w:rPr>
          <w:rFonts w:ascii="Calibri" w:hAnsi="Calibri" w:cs="Calibri"/>
          <w:i/>
          <w:sz w:val="22"/>
          <w:szCs w:val="22"/>
          <w:u w:val="single"/>
        </w:rPr>
      </w:pPr>
      <w:r w:rsidRPr="004B4374">
        <w:rPr>
          <w:rFonts w:ascii="Calibri" w:hAnsi="Calibri" w:cs="Calibri"/>
          <w:i/>
          <w:sz w:val="22"/>
          <w:szCs w:val="22"/>
        </w:rPr>
        <w:t xml:space="preserve">Art. 140. </w:t>
      </w:r>
      <w:r w:rsidRPr="004B4374">
        <w:rPr>
          <w:rFonts w:ascii="Calibri" w:hAnsi="Calibri" w:cs="Calibri"/>
          <w:b/>
          <w:i/>
          <w:sz w:val="22"/>
          <w:szCs w:val="22"/>
          <w:u w:val="single"/>
        </w:rPr>
        <w:t>Emenda é a correção apresentada a um dispositivo de projeto de lei ou de resolução.</w:t>
      </w:r>
      <w:r w:rsidRPr="004B4374">
        <w:rPr>
          <w:rFonts w:ascii="Calibri" w:hAnsi="Calibri" w:cs="Calibri"/>
          <w:i/>
          <w:sz w:val="22"/>
          <w:szCs w:val="22"/>
          <w:u w:val="single"/>
        </w:rPr>
        <w:t xml:space="preserve"> </w:t>
      </w:r>
    </w:p>
    <w:p w:rsidR="00A779B8"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 1º. Emenda supressiva é a que manda suprimir, em parte ou no todo, o artigo do projeto. </w:t>
      </w:r>
    </w:p>
    <w:p w:rsidR="00A779B8"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 2º. Emenda substitutiva é a que deve ser colocada no lugar do artigo. </w:t>
      </w:r>
    </w:p>
    <w:p w:rsidR="00A779B8" w:rsidRPr="004B4374" w:rsidP="00DC5ECC">
      <w:pPr>
        <w:autoSpaceDE w:val="0"/>
        <w:autoSpaceDN w:val="0"/>
        <w:adjustRightInd w:val="0"/>
        <w:spacing w:after="0" w:line="240" w:lineRule="auto"/>
        <w:ind w:left="2835"/>
        <w:jc w:val="both"/>
        <w:rPr>
          <w:rFonts w:ascii="Calibri" w:hAnsi="Calibri" w:cs="Calibri"/>
          <w:b/>
          <w:i/>
          <w:sz w:val="22"/>
          <w:szCs w:val="22"/>
        </w:rPr>
      </w:pPr>
      <w:r w:rsidRPr="004B4374">
        <w:rPr>
          <w:rFonts w:ascii="Calibri" w:hAnsi="Calibri" w:cs="Calibri"/>
          <w:i/>
          <w:sz w:val="22"/>
          <w:szCs w:val="22"/>
        </w:rPr>
        <w:t>§ 3º. Emenda aditiva é a que deve ser acrescentada aos termos do artigo</w:t>
      </w:r>
      <w:r w:rsidRPr="004B4374">
        <w:rPr>
          <w:rFonts w:ascii="Calibri" w:hAnsi="Calibri" w:cs="Calibri"/>
          <w:b/>
          <w:i/>
          <w:sz w:val="22"/>
          <w:szCs w:val="22"/>
        </w:rPr>
        <w:t xml:space="preserve">. </w:t>
      </w:r>
    </w:p>
    <w:p w:rsidR="00A779B8"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 4º. Emenda modificativa é a que se refere apenas à redação do artigo, sem alterar a sua substância. </w:t>
      </w:r>
    </w:p>
    <w:p w:rsidR="00A779B8"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 5º. A emenda apresentada à outra emenda denomina-se subemenda. </w:t>
      </w:r>
    </w:p>
    <w:p w:rsidR="00A779B8" w:rsidRPr="004B4374" w:rsidP="00DC5ECC">
      <w:pPr>
        <w:autoSpaceDE w:val="0"/>
        <w:autoSpaceDN w:val="0"/>
        <w:adjustRightInd w:val="0"/>
        <w:spacing w:after="0" w:line="240" w:lineRule="auto"/>
        <w:ind w:left="2835"/>
        <w:jc w:val="both"/>
        <w:rPr>
          <w:rFonts w:ascii="Calibri" w:hAnsi="Calibri" w:cs="Calibri"/>
          <w:b/>
          <w:i/>
          <w:sz w:val="22"/>
          <w:szCs w:val="22"/>
        </w:rPr>
      </w:pPr>
      <w:r w:rsidRPr="004B4374">
        <w:rPr>
          <w:rFonts w:ascii="Calibri" w:hAnsi="Calibri" w:cs="Calibri"/>
          <w:i/>
          <w:sz w:val="22"/>
          <w:szCs w:val="22"/>
        </w:rPr>
        <w:t xml:space="preserve">Art. 141. </w:t>
      </w:r>
      <w:r w:rsidRPr="004B4374">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 1º. O autor do projeto que receber substitutivo ou </w:t>
      </w:r>
      <w:r w:rsidRPr="004B4374">
        <w:rPr>
          <w:rFonts w:ascii="Calibri" w:hAnsi="Calibri" w:cs="Calibri"/>
          <w:i/>
          <w:sz w:val="22"/>
          <w:szCs w:val="22"/>
        </w:rPr>
        <w:t>emenda estranhos</w:t>
      </w:r>
      <w:r w:rsidRPr="004B4374">
        <w:rPr>
          <w:rFonts w:ascii="Calibri" w:hAnsi="Calibri" w:cs="Calibri"/>
          <w:i/>
          <w:sz w:val="22"/>
          <w:szCs w:val="22"/>
        </w:rPr>
        <w:t xml:space="preserve"> ao seu objetivo terá o direito de reclamar contra a sua admissão, competindo ao Presidente decidir sobre a reclamação. </w:t>
      </w:r>
    </w:p>
    <w:p w:rsidR="00A779B8"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2º. Da decisão do Presidente caberá recurso ao Plenário, a ser proposto pelo autor do projeto ou do substitutivo ou emenda.</w:t>
      </w:r>
    </w:p>
    <w:p w:rsidR="00A779B8" w:rsidRPr="004B4374" w:rsidP="00A779B8">
      <w:pPr>
        <w:autoSpaceDE w:val="0"/>
        <w:autoSpaceDN w:val="0"/>
        <w:adjustRightInd w:val="0"/>
        <w:spacing w:before="120"/>
        <w:ind w:left="2835"/>
        <w:jc w:val="both"/>
        <w:rPr>
          <w:rFonts w:ascii="Calibri" w:hAnsi="Calibri" w:cs="Calibri"/>
          <w:i/>
          <w:sz w:val="12"/>
          <w:szCs w:val="12"/>
        </w:rPr>
      </w:pPr>
    </w:p>
    <w:p w:rsidR="00026560" w:rsidRPr="004B4374" w:rsidP="00026560">
      <w:pPr>
        <w:autoSpaceDE w:val="0"/>
        <w:autoSpaceDN w:val="0"/>
        <w:adjustRightInd w:val="0"/>
        <w:spacing w:before="240" w:after="240" w:line="360" w:lineRule="auto"/>
        <w:ind w:firstLine="2268"/>
        <w:jc w:val="both"/>
        <w:rPr>
          <w:rFonts w:ascii="Calibri" w:hAnsi="Calibri" w:cs="Calibri"/>
        </w:rPr>
      </w:pPr>
      <w:r w:rsidRPr="004B4374">
        <w:rPr>
          <w:rFonts w:ascii="Calibri" w:hAnsi="Calibri" w:cs="Calibri"/>
          <w:szCs w:val="24"/>
        </w:rPr>
        <w:t xml:space="preserve">Destarte, verifica-se que o projeto de emenda atende aos dispositivos do Regimento Interno da Câmara, </w:t>
      </w:r>
      <w:r w:rsidRPr="004B4374" w:rsidR="00E86B5F">
        <w:rPr>
          <w:rFonts w:ascii="Calibri" w:hAnsi="Calibri" w:eastAsiaTheme="minorHAnsi" w:cs="Calibri"/>
          <w:bCs/>
          <w:lang w:eastAsia="en-US"/>
        </w:rPr>
        <w:t>tratando-se de emenda que tem relação direta com a matéria da proposição principal,</w:t>
      </w:r>
      <w:r w:rsidRPr="004B4374" w:rsidR="00E86B5F">
        <w:rPr>
          <w:rFonts w:ascii="Calibri" w:hAnsi="Calibri" w:cs="Calibri"/>
        </w:rPr>
        <w:t xml:space="preserve"> não havendo óbice na sua tramitação.</w:t>
      </w:r>
    </w:p>
    <w:p w:rsidR="00E86B5F" w:rsidRPr="004B4374"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4B4374">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4B4374">
        <w:rPr>
          <w:rFonts w:ascii="Calibri" w:hAnsi="Calibri" w:eastAsiaTheme="minorHAnsi" w:cs="Calibri"/>
          <w:b/>
          <w:szCs w:val="24"/>
          <w:u w:val="single"/>
          <w:lang w:eastAsia="en-US"/>
        </w:rPr>
        <w:t>desde que guardem pertinência temática com o projeto</w:t>
      </w:r>
      <w:r w:rsidRPr="004B4374">
        <w:rPr>
          <w:rFonts w:ascii="Calibri" w:hAnsi="Calibri" w:eastAsiaTheme="minorHAnsi" w:cs="Calibri"/>
          <w:b/>
          <w:szCs w:val="24"/>
          <w:lang w:eastAsia="en-US"/>
        </w:rPr>
        <w:t xml:space="preserve"> </w:t>
      </w:r>
      <w:r w:rsidRPr="004B4374">
        <w:rPr>
          <w:rFonts w:ascii="Calibri" w:hAnsi="Calibri" w:eastAsiaTheme="minorHAnsi" w:cs="Calibri"/>
          <w:b/>
          <w:szCs w:val="24"/>
          <w:u w:val="single"/>
          <w:lang w:eastAsia="en-US"/>
        </w:rPr>
        <w:t xml:space="preserve">e não </w:t>
      </w:r>
      <w:r w:rsidRPr="004B4374">
        <w:rPr>
          <w:rFonts w:ascii="Calibri" w:hAnsi="Calibri" w:eastAsiaTheme="minorHAnsi" w:cs="Calibri"/>
          <w:b/>
          <w:szCs w:val="24"/>
          <w:u w:val="single"/>
          <w:lang w:eastAsia="en-US"/>
        </w:rPr>
        <w:t>importem</w:t>
      </w:r>
      <w:r w:rsidRPr="004B4374">
        <w:rPr>
          <w:rFonts w:ascii="Calibri" w:hAnsi="Calibri" w:eastAsiaTheme="minorHAnsi" w:cs="Calibri"/>
          <w:b/>
          <w:szCs w:val="24"/>
          <w:u w:val="single"/>
          <w:lang w:eastAsia="en-US"/>
        </w:rPr>
        <w:t xml:space="preserve"> em aumento de despesas</w:t>
      </w:r>
      <w:r w:rsidRPr="004B4374" w:rsidR="000368DD">
        <w:rPr>
          <w:rFonts w:ascii="Calibri" w:hAnsi="Calibri" w:eastAsiaTheme="minorHAnsi" w:cs="Calibri"/>
          <w:b/>
          <w:szCs w:val="24"/>
          <w:u w:val="single"/>
          <w:lang w:eastAsia="en-US"/>
        </w:rPr>
        <w:t xml:space="preserve">, </w:t>
      </w:r>
      <w:r w:rsidRPr="004B4374" w:rsidR="000368DD">
        <w:rPr>
          <w:rFonts w:ascii="Calibri" w:hAnsi="Calibri" w:eastAsiaTheme="minorHAnsi" w:cs="Calibri"/>
          <w:szCs w:val="24"/>
          <w:lang w:eastAsia="en-US"/>
        </w:rPr>
        <w:t>o que desde já se observa na emenda em análise</w:t>
      </w:r>
      <w:r w:rsidRPr="004B4374">
        <w:rPr>
          <w:rFonts w:ascii="Calibri" w:hAnsi="Calibri" w:eastAsiaTheme="minorHAnsi" w:cs="Calibri"/>
          <w:szCs w:val="24"/>
          <w:lang w:eastAsia="en-US"/>
        </w:rPr>
        <w:t>:</w:t>
      </w:r>
    </w:p>
    <w:p w:rsidR="00E86B5F" w:rsidRPr="004B4374" w:rsidP="00EC5876">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4B4374">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4B4374" w:rsidP="00EC5876">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4B4374">
        <w:rPr>
          <w:rFonts w:ascii="Calibri" w:hAnsi="Calibri" w:eastAsiaTheme="minorHAnsi" w:cs="Calibri"/>
          <w:i/>
          <w:sz w:val="22"/>
          <w:szCs w:val="22"/>
          <w:lang w:eastAsia="en-US"/>
        </w:rPr>
        <w:t xml:space="preserve">1. </w:t>
      </w:r>
      <w:r w:rsidRPr="004B4374">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4B4374" w:rsidP="00EC5876">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4B4374">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4B4374" w:rsidP="00EC5876">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4B4374">
        <w:rPr>
          <w:rFonts w:ascii="Calibri" w:hAnsi="Calibri" w:eastAsiaTheme="minorHAnsi" w:cs="Calibri"/>
          <w:i/>
          <w:sz w:val="22"/>
          <w:szCs w:val="22"/>
          <w:lang w:eastAsia="en-US"/>
        </w:rPr>
        <w:t>3. Ação direta de inconstitucionalidade julgada improcedente.</w:t>
      </w:r>
    </w:p>
    <w:p w:rsidR="00E86B5F" w:rsidRPr="004B4374" w:rsidP="00EC5876">
      <w:pPr>
        <w:shd w:val="clear" w:color="auto" w:fill="FFFFFF"/>
        <w:spacing w:before="120" w:after="120" w:line="240" w:lineRule="auto"/>
        <w:ind w:left="2835"/>
        <w:jc w:val="both"/>
        <w:rPr>
          <w:rFonts w:ascii="Calibri" w:hAnsi="Calibri" w:cs="Calibri"/>
          <w:i/>
        </w:rPr>
      </w:pPr>
      <w:r w:rsidRPr="004B4374">
        <w:rPr>
          <w:rFonts w:ascii="Calibri" w:hAnsi="Calibri" w:cs="Calibri"/>
          <w:i/>
        </w:rPr>
        <w:t>(STF. ADI 2583 RS. Plenário, 01.08.2011</w:t>
      </w:r>
      <w:r w:rsidRPr="004B4374">
        <w:rPr>
          <w:rFonts w:ascii="Calibri" w:hAnsi="Calibri" w:cs="Calibri"/>
          <w:i/>
        </w:rPr>
        <w:t>)</w:t>
      </w:r>
    </w:p>
    <w:p w:rsidR="00E86B5F" w:rsidRPr="004B4374" w:rsidP="00E86B5F">
      <w:pPr>
        <w:shd w:val="clear" w:color="auto" w:fill="FFFFFF"/>
        <w:ind w:left="2268"/>
        <w:jc w:val="both"/>
        <w:rPr>
          <w:rFonts w:ascii="Calibri" w:hAnsi="Calibri" w:cs="Calibri"/>
          <w:i/>
          <w:sz w:val="12"/>
          <w:szCs w:val="12"/>
        </w:rPr>
      </w:pPr>
    </w:p>
    <w:p w:rsidR="00E86B5F" w:rsidRPr="004B4374" w:rsidP="00F50ADA">
      <w:pPr>
        <w:spacing w:after="240" w:line="360" w:lineRule="auto"/>
        <w:ind w:firstLine="2268"/>
        <w:jc w:val="both"/>
        <w:rPr>
          <w:rFonts w:ascii="Calibri" w:hAnsi="Calibri" w:cs="Calibri"/>
          <w:szCs w:val="24"/>
        </w:rPr>
      </w:pPr>
      <w:r w:rsidRPr="004B4374">
        <w:rPr>
          <w:rFonts w:ascii="Calibri" w:hAnsi="Calibri" w:cs="Calibri"/>
          <w:szCs w:val="24"/>
        </w:rPr>
        <w:t>No mesmo sentido o Tribunal de Justiça do Estado de São Paulo:</w:t>
      </w:r>
    </w:p>
    <w:p w:rsidR="00E86B5F" w:rsidRPr="004B4374" w:rsidP="00EC5876">
      <w:pPr>
        <w:spacing w:after="240" w:line="240" w:lineRule="auto"/>
        <w:ind w:left="2835"/>
        <w:jc w:val="both"/>
        <w:rPr>
          <w:rFonts w:ascii="Calibri" w:hAnsi="Calibri" w:cs="Calibri"/>
          <w:i/>
          <w:sz w:val="22"/>
          <w:szCs w:val="22"/>
        </w:rPr>
      </w:pPr>
      <w:r w:rsidRPr="004B4374">
        <w:rPr>
          <w:rFonts w:ascii="Calibri" w:hAnsi="Calibri" w:cs="Calibri"/>
          <w:i/>
          <w:sz w:val="22"/>
          <w:szCs w:val="22"/>
        </w:rPr>
        <w:t xml:space="preserve">PARÂMETRO DE CONSTITUCIONALIDADE. Compatibilidade entre a norma </w:t>
      </w:r>
      <w:r w:rsidRPr="004B4374">
        <w:rPr>
          <w:rFonts w:ascii="Calibri" w:hAnsi="Calibri" w:cs="Calibri"/>
          <w:i/>
          <w:sz w:val="22"/>
          <w:szCs w:val="22"/>
        </w:rPr>
        <w:t>impugnada e dispositivos da Lei Orgânica Municipal e do Regimento Interno da Câmara</w:t>
      </w:r>
      <w:r w:rsidRPr="004B4374">
        <w:rPr>
          <w:rFonts w:ascii="Calibri" w:hAnsi="Calibri" w:cs="Calibri"/>
          <w:i/>
          <w:sz w:val="22"/>
          <w:szCs w:val="22"/>
        </w:rPr>
        <w:t xml:space="preserve">. Inadmissibilidade. Aplicação dos artigos 125, § 2º, da CF, e 74, </w:t>
      </w:r>
      <w:r w:rsidRPr="004B4374">
        <w:rPr>
          <w:rFonts w:ascii="Calibri" w:hAnsi="Calibri" w:cs="Calibri"/>
          <w:i/>
          <w:sz w:val="22"/>
          <w:szCs w:val="22"/>
        </w:rPr>
        <w:t>VI</w:t>
      </w:r>
      <w:r w:rsidRPr="004B4374">
        <w:rPr>
          <w:rFonts w:ascii="Calibri" w:hAnsi="Calibri" w:cs="Calibri"/>
          <w:i/>
          <w:sz w:val="22"/>
          <w:szCs w:val="22"/>
        </w:rPr>
        <w:t xml:space="preserve">, da CE. Precedentes. Não conheço da ação quanto aos parâmetros apontados LOM e Regimento Interno da Câmara. </w:t>
      </w:r>
    </w:p>
    <w:p w:rsidR="00E86B5F" w:rsidRPr="004B4374" w:rsidP="00EC5876">
      <w:pPr>
        <w:spacing w:after="240" w:line="240" w:lineRule="auto"/>
        <w:ind w:left="2835"/>
        <w:jc w:val="both"/>
        <w:rPr>
          <w:rFonts w:ascii="Calibri" w:hAnsi="Calibri" w:cs="Calibri"/>
          <w:i/>
          <w:sz w:val="22"/>
          <w:szCs w:val="22"/>
        </w:rPr>
      </w:pPr>
      <w:r w:rsidRPr="004B4374">
        <w:rPr>
          <w:rFonts w:ascii="Calibri" w:hAnsi="Calibri" w:cs="Calibri"/>
          <w:i/>
          <w:sz w:val="22"/>
          <w:szCs w:val="22"/>
        </w:rPr>
        <w:t xml:space="preserve">AÇÃO DIRETA DE INCONSTITUCIONALIDADE Art. 1º da LC nº 2.064, de 04.03.20, do Município de </w:t>
      </w:r>
      <w:r w:rsidRPr="004B4374">
        <w:rPr>
          <w:rFonts w:ascii="Calibri" w:hAnsi="Calibri" w:cs="Calibri"/>
          <w:i/>
          <w:sz w:val="22"/>
          <w:szCs w:val="22"/>
        </w:rPr>
        <w:t>Icém</w:t>
      </w:r>
      <w:r w:rsidRPr="004B4374">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4B4374">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4B4374">
        <w:rPr>
          <w:rFonts w:ascii="Calibri" w:hAnsi="Calibri" w:cs="Calibri"/>
          <w:b/>
          <w:i/>
          <w:sz w:val="22"/>
          <w:szCs w:val="22"/>
        </w:rPr>
        <w:t>ii</w:t>
      </w:r>
      <w:r w:rsidRPr="004B4374">
        <w:rPr>
          <w:rFonts w:ascii="Calibri" w:hAnsi="Calibri" w:cs="Calibri"/>
          <w:b/>
          <w:i/>
          <w:sz w:val="22"/>
          <w:szCs w:val="22"/>
        </w:rPr>
        <w:t>) não acarretem aumento de despesa.</w:t>
      </w:r>
      <w:r w:rsidRPr="004B4374">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4B4374">
        <w:rPr>
          <w:rFonts w:ascii="Calibri" w:hAnsi="Calibri" w:cs="Calibri"/>
          <w:i/>
          <w:sz w:val="22"/>
          <w:szCs w:val="22"/>
        </w:rPr>
        <w:t>são</w:t>
      </w:r>
      <w:r w:rsidRPr="004B4374">
        <w:rPr>
          <w:rFonts w:ascii="Calibri" w:hAnsi="Calibri" w:cs="Calibri"/>
          <w:i/>
          <w:sz w:val="22"/>
          <w:szCs w:val="22"/>
        </w:rPr>
        <w:t xml:space="preserve"> decorrência lógica do teor da emenda. Princípio da isonomia. Ausente </w:t>
      </w:r>
      <w:r w:rsidRPr="004B4374">
        <w:rPr>
          <w:rFonts w:ascii="Calibri" w:hAnsi="Calibri" w:cs="Calibri"/>
          <w:i/>
          <w:sz w:val="22"/>
          <w:szCs w:val="22"/>
        </w:rPr>
        <w:t>a</w:t>
      </w:r>
      <w:r w:rsidRPr="004B4374">
        <w:rPr>
          <w:rFonts w:ascii="Calibri" w:hAnsi="Calibri" w:cs="Calibri"/>
          <w:i/>
          <w:sz w:val="22"/>
          <w:szCs w:val="22"/>
        </w:rPr>
        <w:t xml:space="preserve"> apontada violação. Restrição do aumento salarial aos servidores efetivos se encontra dentro </w:t>
      </w:r>
      <w:r w:rsidRPr="004B4374">
        <w:rPr>
          <w:rFonts w:ascii="Calibri" w:hAnsi="Calibri" w:cs="Calibri"/>
          <w:i/>
          <w:sz w:val="22"/>
          <w:szCs w:val="22"/>
        </w:rPr>
        <w:t xml:space="preserve">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4B4374">
        <w:rPr>
          <w:rFonts w:ascii="Calibri" w:hAnsi="Calibri" w:cs="Calibri"/>
          <w:i/>
          <w:sz w:val="22"/>
          <w:szCs w:val="22"/>
        </w:rPr>
        <w:t>Eg</w:t>
      </w:r>
      <w:r w:rsidRPr="004B4374">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4B4374" w:rsidR="00026560">
        <w:rPr>
          <w:rFonts w:ascii="Calibri" w:hAnsi="Calibri" w:cs="Calibri"/>
          <w:i/>
          <w:sz w:val="22"/>
          <w:szCs w:val="22"/>
        </w:rPr>
        <w:t xml:space="preserve"> </w:t>
      </w:r>
      <w:r w:rsidRPr="004B4374">
        <w:rPr>
          <w:rFonts w:ascii="Calibri" w:hAnsi="Calibri" w:cs="Calibri"/>
          <w:i/>
          <w:sz w:val="22"/>
          <w:szCs w:val="22"/>
        </w:rPr>
        <w:t>(TJSP. Adin nº 2044212-77.2020.8.26.0000. Rel. Des. Evaristo dos Santos. Data de Julgamento: 12/08/2020</w:t>
      </w:r>
      <w:r w:rsidRPr="004B4374">
        <w:rPr>
          <w:rFonts w:ascii="Calibri" w:hAnsi="Calibri" w:cs="Calibri"/>
          <w:i/>
          <w:sz w:val="22"/>
          <w:szCs w:val="22"/>
        </w:rPr>
        <w:t>)</w:t>
      </w:r>
    </w:p>
    <w:p w:rsidR="00F50ADA" w:rsidRPr="004B4374" w:rsidP="00E86B5F">
      <w:pPr>
        <w:spacing w:after="240" w:line="240" w:lineRule="auto"/>
        <w:ind w:left="2268"/>
        <w:jc w:val="both"/>
        <w:rPr>
          <w:rFonts w:ascii="Calibri" w:hAnsi="Calibri" w:cs="Calibri"/>
          <w:i/>
          <w:sz w:val="4"/>
          <w:szCs w:val="4"/>
        </w:rPr>
      </w:pPr>
    </w:p>
    <w:p w:rsidR="002F6514" w:rsidRPr="004B4374" w:rsidP="00235655">
      <w:pPr>
        <w:pStyle w:val="BodyText"/>
        <w:spacing w:after="240" w:line="360" w:lineRule="auto"/>
        <w:ind w:firstLine="2268"/>
        <w:jc w:val="both"/>
        <w:rPr>
          <w:rFonts w:ascii="Calibri" w:hAnsi="Calibri" w:cs="Calibri"/>
          <w:b/>
          <w:szCs w:val="24"/>
        </w:rPr>
      </w:pPr>
      <w:r w:rsidRPr="004B4374">
        <w:rPr>
          <w:rFonts w:ascii="Calibri" w:hAnsi="Calibri" w:cs="Calibri"/>
          <w:b/>
          <w:szCs w:val="24"/>
        </w:rPr>
        <w:t>No concernente à isenção fiscal de IPTU proposta no inciso IV do art. 117 aos imóveis localizados em Área Estratégica de Preservação Histórico-Cultural (AEPHC) trata-se de hipótese de</w:t>
      </w:r>
      <w:r w:rsidRPr="004B4374" w:rsidR="00235655">
        <w:rPr>
          <w:rFonts w:ascii="Calibri" w:hAnsi="Calibri" w:cs="Calibri"/>
          <w:b/>
          <w:szCs w:val="24"/>
        </w:rPr>
        <w:t xml:space="preserve"> concessão de incentivo ou benefício de nat</w:t>
      </w:r>
      <w:r w:rsidRPr="004B4374" w:rsidR="00D62431">
        <w:rPr>
          <w:rFonts w:ascii="Calibri" w:hAnsi="Calibri" w:cs="Calibri"/>
          <w:b/>
          <w:szCs w:val="24"/>
        </w:rPr>
        <w:t>ureza tributária da qual decorre</w:t>
      </w:r>
      <w:r w:rsidRPr="004B4374" w:rsidR="00235655">
        <w:rPr>
          <w:rFonts w:ascii="Calibri" w:hAnsi="Calibri" w:cs="Calibri"/>
          <w:b/>
          <w:szCs w:val="24"/>
        </w:rPr>
        <w:t xml:space="preserve"> renúncia de receita</w:t>
      </w:r>
      <w:r w:rsidRPr="004B4374" w:rsidR="00025E3E">
        <w:rPr>
          <w:rFonts w:ascii="Calibri" w:hAnsi="Calibri" w:cs="Calibri"/>
          <w:b/>
          <w:szCs w:val="24"/>
        </w:rPr>
        <w:t>,</w:t>
      </w:r>
      <w:r w:rsidRPr="004B4374">
        <w:rPr>
          <w:rFonts w:ascii="Calibri" w:hAnsi="Calibri" w:cs="Calibri"/>
          <w:b/>
          <w:szCs w:val="24"/>
        </w:rPr>
        <w:t xml:space="preserve"> devendo observar o disposto no </w:t>
      </w:r>
      <w:r w:rsidRPr="004B4374" w:rsidR="007D36FA">
        <w:rPr>
          <w:rFonts w:ascii="Calibri" w:hAnsi="Calibri" w:cs="Calibri"/>
          <w:b/>
          <w:szCs w:val="24"/>
        </w:rPr>
        <w:t>art. 14 da Lei de Responsabilidade Fiscal (LRF)</w:t>
      </w:r>
      <w:r w:rsidRPr="004B4374" w:rsidR="00025E3E">
        <w:rPr>
          <w:rFonts w:ascii="Calibri" w:hAnsi="Calibri" w:cs="Calibri"/>
          <w:b/>
          <w:szCs w:val="24"/>
        </w:rPr>
        <w:t xml:space="preserve">, </w:t>
      </w:r>
      <w:r w:rsidRPr="004B4374" w:rsidR="00025E3E">
        <w:rPr>
          <w:rFonts w:ascii="Calibri" w:hAnsi="Calibri" w:cs="Calibri"/>
          <w:b/>
          <w:i/>
          <w:szCs w:val="24"/>
        </w:rPr>
        <w:t>in verbis:</w:t>
      </w:r>
    </w:p>
    <w:p w:rsidR="007D36FA" w:rsidRPr="004B4374" w:rsidP="00DC5ECC">
      <w:pPr>
        <w:spacing w:after="120" w:line="240" w:lineRule="auto"/>
        <w:ind w:left="2835"/>
        <w:jc w:val="both"/>
        <w:rPr>
          <w:rFonts w:ascii="Calibri" w:hAnsi="Calibri" w:cs="Calibri"/>
          <w:i/>
          <w:sz w:val="22"/>
          <w:szCs w:val="22"/>
        </w:rPr>
      </w:pPr>
      <w:r w:rsidRPr="004B4374">
        <w:rPr>
          <w:rFonts w:ascii="Calibri" w:hAnsi="Calibri" w:cs="Calibri"/>
          <w:i/>
          <w:sz w:val="22"/>
          <w:szCs w:val="22"/>
        </w:rPr>
        <w:t>Art. 14</w:t>
      </w:r>
      <w:r w:rsidRPr="004B4374">
        <w:rPr>
          <w:rFonts w:ascii="Calibri" w:hAnsi="Calibri" w:cs="Calibri"/>
          <w:b/>
          <w:i/>
          <w:sz w:val="22"/>
          <w:szCs w:val="22"/>
          <w:u w:val="single"/>
        </w:rPr>
        <w:t>. A concessão ou ampliação de incentivo ou benefício de natureza tributária da qual decorra renúncia de receita deverá estar acompanhada de estimativa do impacto orçamentário-financeiro no exercício em que deva iniciar sua vigência e nos dois seguintes,</w:t>
      </w:r>
      <w:r w:rsidRPr="004B4374">
        <w:rPr>
          <w:rFonts w:ascii="Calibri" w:hAnsi="Calibri" w:cs="Calibri"/>
          <w:i/>
          <w:sz w:val="22"/>
          <w:szCs w:val="22"/>
        </w:rPr>
        <w:t xml:space="preserve"> atender ao disposto na lei de diretrizes orçamentárias e a pelo menos uma das seguintes condições: (Vide Medida Provisória nº 2.159, de 2001) (Vide Lei nº 10.276, de 2001) (Vide ADI </w:t>
      </w:r>
      <w:r w:rsidRPr="004B4374">
        <w:rPr>
          <w:rFonts w:ascii="Calibri" w:hAnsi="Calibri" w:cs="Calibri"/>
          <w:i/>
          <w:sz w:val="22"/>
          <w:szCs w:val="22"/>
        </w:rPr>
        <w:t>6357)</w:t>
      </w:r>
      <w:r w:rsidRPr="004B4374">
        <w:rPr>
          <w:rFonts w:ascii="Calibri" w:hAnsi="Calibri" w:cs="Calibri"/>
          <w:i/>
          <w:sz w:val="22"/>
          <w:szCs w:val="22"/>
        </w:rPr>
        <w:t xml:space="preserve"> </w:t>
      </w:r>
    </w:p>
    <w:p w:rsidR="007D36FA" w:rsidRPr="004B4374" w:rsidP="00DC5ECC">
      <w:pPr>
        <w:spacing w:after="120" w:line="240" w:lineRule="auto"/>
        <w:ind w:left="2835"/>
        <w:jc w:val="both"/>
        <w:rPr>
          <w:rFonts w:ascii="Calibri" w:hAnsi="Calibri" w:cs="Calibri"/>
          <w:i/>
          <w:sz w:val="22"/>
          <w:szCs w:val="22"/>
        </w:rPr>
      </w:pPr>
      <w:r w:rsidRPr="004B4374">
        <w:rPr>
          <w:rFonts w:ascii="Calibri" w:hAnsi="Calibri" w:cs="Calibri"/>
          <w:i/>
          <w:sz w:val="22"/>
          <w:szCs w:val="22"/>
        </w:rPr>
        <w:t xml:space="preserve">I - </w:t>
      </w:r>
      <w:r w:rsidRPr="004B4374">
        <w:rPr>
          <w:rFonts w:ascii="Calibri" w:hAnsi="Calibri" w:cs="Calibri"/>
          <w:b/>
          <w:i/>
          <w:sz w:val="22"/>
          <w:szCs w:val="22"/>
        </w:rPr>
        <w:t>demonstração pelo proponente de que a renúncia foi considerada na estimativa de receita da lei orçamentária, na forma do art. 12,</w:t>
      </w:r>
      <w:r w:rsidRPr="004B4374">
        <w:rPr>
          <w:rFonts w:ascii="Calibri" w:hAnsi="Calibri" w:cs="Calibri"/>
          <w:i/>
          <w:sz w:val="22"/>
          <w:szCs w:val="22"/>
        </w:rPr>
        <w:t xml:space="preserve"> e de que não afetará as metas de resultados fiscais previstas no anexo próprio da lei de diretrizes orçamentárias; </w:t>
      </w:r>
    </w:p>
    <w:p w:rsidR="007D36FA" w:rsidRPr="004B4374" w:rsidP="00DC5ECC">
      <w:pPr>
        <w:spacing w:after="120" w:line="240" w:lineRule="auto"/>
        <w:ind w:left="2835"/>
        <w:jc w:val="both"/>
        <w:rPr>
          <w:rFonts w:ascii="Calibri" w:hAnsi="Calibri" w:cs="Calibri"/>
          <w:b/>
          <w:i/>
          <w:sz w:val="22"/>
          <w:szCs w:val="22"/>
        </w:rPr>
      </w:pPr>
      <w:r w:rsidRPr="004B4374">
        <w:rPr>
          <w:rFonts w:ascii="Calibri" w:hAnsi="Calibri" w:cs="Calibri"/>
          <w:i/>
          <w:sz w:val="22"/>
          <w:szCs w:val="22"/>
        </w:rPr>
        <w:t xml:space="preserve">II - </w:t>
      </w:r>
      <w:r w:rsidRPr="004B4374">
        <w:rPr>
          <w:rFonts w:ascii="Calibri" w:hAnsi="Calibri" w:cs="Calibri"/>
          <w:b/>
          <w:i/>
          <w:sz w:val="22"/>
          <w:szCs w:val="22"/>
        </w:rPr>
        <w:t xml:space="preserve">estar acompanhada de medidas de compensação, no período mencionado no caput, por meio do aumento de receita, proveniente da elevação de alíquotas, ampliação da base de cálculo, majoração ou criação de tributo ou contribuição. </w:t>
      </w:r>
    </w:p>
    <w:p w:rsidR="007D36FA" w:rsidRPr="004B4374" w:rsidP="00DC5ECC">
      <w:pPr>
        <w:spacing w:after="120" w:line="240" w:lineRule="auto"/>
        <w:ind w:left="2835"/>
        <w:jc w:val="both"/>
        <w:rPr>
          <w:rFonts w:ascii="Calibri" w:hAnsi="Calibri" w:cs="Calibri"/>
          <w:b/>
          <w:i/>
          <w:sz w:val="23"/>
          <w:szCs w:val="23"/>
        </w:rPr>
      </w:pPr>
      <w:r w:rsidRPr="004B4374">
        <w:rPr>
          <w:rFonts w:ascii="Calibri" w:hAnsi="Calibri" w:cs="Calibri"/>
          <w:i/>
          <w:sz w:val="23"/>
          <w:szCs w:val="23"/>
        </w:rPr>
        <w:t xml:space="preserve">§ </w:t>
      </w:r>
      <w:r w:rsidRPr="004B4374">
        <w:rPr>
          <w:rFonts w:ascii="Calibri" w:hAnsi="Calibri" w:cs="Calibri"/>
          <w:b/>
          <w:i/>
          <w:sz w:val="23"/>
          <w:szCs w:val="23"/>
        </w:rPr>
        <w:t xml:space="preserve">1º </w:t>
      </w:r>
      <w:r w:rsidRPr="004B4374">
        <w:rPr>
          <w:rFonts w:ascii="Calibri" w:hAnsi="Calibri" w:cs="Calibri"/>
          <w:b/>
          <w:i/>
          <w:sz w:val="23"/>
          <w:szCs w:val="23"/>
          <w:u w:val="single"/>
        </w:rPr>
        <w:t xml:space="preserve">A renúncia compreende </w:t>
      </w:r>
      <w:r w:rsidRPr="004B4374">
        <w:rPr>
          <w:rFonts w:ascii="Calibri" w:hAnsi="Calibri" w:cs="Calibri"/>
          <w:i/>
          <w:sz w:val="23"/>
          <w:szCs w:val="23"/>
        </w:rPr>
        <w:t>anistia,</w:t>
      </w:r>
      <w:r w:rsidRPr="004B4374">
        <w:rPr>
          <w:rFonts w:ascii="Calibri" w:hAnsi="Calibri" w:cs="Calibri"/>
          <w:b/>
          <w:i/>
          <w:sz w:val="23"/>
          <w:szCs w:val="23"/>
        </w:rPr>
        <w:t xml:space="preserve"> </w:t>
      </w:r>
      <w:r w:rsidRPr="004B4374">
        <w:rPr>
          <w:rFonts w:ascii="Calibri" w:hAnsi="Calibri" w:cs="Calibri"/>
          <w:i/>
          <w:sz w:val="23"/>
          <w:szCs w:val="23"/>
        </w:rPr>
        <w:t>remissão,</w:t>
      </w:r>
      <w:r w:rsidRPr="004B4374">
        <w:rPr>
          <w:rFonts w:ascii="Calibri" w:hAnsi="Calibri" w:cs="Calibri"/>
          <w:b/>
          <w:i/>
          <w:sz w:val="23"/>
          <w:szCs w:val="23"/>
        </w:rPr>
        <w:t xml:space="preserve"> </w:t>
      </w:r>
      <w:r w:rsidRPr="004B4374">
        <w:rPr>
          <w:rFonts w:ascii="Calibri" w:hAnsi="Calibri" w:cs="Calibri"/>
          <w:i/>
          <w:sz w:val="23"/>
          <w:szCs w:val="23"/>
        </w:rPr>
        <w:t xml:space="preserve">subsídio, crédito presumido, </w:t>
      </w:r>
      <w:r w:rsidRPr="004B4374">
        <w:rPr>
          <w:rFonts w:ascii="Calibri" w:hAnsi="Calibri" w:cs="Calibri"/>
          <w:b/>
          <w:i/>
          <w:sz w:val="23"/>
          <w:szCs w:val="23"/>
          <w:u w:val="single"/>
        </w:rPr>
        <w:t>concessão de isenção em caráter não geral</w:t>
      </w:r>
      <w:r w:rsidRPr="004B4374">
        <w:rPr>
          <w:rFonts w:ascii="Calibri" w:hAnsi="Calibri" w:cs="Calibri"/>
          <w:i/>
          <w:sz w:val="23"/>
          <w:szCs w:val="23"/>
        </w:rPr>
        <w:t>,</w:t>
      </w:r>
      <w:r w:rsidRPr="004B4374">
        <w:rPr>
          <w:rFonts w:ascii="Calibri" w:hAnsi="Calibri" w:cs="Calibri"/>
          <w:b/>
          <w:i/>
          <w:sz w:val="23"/>
          <w:szCs w:val="23"/>
        </w:rPr>
        <w:t xml:space="preserve"> </w:t>
      </w:r>
      <w:r w:rsidRPr="004B4374">
        <w:rPr>
          <w:rFonts w:ascii="Calibri" w:hAnsi="Calibri" w:cs="Calibri"/>
          <w:i/>
          <w:sz w:val="23"/>
          <w:szCs w:val="23"/>
        </w:rPr>
        <w:t>alteração de alíquota ou modificação de base de cálculo que implique redução discriminada de tributos ou contribuições, e outros benefícios que correspondam a tratamento diferenciado.</w:t>
      </w:r>
      <w:r w:rsidRPr="004B4374">
        <w:rPr>
          <w:rFonts w:ascii="Calibri" w:hAnsi="Calibri" w:cs="Calibri"/>
          <w:b/>
          <w:i/>
          <w:sz w:val="23"/>
          <w:szCs w:val="23"/>
        </w:rPr>
        <w:t xml:space="preserve"> </w:t>
      </w:r>
    </w:p>
    <w:p w:rsidR="007D36FA" w:rsidRPr="004B4374" w:rsidP="00DC5ECC">
      <w:pPr>
        <w:spacing w:after="120" w:line="240" w:lineRule="auto"/>
        <w:ind w:left="2835"/>
        <w:jc w:val="both"/>
        <w:rPr>
          <w:rFonts w:ascii="Calibri" w:hAnsi="Calibri" w:cs="Calibri"/>
          <w:i/>
          <w:sz w:val="22"/>
          <w:szCs w:val="22"/>
        </w:rPr>
      </w:pPr>
      <w:r w:rsidRPr="004B4374">
        <w:rPr>
          <w:rFonts w:ascii="Calibri" w:hAnsi="Calibri" w:cs="Calibri"/>
          <w:i/>
          <w:sz w:val="22"/>
          <w:szCs w:val="22"/>
        </w:rPr>
        <w:t xml:space="preserve">§ 2º Se o ato de concessão ou ampliação do incentivo ou benefício de que trata o caput deste artigo decorrer da condição contida no inciso II, o benefício só entrará em vigor quando </w:t>
      </w:r>
      <w:r w:rsidRPr="004B4374">
        <w:rPr>
          <w:rFonts w:ascii="Calibri" w:hAnsi="Calibri" w:cs="Calibri"/>
          <w:i/>
          <w:sz w:val="22"/>
          <w:szCs w:val="22"/>
        </w:rPr>
        <w:t>implementadas</w:t>
      </w:r>
      <w:r w:rsidRPr="004B4374">
        <w:rPr>
          <w:rFonts w:ascii="Calibri" w:hAnsi="Calibri" w:cs="Calibri"/>
          <w:i/>
          <w:sz w:val="22"/>
          <w:szCs w:val="22"/>
        </w:rPr>
        <w:t xml:space="preserve"> as medidas referidas no mencionado inciso. </w:t>
      </w:r>
    </w:p>
    <w:p w:rsidR="007D36FA" w:rsidRPr="004B4374" w:rsidP="00DC5ECC">
      <w:pPr>
        <w:spacing w:after="120" w:line="240" w:lineRule="auto"/>
        <w:ind w:left="2835"/>
        <w:jc w:val="both"/>
        <w:rPr>
          <w:rFonts w:ascii="Calibri" w:hAnsi="Calibri" w:cs="Calibri"/>
          <w:i/>
          <w:sz w:val="22"/>
          <w:szCs w:val="22"/>
        </w:rPr>
      </w:pPr>
      <w:r w:rsidRPr="004B4374">
        <w:rPr>
          <w:rFonts w:ascii="Calibri" w:hAnsi="Calibri" w:cs="Calibri"/>
          <w:i/>
          <w:sz w:val="22"/>
          <w:szCs w:val="22"/>
        </w:rPr>
        <w:t xml:space="preserve">§ 3º O disposto neste artigo não se aplica: </w:t>
      </w:r>
    </w:p>
    <w:p w:rsidR="007D36FA" w:rsidRPr="004B4374" w:rsidP="00DC5ECC">
      <w:pPr>
        <w:spacing w:after="120" w:line="240" w:lineRule="auto"/>
        <w:ind w:left="2835"/>
        <w:jc w:val="both"/>
        <w:rPr>
          <w:rFonts w:ascii="Calibri" w:hAnsi="Calibri" w:cs="Calibri"/>
          <w:i/>
          <w:sz w:val="22"/>
          <w:szCs w:val="22"/>
        </w:rPr>
      </w:pPr>
      <w:r w:rsidRPr="004B4374">
        <w:rPr>
          <w:rFonts w:ascii="Calibri" w:hAnsi="Calibri" w:cs="Calibri"/>
          <w:i/>
          <w:sz w:val="22"/>
          <w:szCs w:val="22"/>
        </w:rPr>
        <w:t xml:space="preserve">I - às alterações das alíquotas dos impostos previstos nos incisos I, II, IV e V do art. 153 da Constituição, na forma do seu§ 1º; </w:t>
      </w:r>
    </w:p>
    <w:p w:rsidR="007D36FA" w:rsidRPr="004B4374" w:rsidP="00DC5ECC">
      <w:pPr>
        <w:spacing w:after="120" w:line="240" w:lineRule="auto"/>
        <w:ind w:left="2835"/>
        <w:jc w:val="both"/>
        <w:rPr>
          <w:rFonts w:ascii="Calibri" w:hAnsi="Calibri" w:cs="Calibri"/>
          <w:i/>
          <w:sz w:val="22"/>
          <w:szCs w:val="22"/>
        </w:rPr>
      </w:pPr>
      <w:r w:rsidRPr="004B4374">
        <w:rPr>
          <w:rFonts w:ascii="Calibri" w:hAnsi="Calibri" w:cs="Calibri"/>
          <w:i/>
          <w:sz w:val="22"/>
          <w:szCs w:val="22"/>
        </w:rPr>
        <w:t xml:space="preserve">II - ao cancelamento de débito cujo montante seja inferior ao dos respectivos custos de cobrança. </w:t>
      </w:r>
    </w:p>
    <w:p w:rsidR="007D36FA" w:rsidRPr="004B4374" w:rsidP="007D36FA">
      <w:pPr>
        <w:autoSpaceDE w:val="0"/>
        <w:autoSpaceDN w:val="0"/>
        <w:adjustRightInd w:val="0"/>
        <w:spacing w:after="120"/>
        <w:ind w:left="2268"/>
        <w:jc w:val="both"/>
        <w:rPr>
          <w:rFonts w:ascii="Calibri" w:hAnsi="Calibri" w:cs="Calibri"/>
          <w:bCs/>
          <w:i/>
          <w:sz w:val="12"/>
          <w:szCs w:val="12"/>
        </w:rPr>
      </w:pPr>
    </w:p>
    <w:p w:rsidR="007D36FA" w:rsidRPr="004B4374" w:rsidP="007D36FA">
      <w:pPr>
        <w:spacing w:after="240" w:line="360" w:lineRule="auto"/>
        <w:ind w:firstLine="1701"/>
        <w:jc w:val="both"/>
        <w:rPr>
          <w:rFonts w:ascii="Calibri" w:hAnsi="Calibri" w:eastAsiaTheme="minorHAnsi" w:cs="Calibri"/>
          <w:szCs w:val="24"/>
          <w:lang w:eastAsia="en-US"/>
        </w:rPr>
      </w:pPr>
      <w:r w:rsidRPr="004B4374">
        <w:rPr>
          <w:rFonts w:ascii="Calibri" w:hAnsi="Calibri" w:cs="Calibri"/>
          <w:szCs w:val="24"/>
        </w:rPr>
        <w:t xml:space="preserve">Do mesmo modo, impende ressaltar hodierno entendimento acerca da extensão da aplicação do art. 113, do Ato das Disposições Constitucionais Transitórias (ADCT) aos Estados e Municípios, que impõe a necessidade de apresentação de estimativa do impacto orçamentário e financeiro nas proposições legislativas que impliquem em renúncia de receita, </w:t>
      </w:r>
      <w:r w:rsidRPr="004B4374">
        <w:rPr>
          <w:rFonts w:ascii="Calibri" w:hAnsi="Calibri" w:cs="Calibri"/>
          <w:i/>
          <w:szCs w:val="24"/>
        </w:rPr>
        <w:t>in verbis:</w:t>
      </w:r>
    </w:p>
    <w:p w:rsidR="007D36FA" w:rsidRPr="004B4374" w:rsidP="00DC5ECC">
      <w:pPr>
        <w:spacing w:after="240" w:line="240" w:lineRule="auto"/>
        <w:ind w:left="2835"/>
        <w:jc w:val="both"/>
        <w:rPr>
          <w:rFonts w:ascii="Calibri" w:hAnsi="Calibri" w:cs="Calibri"/>
          <w:sz w:val="22"/>
          <w:szCs w:val="22"/>
        </w:rPr>
      </w:pPr>
      <w:r w:rsidRPr="004B4374">
        <w:rPr>
          <w:rFonts w:ascii="Calibri" w:hAnsi="Calibri" w:cs="Calibri"/>
          <w:i/>
          <w:iCs/>
          <w:sz w:val="22"/>
          <w:szCs w:val="22"/>
        </w:rPr>
        <w:t xml:space="preserve">Art. 113. </w:t>
      </w:r>
      <w:r w:rsidRPr="004B4374">
        <w:rPr>
          <w:rFonts w:ascii="Calibri" w:hAnsi="Calibri" w:cs="Calibri"/>
          <w:b/>
          <w:bCs/>
          <w:i/>
          <w:iCs/>
          <w:sz w:val="22"/>
          <w:szCs w:val="22"/>
        </w:rPr>
        <w:t>A proposição legislativa</w:t>
      </w:r>
      <w:r w:rsidRPr="004B4374">
        <w:rPr>
          <w:rFonts w:ascii="Calibri" w:hAnsi="Calibri" w:cs="Calibri"/>
          <w:i/>
          <w:iCs/>
          <w:sz w:val="22"/>
          <w:szCs w:val="22"/>
        </w:rPr>
        <w:t xml:space="preserve"> que crie ou altere despesa obrigatória ou </w:t>
      </w:r>
      <w:r w:rsidRPr="004B4374">
        <w:rPr>
          <w:rFonts w:ascii="Calibri" w:hAnsi="Calibri" w:cs="Calibri"/>
          <w:b/>
          <w:bCs/>
          <w:i/>
          <w:iCs/>
          <w:sz w:val="22"/>
          <w:szCs w:val="22"/>
        </w:rPr>
        <w:t>renúncia de receita deverá ser acompanhada da estimativa do seu impacto orçamentário e financeiro</w:t>
      </w:r>
      <w:r w:rsidRPr="004B4374">
        <w:rPr>
          <w:rFonts w:ascii="Calibri" w:hAnsi="Calibri" w:cs="Calibri"/>
          <w:i/>
          <w:iCs/>
          <w:sz w:val="22"/>
          <w:szCs w:val="22"/>
        </w:rPr>
        <w:t>. (Incluído pela Emenda Constitucional nº 95, de 2016</w:t>
      </w:r>
      <w:r w:rsidRPr="004B4374">
        <w:rPr>
          <w:rFonts w:ascii="Calibri" w:hAnsi="Calibri" w:cs="Calibri"/>
          <w:sz w:val="22"/>
          <w:szCs w:val="22"/>
        </w:rPr>
        <w:t>)</w:t>
      </w:r>
    </w:p>
    <w:p w:rsidR="007D36FA" w:rsidRPr="004B4374" w:rsidP="007D36FA">
      <w:pPr>
        <w:spacing w:after="240" w:line="360" w:lineRule="auto"/>
        <w:ind w:firstLine="1701"/>
        <w:jc w:val="both"/>
        <w:rPr>
          <w:rFonts w:ascii="Calibri" w:hAnsi="Calibri" w:cs="Calibri"/>
          <w:b/>
          <w:szCs w:val="24"/>
          <w:u w:val="single"/>
        </w:rPr>
      </w:pPr>
      <w:r w:rsidRPr="004B4374">
        <w:rPr>
          <w:rFonts w:ascii="Calibri" w:hAnsi="Calibri" w:cs="Calibri"/>
          <w:b/>
          <w:szCs w:val="24"/>
          <w:u w:val="single"/>
        </w:rPr>
        <w:t xml:space="preserve">Nesse sentido, </w:t>
      </w:r>
      <w:r w:rsidRPr="004B4374">
        <w:rPr>
          <w:rFonts w:ascii="Calibri" w:hAnsi="Calibri" w:cs="Calibri"/>
          <w:b/>
          <w:szCs w:val="24"/>
          <w:u w:val="single"/>
        </w:rPr>
        <w:t xml:space="preserve">a Suprema Corte firmou entendimento </w:t>
      </w:r>
      <w:r w:rsidRPr="004B4374">
        <w:rPr>
          <w:rFonts w:ascii="Calibri" w:hAnsi="Calibri" w:cs="Calibri"/>
          <w:b/>
          <w:szCs w:val="24"/>
          <w:u w:val="single"/>
        </w:rPr>
        <w:t>pela extensão do art. 113</w:t>
      </w:r>
      <w:r w:rsidRPr="004B4374">
        <w:rPr>
          <w:rFonts w:ascii="Calibri" w:hAnsi="Calibri" w:cs="Calibri"/>
          <w:b/>
          <w:szCs w:val="24"/>
          <w:u w:val="single"/>
        </w:rPr>
        <w:t xml:space="preserve"> do ADCT aos Estados e Municípios, vejamos:</w:t>
      </w:r>
    </w:p>
    <w:p w:rsidR="007D36FA" w:rsidRPr="004B4374" w:rsidP="00DC5ECC">
      <w:pPr>
        <w:autoSpaceDE w:val="0"/>
        <w:autoSpaceDN w:val="0"/>
        <w:adjustRightInd w:val="0"/>
        <w:spacing w:after="0" w:line="240" w:lineRule="auto"/>
        <w:ind w:left="2835"/>
        <w:jc w:val="both"/>
        <w:rPr>
          <w:rFonts w:ascii="Calibri" w:hAnsi="Calibri" w:cs="Calibri"/>
          <w:b/>
          <w:i/>
          <w:sz w:val="22"/>
          <w:szCs w:val="22"/>
        </w:rPr>
      </w:pPr>
      <w:r w:rsidRPr="004B4374">
        <w:rPr>
          <w:rFonts w:ascii="Calibri" w:hAnsi="Calibri" w:cs="Calibri"/>
          <w:b/>
          <w:i/>
          <w:sz w:val="22"/>
          <w:szCs w:val="22"/>
        </w:rPr>
        <w:t xml:space="preserve">RECURSO EXTRAORDINÁRIO 1.339.302 SÃO PAULO </w:t>
      </w:r>
    </w:p>
    <w:p w:rsidR="007D36FA" w:rsidRPr="004B4374" w:rsidP="00DC5ECC">
      <w:pPr>
        <w:autoSpaceDE w:val="0"/>
        <w:autoSpaceDN w:val="0"/>
        <w:adjustRightInd w:val="0"/>
        <w:spacing w:after="0" w:line="240" w:lineRule="auto"/>
        <w:ind w:left="2835"/>
        <w:jc w:val="both"/>
        <w:rPr>
          <w:rFonts w:ascii="Calibri" w:hAnsi="Calibri" w:cs="Calibri"/>
          <w:b/>
          <w:i/>
          <w:sz w:val="22"/>
          <w:szCs w:val="22"/>
        </w:rPr>
      </w:pPr>
      <w:r w:rsidRPr="004B4374">
        <w:rPr>
          <w:rFonts w:ascii="Calibri" w:hAnsi="Calibri" w:cs="Calibri"/>
          <w:b/>
          <w:i/>
          <w:sz w:val="22"/>
          <w:szCs w:val="22"/>
        </w:rPr>
        <w:t>RELATOR :</w:t>
      </w:r>
      <w:r w:rsidRPr="004B4374">
        <w:rPr>
          <w:rFonts w:ascii="Calibri" w:hAnsi="Calibri" w:cs="Calibri"/>
          <w:b/>
          <w:i/>
          <w:sz w:val="22"/>
          <w:szCs w:val="22"/>
        </w:rPr>
        <w:t xml:space="preserve"> MIN. ALEXANDRE DE MORAES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RECTE.</w:t>
      </w:r>
      <w:r w:rsidRPr="004B4374">
        <w:rPr>
          <w:rFonts w:ascii="Calibri" w:hAnsi="Calibri" w:cs="Calibri"/>
          <w:i/>
          <w:sz w:val="22"/>
          <w:szCs w:val="22"/>
        </w:rPr>
        <w:t xml:space="preserve">(S) :PROCURADOR GERAL DE JUSTIÇA DO ESTADO DE SÃO PAULO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ADV.(A/S</w:t>
      </w:r>
      <w:r w:rsidRPr="004B4374">
        <w:rPr>
          <w:rFonts w:ascii="Calibri" w:hAnsi="Calibri" w:cs="Calibri"/>
          <w:i/>
          <w:sz w:val="22"/>
          <w:szCs w:val="22"/>
        </w:rPr>
        <w:t>) :</w:t>
      </w:r>
      <w:r w:rsidRPr="004B4374">
        <w:rPr>
          <w:rFonts w:ascii="Calibri" w:hAnsi="Calibri" w:cs="Calibri"/>
          <w:i/>
          <w:sz w:val="22"/>
          <w:szCs w:val="22"/>
        </w:rPr>
        <w:t xml:space="preserve">PROCURADOR-GERAL DE JUSTIÇA DO ESTADO DE SÃO PAULO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RECDO.</w:t>
      </w:r>
      <w:r w:rsidRPr="004B4374">
        <w:rPr>
          <w:rFonts w:ascii="Calibri" w:hAnsi="Calibri" w:cs="Calibri"/>
          <w:i/>
          <w:sz w:val="22"/>
          <w:szCs w:val="22"/>
        </w:rPr>
        <w:t xml:space="preserve">(A/S) :PRESIDENTE DA CÂMARA MUNICIPAL DE VALINHOS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ADV.(A/S</w:t>
      </w:r>
      <w:r w:rsidRPr="004B4374">
        <w:rPr>
          <w:rFonts w:ascii="Calibri" w:hAnsi="Calibri" w:cs="Calibri"/>
          <w:i/>
          <w:sz w:val="22"/>
          <w:szCs w:val="22"/>
        </w:rPr>
        <w:t>) :</w:t>
      </w:r>
      <w:r w:rsidRPr="004B4374">
        <w:rPr>
          <w:rFonts w:ascii="Calibri" w:hAnsi="Calibri" w:cs="Calibri"/>
          <w:i/>
          <w:sz w:val="22"/>
          <w:szCs w:val="22"/>
        </w:rPr>
        <w:t xml:space="preserve">ALINE CRISTINE PADILHA </w:t>
      </w:r>
    </w:p>
    <w:p w:rsidR="007D36FA" w:rsidRPr="004B4374" w:rsidP="00DC5ECC">
      <w:pPr>
        <w:autoSpaceDE w:val="0"/>
        <w:autoSpaceDN w:val="0"/>
        <w:adjustRightInd w:val="0"/>
        <w:spacing w:after="0" w:line="240" w:lineRule="auto"/>
        <w:ind w:left="2835"/>
        <w:jc w:val="both"/>
        <w:rPr>
          <w:rFonts w:ascii="Calibri" w:hAnsi="Calibri" w:cs="Calibri"/>
          <w:b/>
          <w:i/>
          <w:sz w:val="4"/>
          <w:szCs w:val="4"/>
        </w:rPr>
      </w:pPr>
    </w:p>
    <w:p w:rsidR="007D36FA" w:rsidRPr="004B4374" w:rsidP="00DC5ECC">
      <w:pPr>
        <w:autoSpaceDE w:val="0"/>
        <w:autoSpaceDN w:val="0"/>
        <w:adjustRightInd w:val="0"/>
        <w:spacing w:after="0" w:line="240" w:lineRule="auto"/>
        <w:ind w:left="2835"/>
        <w:jc w:val="both"/>
        <w:rPr>
          <w:rFonts w:ascii="Calibri" w:hAnsi="Calibri" w:cs="Calibri"/>
          <w:b/>
          <w:i/>
          <w:sz w:val="22"/>
          <w:szCs w:val="22"/>
        </w:rPr>
      </w:pPr>
      <w:r w:rsidRPr="004B4374">
        <w:rPr>
          <w:rFonts w:ascii="Calibri" w:hAnsi="Calibri" w:cs="Calibri"/>
          <w:b/>
          <w:i/>
          <w:sz w:val="22"/>
          <w:szCs w:val="22"/>
        </w:rPr>
        <w:t xml:space="preserve">DECISÃO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Trata-se de Recurso Extraordinário interposto em face de acórdão proferido pelo Órgão Especial do Tribunal de Justiça do Estado de São Paulo em sede de Ação Direta de Inconstitucionalidade.</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Na origem, o Prefeito do Município de Valinhos propôs Ação Direta de Inconstitucionalidade, com pedido de medida cautelar, em face da Lei Municipal 5.872/2019, de iniciativa parlamentar, que dispõe sobre alteração e inclusão de dispositivos legais constantes da Lei 3.915/2005 (Código Tributário Municipal), acrescentando hipóteses de isenção do Imposto Predial e Territorial Urbano – IPTU, bem como novas modalidades de incidência de taxa (Doc. </w:t>
      </w:r>
      <w:r w:rsidRPr="004B4374">
        <w:rPr>
          <w:rFonts w:ascii="Calibri" w:hAnsi="Calibri" w:cs="Calibri"/>
          <w:i/>
          <w:sz w:val="22"/>
          <w:szCs w:val="22"/>
        </w:rPr>
        <w:t>1</w:t>
      </w:r>
      <w:r w:rsidRPr="004B4374">
        <w:rPr>
          <w:rFonts w:ascii="Calibri" w:hAnsi="Calibri" w:cs="Calibri"/>
          <w:i/>
          <w:sz w:val="22"/>
          <w:szCs w:val="22"/>
        </w:rPr>
        <w:t>)</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O Órgão Especial do Tribunal de Justiça do Estado de São Paulo julgou improcedente a Ação, em acórdão assim ementado (fl. 2, Doc. </w:t>
      </w:r>
      <w:r w:rsidRPr="004B4374">
        <w:rPr>
          <w:rFonts w:ascii="Calibri" w:hAnsi="Calibri" w:cs="Calibri"/>
          <w:i/>
          <w:sz w:val="22"/>
          <w:szCs w:val="22"/>
        </w:rPr>
        <w:t>6</w:t>
      </w:r>
      <w:r w:rsidRPr="004B4374">
        <w:rPr>
          <w:rFonts w:ascii="Calibri" w:hAnsi="Calibri" w:cs="Calibri"/>
          <w:i/>
          <w:sz w:val="22"/>
          <w:szCs w:val="22"/>
        </w:rPr>
        <w:t>):</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“Ação direta de inconstitucionalidade. Valinhos. Lei Municipal n. 5.872, de 28 de junho de 2019, que incluiu e alterou dispositivo do Código Tributário do Município de Valinhos (Lei Municipal n. 3915, de 29 de setembro de 2015). Inépcia da petição inicial e irregularidade na representação processual do autor. Inocorrência. Prefeito Municipal que subscreveu a petição inicial em conjunto com demais procuradores, o que dispensa a formalidade do instrumento procuratório. Documentação coligida que ademais, é suficiente para o conhecimento do pedido e atende às disposições do art. 3º da Lei n. 9.868/99. Parametricidade. Contraste entre lei ordinária </w:t>
      </w:r>
      <w:r w:rsidRPr="004B4374">
        <w:rPr>
          <w:rFonts w:ascii="Calibri" w:hAnsi="Calibri" w:cs="Calibri"/>
          <w:i/>
          <w:sz w:val="22"/>
          <w:szCs w:val="22"/>
        </w:rPr>
        <w:t>municipal e dispositivos da Constituição da República de reprodução não obrigatória e da Lei Orgânica Municipal</w:t>
      </w:r>
      <w:r w:rsidRPr="004B4374">
        <w:rPr>
          <w:rFonts w:ascii="Calibri" w:hAnsi="Calibri" w:cs="Calibri"/>
          <w:i/>
          <w:sz w:val="22"/>
          <w:szCs w:val="22"/>
        </w:rPr>
        <w:t>. Inadmissibilidade. Inteligência dos arts. 125, § 2º, da Constituição Federal, e 74, IV, da Constituição Paulista. Não incidência de IPTU sobre imóveis situados fora da zona urbana que tenham até 500m² e sejam destinados ao pequeno comércio ou vinculados à agropecuária, independentemente de ser oriundo do próprio imóvel. Lei local que dispôs sobre matéria tributária, cuja iniciativa não é reservada ao Chefe do Poder Executivo. Tema 682 do Supremo Tribunal Federal. Inaplicabilidade do art. 113 do ADCT no âmbito dos Municípios. Precedentes do Supremo Tribunal Federal e deste Órgão Especial. Ação improcedente, na parcela conhecida.”</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No RE (Doc. 10), interposto com amparo no art. 102, III, “a”, da Constituição Federal, o Procurador-Geral de Justiça do Estado de São Paulo sustenta que o acórdão recorrido, ao reconhecer a constitucionalidade de lei municipal que estabelece hipótese de não incidência do IPTU, implicando em renúncia de receita tributária, violou o disposto no art. 113 do ADCT - o qual estabelece que a proposição legislativa que cria ou altera despesa obrigatória ou renúncia de receitas deverá ser acompanhada de estimativa do seu impacto orçamentário e financeiro.</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É o relatório. Decido.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Cuida-se de matéria eminentemente constitucional, devidamente </w:t>
      </w:r>
      <w:r w:rsidRPr="004B4374">
        <w:rPr>
          <w:rFonts w:ascii="Calibri" w:hAnsi="Calibri" w:cs="Calibri"/>
          <w:i/>
          <w:sz w:val="22"/>
          <w:szCs w:val="22"/>
        </w:rPr>
        <w:t>prequestionada</w:t>
      </w:r>
      <w:r w:rsidRPr="004B4374">
        <w:rPr>
          <w:rFonts w:ascii="Calibri" w:hAnsi="Calibri" w:cs="Calibri"/>
          <w:i/>
          <w:sz w:val="22"/>
          <w:szCs w:val="22"/>
        </w:rPr>
        <w:t xml:space="preserve"> na instância de origem. Ausentes outros óbices processuais, passo à análise do mérito.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b/>
          <w:i/>
          <w:sz w:val="22"/>
          <w:szCs w:val="22"/>
        </w:rPr>
        <w:t>Eis o teor da Lei 5.872/2019 do Município de Valinhos, que incluiu e alterou dispositivos legais no Código Tributário Municipal - Lei Municipal 3.915/2005</w:t>
      </w:r>
      <w:r w:rsidRPr="004B4374">
        <w:rPr>
          <w:rFonts w:ascii="Calibri" w:hAnsi="Calibri" w:cs="Calibri"/>
          <w:i/>
          <w:sz w:val="22"/>
          <w:szCs w:val="22"/>
        </w:rPr>
        <w:t>:</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w:t>
      </w:r>
    </w:p>
    <w:p w:rsidR="007D36FA" w:rsidRPr="004B4374" w:rsidP="00DC5ECC">
      <w:pPr>
        <w:autoSpaceDE w:val="0"/>
        <w:autoSpaceDN w:val="0"/>
        <w:adjustRightInd w:val="0"/>
        <w:spacing w:after="0" w:line="240" w:lineRule="auto"/>
        <w:ind w:left="2835"/>
        <w:jc w:val="both"/>
        <w:rPr>
          <w:rFonts w:ascii="Calibri" w:hAnsi="Calibri" w:cs="Calibri"/>
          <w:b/>
          <w:i/>
          <w:sz w:val="22"/>
          <w:szCs w:val="22"/>
        </w:rPr>
      </w:pPr>
      <w:r w:rsidRPr="004B4374">
        <w:rPr>
          <w:rFonts w:ascii="Calibri" w:hAnsi="Calibri" w:cs="Calibri"/>
          <w:b/>
          <w:i/>
          <w:sz w:val="22"/>
          <w:szCs w:val="22"/>
        </w:rPr>
        <w:t xml:space="preserve">Conforme se verifica da leitura acima, a norma municipal impugnada instituiu hipótese de não incidência do IPTU sobre imóvel localizado fora da zona urbana do Município que tenha até 500 m² de sua área total e seja destinado à instalação de atividade de comércio e serviços de pequeno porte ou vinculadas à agropecuária, independentemente de ser produção oriunda do próprio imóvel, o que, indiscutivelmente, implica em redução das receitas municipais.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Mostra-se incontroverso dos autos que o processo legislativo correspondente </w:t>
      </w:r>
      <w:r w:rsidRPr="004B4374">
        <w:rPr>
          <w:rFonts w:ascii="Calibri" w:hAnsi="Calibri" w:cs="Calibri"/>
          <w:b/>
          <w:i/>
          <w:sz w:val="22"/>
          <w:szCs w:val="22"/>
          <w:u w:val="single"/>
        </w:rPr>
        <w:t>à Lei Municipal supracitada ocorreu sem análise do respectivo impacto orçamentário e financeiro.</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Por sua vez, o Tribunal de origem afastou a incidência do artigo 113 do ADCT e julgou improcedente a Ação Direta, reconhecendo a constitucionalidade da Lei 5.872/2019 do Município de Valinhos. Por oportuno, veja-se o seguinte trecho do acórdão recorrido na parte que aqui interessa (fl. 10, Doc. </w:t>
      </w:r>
      <w:r w:rsidRPr="004B4374">
        <w:rPr>
          <w:rFonts w:ascii="Calibri" w:hAnsi="Calibri" w:cs="Calibri"/>
          <w:i/>
          <w:sz w:val="22"/>
          <w:szCs w:val="22"/>
        </w:rPr>
        <w:t>6</w:t>
      </w:r>
      <w:r w:rsidRPr="004B4374">
        <w:rPr>
          <w:rFonts w:ascii="Calibri" w:hAnsi="Calibri" w:cs="Calibri"/>
          <w:i/>
          <w:sz w:val="22"/>
          <w:szCs w:val="22"/>
        </w:rPr>
        <w:t>):</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A respeito da matéria, </w:t>
      </w:r>
      <w:r w:rsidRPr="004B4374">
        <w:rPr>
          <w:rFonts w:ascii="Calibri" w:hAnsi="Calibri" w:cs="Calibri"/>
          <w:b/>
          <w:i/>
          <w:sz w:val="22"/>
          <w:szCs w:val="22"/>
          <w:u w:val="single"/>
        </w:rPr>
        <w:t>o Plenário do SUPREMO TRIBUNAL FEDERAL, no julgamento da ADI 5.816, de minha relatoria, firmou entendimento no sentido de que o art. 113 do ADCT, inserido pela Emenda Constitucional 95/2016, é de observância obrigatória a todos os entes federados.</w:t>
      </w:r>
      <w:r w:rsidRPr="004B4374">
        <w:rPr>
          <w:rFonts w:ascii="Calibri" w:hAnsi="Calibri" w:cs="Calibri"/>
          <w:i/>
          <w:sz w:val="22"/>
          <w:szCs w:val="22"/>
        </w:rPr>
        <w:t xml:space="preserve"> Veja-se a ementa do referido julgado:</w:t>
      </w:r>
    </w:p>
    <w:p w:rsidR="007D36FA" w:rsidRPr="004B4374" w:rsidP="00DC5ECC">
      <w:pPr>
        <w:autoSpaceDE w:val="0"/>
        <w:autoSpaceDN w:val="0"/>
        <w:adjustRightInd w:val="0"/>
        <w:spacing w:after="0" w:line="240" w:lineRule="auto"/>
        <w:ind w:left="2835"/>
        <w:jc w:val="both"/>
        <w:rPr>
          <w:rFonts w:ascii="Calibri" w:hAnsi="Calibri" w:cs="Calibri"/>
          <w:i/>
          <w:sz w:val="12"/>
          <w:szCs w:val="12"/>
        </w:rPr>
      </w:pP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“CONSTITUCIONAL.</w:t>
      </w:r>
      <w:r w:rsidRPr="004B4374">
        <w:rPr>
          <w:rFonts w:ascii="Calibri" w:hAnsi="Calibri" w:cs="Calibri"/>
          <w:i/>
          <w:sz w:val="22"/>
          <w:szCs w:val="22"/>
        </w:rPr>
        <w:t xml:space="preserve"> TRIBUTÁRIO. IMUNIDADE DE IGREJAS E TEMPLOS DE QUALQUER CRENÇA. ICMS. TRIBUTAÇÃO INDIRETA. GUERRA FISCAL. CONCESSÃO DE BENEFÍCIO FISCAL E ANÁLISE DE IMPACTO ORÇAMENTÁRIO. ART. 113 DO ADCT (REDAÇÃO DA EC 95/2016). EXTENSÃO A TODOS OS ENTES FEDERATIVOS. INCONSTITUCIONALIDADE.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1. A imunidade de templos não afasta a incidência de tributos sobre operações em que as entidades imunes figurem como contribuintes de fato. Precedentes.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2. A norma estadual, ao pretender ampliar o alcance da imunidade prevista na Constituição, veiculou benefício fiscal em matéria de ICMS, providência que, embora não viole o art. 155, § 2º, XII, “g”, da CF – à luz do precedente da CORTE que afastou a caracterização de guerra fiscal nessa hipótese (ADI 3421, Rel. Min. MARCO AURÉLIO, Tribunal Pleno, julgado em 5/5/2010, DJ de 58/5/2010) –, exige a apresentação da estimativa de impacto orçamentário e financeiro no curso do processo legislativo para a sua aprovação.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3.</w:t>
      </w:r>
      <w:r w:rsidRPr="004B4374">
        <w:rPr>
          <w:rFonts w:ascii="Calibri" w:hAnsi="Calibri" w:cs="Calibri"/>
          <w:b/>
          <w:i/>
          <w:sz w:val="22"/>
          <w:szCs w:val="22"/>
        </w:rPr>
        <w:t xml:space="preserve"> </w:t>
      </w:r>
      <w:r w:rsidRPr="004B4374">
        <w:rPr>
          <w:rFonts w:ascii="Calibri" w:hAnsi="Calibri" w:cs="Calibri"/>
          <w:b/>
          <w:i/>
          <w:szCs w:val="24"/>
          <w:u w:val="single"/>
        </w:rPr>
        <w:t xml:space="preserve">A Emenda Constitucional 95/2016, por meio da nova redação do art. 113 do ADCT, estabeleceu requisito adicional para a validade formal de leis que criem despesa ou concedam benefícios fiscais, requisitos esse que, por expressar medida indispensável para o equilíbrio da atividade financeira do Estado, </w:t>
      </w:r>
      <w:r w:rsidRPr="004B4374">
        <w:rPr>
          <w:rFonts w:ascii="Calibri" w:hAnsi="Calibri" w:cs="Calibri"/>
          <w:b/>
          <w:i/>
          <w:szCs w:val="24"/>
          <w:u w:val="single"/>
        </w:rPr>
        <w:t>dirigi-se</w:t>
      </w:r>
      <w:r w:rsidRPr="004B4374">
        <w:rPr>
          <w:rFonts w:ascii="Calibri" w:hAnsi="Calibri" w:cs="Calibri"/>
          <w:b/>
          <w:i/>
          <w:szCs w:val="24"/>
          <w:u w:val="single"/>
        </w:rPr>
        <w:t xml:space="preserve"> a todos os níveis federativos.</w:t>
      </w:r>
      <w:r w:rsidRPr="004B4374">
        <w:rPr>
          <w:rFonts w:ascii="Calibri" w:hAnsi="Calibri" w:cs="Calibri"/>
          <w:b/>
          <w:i/>
          <w:sz w:val="22"/>
          <w:szCs w:val="22"/>
        </w:rPr>
        <w:t xml:space="preserve">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4. </w:t>
      </w:r>
      <w:r w:rsidRPr="004B4374">
        <w:rPr>
          <w:rFonts w:ascii="Calibri" w:hAnsi="Calibri" w:cs="Calibri"/>
          <w:i/>
          <w:sz w:val="22"/>
          <w:szCs w:val="22"/>
        </w:rPr>
        <w:t>Medida cautelar confirmada e Ação Direta julgada procedente.”</w:t>
      </w:r>
      <w:r w:rsidRPr="004B4374">
        <w:rPr>
          <w:rFonts w:ascii="Calibri" w:hAnsi="Calibri" w:cs="Calibri"/>
          <w:i/>
          <w:sz w:val="22"/>
          <w:szCs w:val="22"/>
        </w:rPr>
        <w:t xml:space="preserve"> (Tribunal Pleno, </w:t>
      </w:r>
      <w:r w:rsidRPr="004B4374">
        <w:rPr>
          <w:rFonts w:ascii="Calibri" w:hAnsi="Calibri" w:cs="Calibri"/>
          <w:i/>
          <w:sz w:val="22"/>
          <w:szCs w:val="22"/>
        </w:rPr>
        <w:t>DJe</w:t>
      </w:r>
      <w:r w:rsidRPr="004B4374">
        <w:rPr>
          <w:rFonts w:ascii="Calibri" w:hAnsi="Calibri" w:cs="Calibri"/>
          <w:i/>
          <w:sz w:val="22"/>
          <w:szCs w:val="22"/>
        </w:rPr>
        <w:t xml:space="preserve"> de 26/11/2019 – grifo nosso)</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O Tribunal de origem divergiu desse entendimento, razão pela qual o acórdão recorrido merece ser reformado.</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Diante do exposto, com base no art. 21, §§ 1º e 2º, do Regimento Interno do Supremo Tribunal Federal, DOU PROVIMENTO AO RECURSO EXTRAORDINÁRIO, para julgar procedente o pedido e declarar a inconstitucionalidade da Lei 5.872, de 28 de junho de 2019, do Município de Valinhos.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Publique-se.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 xml:space="preserve">Brasília, 27 de agosto de 2021. </w:t>
      </w:r>
    </w:p>
    <w:p w:rsidR="007D36FA" w:rsidRPr="004B4374" w:rsidP="00DC5ECC">
      <w:pPr>
        <w:autoSpaceDE w:val="0"/>
        <w:autoSpaceDN w:val="0"/>
        <w:adjustRightInd w:val="0"/>
        <w:spacing w:after="0" w:line="240" w:lineRule="auto"/>
        <w:ind w:left="2835"/>
        <w:jc w:val="both"/>
        <w:rPr>
          <w:rFonts w:ascii="Calibri" w:hAnsi="Calibri" w:cs="Calibri"/>
          <w:i/>
          <w:sz w:val="22"/>
          <w:szCs w:val="22"/>
        </w:rPr>
      </w:pPr>
      <w:r w:rsidRPr="004B4374">
        <w:rPr>
          <w:rFonts w:ascii="Calibri" w:hAnsi="Calibri" w:cs="Calibri"/>
          <w:i/>
          <w:sz w:val="22"/>
          <w:szCs w:val="22"/>
        </w:rPr>
        <w:t>Ministro ALEXANDRE DE MORAES - Relator</w:t>
      </w:r>
    </w:p>
    <w:p w:rsidR="007D36FA" w:rsidRPr="004B4374" w:rsidP="00DC5ECC">
      <w:pPr>
        <w:pBdr>
          <w:bottom w:val="single" w:sz="12" w:space="1" w:color="auto"/>
        </w:pBdr>
        <w:autoSpaceDE w:val="0"/>
        <w:autoSpaceDN w:val="0"/>
        <w:adjustRightInd w:val="0"/>
        <w:spacing w:after="0" w:line="240" w:lineRule="auto"/>
        <w:ind w:left="2835"/>
        <w:jc w:val="both"/>
        <w:rPr>
          <w:rFonts w:ascii="Calibri" w:hAnsi="Calibri" w:cs="Calibri"/>
          <w:sz w:val="4"/>
          <w:szCs w:val="4"/>
        </w:rPr>
      </w:pPr>
    </w:p>
    <w:p w:rsidR="007D36FA" w:rsidRPr="004B4374" w:rsidP="00DC5ECC">
      <w:pPr>
        <w:autoSpaceDE w:val="0"/>
        <w:autoSpaceDN w:val="0"/>
        <w:adjustRightInd w:val="0"/>
        <w:spacing w:after="0" w:line="240" w:lineRule="auto"/>
        <w:ind w:left="2835"/>
        <w:jc w:val="both"/>
        <w:rPr>
          <w:rFonts w:ascii="Calibri" w:hAnsi="Calibri" w:eastAsiaTheme="minorHAnsi" w:cs="Calibri"/>
          <w:b/>
          <w:bCs/>
          <w:i/>
          <w:sz w:val="4"/>
          <w:szCs w:val="4"/>
          <w:lang w:eastAsia="en-US"/>
        </w:rPr>
      </w:pPr>
    </w:p>
    <w:p w:rsidR="007D36FA" w:rsidRPr="004B4374" w:rsidP="00DC5ECC">
      <w:pPr>
        <w:autoSpaceDE w:val="0"/>
        <w:autoSpaceDN w:val="0"/>
        <w:adjustRightInd w:val="0"/>
        <w:spacing w:after="0" w:line="240" w:lineRule="auto"/>
        <w:ind w:left="2835"/>
        <w:jc w:val="both"/>
        <w:rPr>
          <w:rFonts w:ascii="Calibri" w:hAnsi="Calibri" w:eastAsiaTheme="minorHAnsi" w:cs="Calibri"/>
          <w:b/>
          <w:bCs/>
          <w:i/>
          <w:sz w:val="22"/>
          <w:szCs w:val="22"/>
          <w:lang w:eastAsia="en-US"/>
        </w:rPr>
      </w:pPr>
      <w:r w:rsidRPr="004B4374">
        <w:rPr>
          <w:rFonts w:ascii="Calibri" w:hAnsi="Calibri" w:eastAsiaTheme="minorHAnsi" w:cs="Calibri"/>
          <w:b/>
          <w:bCs/>
          <w:i/>
          <w:sz w:val="22"/>
          <w:szCs w:val="22"/>
          <w:lang w:eastAsia="en-US"/>
        </w:rPr>
        <w:t xml:space="preserve">AÇÃO DIRETA DE INCONSTITUCIONALIDADE. DIREITO TRIBUTÁRIO E FINANCEIRO. LEI Nº 1.293, DE 29 DE NOVEMBRO DE 2018, DO ESTADO DE RORAIMA. ISENÇÃO DO IMPOSTO SOBRE A PROPRIEDADE DE VEÍCULOS AUTOMOTORES (IPVA) PARA PESSOAS PORTADORAS DE </w:t>
      </w:r>
      <w:r w:rsidRPr="004B4374">
        <w:rPr>
          <w:rFonts w:ascii="Calibri" w:hAnsi="Calibri" w:eastAsiaTheme="minorHAnsi" w:cs="Calibri"/>
          <w:b/>
          <w:bCs/>
          <w:i/>
          <w:sz w:val="22"/>
          <w:szCs w:val="22"/>
          <w:lang w:eastAsia="en-US"/>
        </w:rPr>
        <w:t xml:space="preserve">DOENÇAS GRAVES. ALEGAÇÃO DE OFENSA AOS ARTIGOS 150, II, DA CONSTITUIÇÃO FEDERAL, E 113 DO ATO DAS DISPOSIÇÕES CONSTITUCIONAIS TRANSITÓRIAS – ADCT. O ARTIGO 113 DO ADCT DIRIGE-SE A TODOS OS ENTES FEDERATIVOS. RENÚNCIA DE RECEITA SEM ESTIMATIVA DE IMPACTO ORÇAMENTÁRIO E FINANCEIRO DA LEI IMPUGNADA. INCONSTITUCIONALIDADE FORMAL RECONHECIDA. AUSÊNCIA DE VIOLAÇÃO DO ARTIGO 150, II, DA CARTA MAGNA: CARÁER EXTRAFISCAL DA ISENÇÃO COMO CONCRETIZAÇÃO DA IGUALDADE MATERIAL. PRECEDENTES. AÇÃO DIRETA CONHECIDA E JULGADA PROCEDENTE. MODULAÇÃO DOS EFEITOS DA DECISÃO. </w:t>
      </w:r>
    </w:p>
    <w:p w:rsidR="007D36FA" w:rsidRPr="004B4374" w:rsidP="00DC5ECC">
      <w:pPr>
        <w:autoSpaceDE w:val="0"/>
        <w:autoSpaceDN w:val="0"/>
        <w:adjustRightInd w:val="0"/>
        <w:spacing w:after="0" w:line="240" w:lineRule="auto"/>
        <w:ind w:left="2835"/>
        <w:jc w:val="both"/>
        <w:rPr>
          <w:rFonts w:ascii="Calibri" w:hAnsi="Calibri" w:eastAsiaTheme="minorHAnsi" w:cs="Calibri"/>
          <w:i/>
          <w:sz w:val="22"/>
          <w:szCs w:val="22"/>
          <w:lang w:eastAsia="en-US"/>
        </w:rPr>
      </w:pPr>
      <w:r w:rsidRPr="004B4374">
        <w:rPr>
          <w:rFonts w:ascii="Calibri" w:hAnsi="Calibri" w:eastAsiaTheme="minorHAnsi" w:cs="Calibri"/>
          <w:b/>
          <w:bCs/>
          <w:i/>
          <w:sz w:val="22"/>
          <w:szCs w:val="22"/>
          <w:lang w:eastAsia="en-US"/>
        </w:rPr>
        <w:t xml:space="preserve">1. </w:t>
      </w:r>
      <w:r w:rsidRPr="004B4374">
        <w:rPr>
          <w:rFonts w:ascii="Calibri" w:hAnsi="Calibri" w:eastAsiaTheme="minorHAnsi" w:cs="Calibri"/>
          <w:i/>
          <w:sz w:val="22"/>
          <w:szCs w:val="22"/>
          <w:lang w:eastAsia="en-US"/>
        </w:rPr>
        <w:t>A Lei nº 1.293/2018 do Estado de Roraima gera renúncia de receita de forma a acarretar impacto orçamentário. A ausência de prévia instrução da proposta legislativa com a estimativa do impacto financeiro e orçamentário, nos termos do art. 113 do ADCT, aplicável a todos os entes federativos, implica inconstitucionalidade formal.</w:t>
      </w:r>
    </w:p>
    <w:p w:rsidR="007D36FA" w:rsidRPr="004B4374" w:rsidP="00DC5ECC">
      <w:pPr>
        <w:autoSpaceDE w:val="0"/>
        <w:autoSpaceDN w:val="0"/>
        <w:adjustRightInd w:val="0"/>
        <w:spacing w:after="0" w:line="240" w:lineRule="auto"/>
        <w:ind w:left="2835"/>
        <w:jc w:val="both"/>
        <w:rPr>
          <w:rFonts w:ascii="Calibri" w:hAnsi="Calibri" w:eastAsiaTheme="minorHAnsi" w:cs="Calibri"/>
          <w:i/>
          <w:sz w:val="22"/>
          <w:szCs w:val="22"/>
          <w:lang w:eastAsia="en-US"/>
        </w:rPr>
      </w:pPr>
      <w:r w:rsidRPr="004B4374">
        <w:rPr>
          <w:rFonts w:ascii="Calibri" w:hAnsi="Calibri" w:eastAsiaTheme="minorHAnsi" w:cs="Calibri"/>
          <w:b/>
          <w:bCs/>
          <w:i/>
          <w:sz w:val="22"/>
          <w:szCs w:val="22"/>
          <w:lang w:eastAsia="en-US"/>
        </w:rPr>
        <w:t xml:space="preserve">2. </w:t>
      </w:r>
      <w:r w:rsidRPr="004B4374">
        <w:rPr>
          <w:rFonts w:ascii="Calibri" w:hAnsi="Calibri" w:eastAsiaTheme="minorHAnsi" w:cs="Calibri"/>
          <w:i/>
          <w:sz w:val="22"/>
          <w:szCs w:val="22"/>
          <w:lang w:eastAsia="en-US"/>
        </w:rPr>
        <w:t>A previsão de incentivos fiscais para atenuar situações caracterizadoras de vulnerabilidades, como ocorre com os portadores de doenças graves, não agride o princípio da isonomia tributária. Função extrafiscal, sem desbordar do princípio da proporcionalidade. Previsão abstrata e impessoal. Precedentes. Ausência de inconstitucionalidade material.</w:t>
      </w:r>
    </w:p>
    <w:p w:rsidR="007D36FA" w:rsidRPr="004B4374" w:rsidP="00DC5ECC">
      <w:pPr>
        <w:autoSpaceDE w:val="0"/>
        <w:autoSpaceDN w:val="0"/>
        <w:adjustRightInd w:val="0"/>
        <w:spacing w:after="0" w:line="240" w:lineRule="auto"/>
        <w:ind w:left="2835"/>
        <w:jc w:val="both"/>
        <w:rPr>
          <w:rFonts w:ascii="Calibri" w:hAnsi="Calibri" w:eastAsiaTheme="minorHAnsi" w:cs="Calibri"/>
          <w:i/>
          <w:sz w:val="22"/>
          <w:szCs w:val="22"/>
          <w:lang w:eastAsia="en-US"/>
        </w:rPr>
      </w:pPr>
      <w:r w:rsidRPr="004B4374">
        <w:rPr>
          <w:rFonts w:ascii="Calibri" w:hAnsi="Calibri" w:eastAsiaTheme="minorHAnsi" w:cs="Calibri"/>
          <w:b/>
          <w:bCs/>
          <w:i/>
          <w:sz w:val="22"/>
          <w:szCs w:val="22"/>
          <w:lang w:eastAsia="en-US"/>
        </w:rPr>
        <w:t xml:space="preserve">3. </w:t>
      </w:r>
      <w:r w:rsidRPr="004B4374">
        <w:rPr>
          <w:rFonts w:ascii="Calibri" w:hAnsi="Calibri" w:eastAsiaTheme="minorHAnsi" w:cs="Calibri"/>
          <w:i/>
          <w:sz w:val="22"/>
          <w:szCs w:val="22"/>
          <w:lang w:eastAsia="en-US"/>
        </w:rPr>
        <w:t>O ato normativo, não obstante viciado na sua origem, acarretou a isenção do IPVA a diversos beneficiários proprietários de veículos portadores de doenças graves, de modo a inviabilizar o ressarcimento dos valores. Modulação dos efeitos da decisão para proteger a confiança legítima que resultou na aplicação da lei e preservar a boa-fé objetiva.</w:t>
      </w:r>
    </w:p>
    <w:p w:rsidR="007D36FA" w:rsidRPr="004B4374" w:rsidP="00DC5ECC">
      <w:pPr>
        <w:autoSpaceDE w:val="0"/>
        <w:autoSpaceDN w:val="0"/>
        <w:adjustRightInd w:val="0"/>
        <w:spacing w:after="0" w:line="240" w:lineRule="auto"/>
        <w:ind w:left="2835"/>
        <w:jc w:val="both"/>
        <w:rPr>
          <w:rFonts w:ascii="Calibri" w:hAnsi="Calibri" w:eastAsiaTheme="minorHAnsi" w:cs="Calibri"/>
          <w:i/>
          <w:sz w:val="22"/>
          <w:szCs w:val="22"/>
          <w:lang w:eastAsia="en-US"/>
        </w:rPr>
      </w:pPr>
      <w:r w:rsidRPr="004B4374">
        <w:rPr>
          <w:rFonts w:ascii="Calibri" w:hAnsi="Calibri" w:eastAsiaTheme="minorHAnsi" w:cs="Calibri"/>
          <w:b/>
          <w:bCs/>
          <w:i/>
          <w:sz w:val="22"/>
          <w:szCs w:val="22"/>
          <w:lang w:eastAsia="en-US"/>
        </w:rPr>
        <w:t xml:space="preserve">4. </w:t>
      </w:r>
      <w:r w:rsidRPr="004B4374">
        <w:rPr>
          <w:rFonts w:ascii="Calibri" w:hAnsi="Calibri" w:eastAsiaTheme="minorHAnsi" w:cs="Calibri"/>
          <w:i/>
          <w:sz w:val="22"/>
          <w:szCs w:val="22"/>
          <w:lang w:eastAsia="en-US"/>
        </w:rPr>
        <w:t xml:space="preserve">Ação direta conhecida e julgada procedente para declarar a inconstitucionalidade da Lei nº 1.293, de 29 de novembro de 2018, do Estado de Roraima, com efeitos </w:t>
      </w:r>
      <w:r w:rsidRPr="004B4374">
        <w:rPr>
          <w:rFonts w:ascii="Calibri" w:hAnsi="Calibri" w:eastAsiaTheme="minorHAnsi" w:cs="Calibri"/>
          <w:i/>
          <w:iCs/>
          <w:sz w:val="22"/>
          <w:szCs w:val="22"/>
          <w:lang w:eastAsia="en-US"/>
        </w:rPr>
        <w:t>ex</w:t>
      </w:r>
      <w:r w:rsidRPr="004B4374">
        <w:rPr>
          <w:rFonts w:ascii="Calibri" w:hAnsi="Calibri" w:eastAsiaTheme="minorHAnsi" w:cs="Calibri"/>
          <w:i/>
          <w:iCs/>
          <w:sz w:val="22"/>
          <w:szCs w:val="22"/>
          <w:lang w:eastAsia="en-US"/>
        </w:rPr>
        <w:t xml:space="preserve"> nunc </w:t>
      </w:r>
      <w:r w:rsidRPr="004B4374">
        <w:rPr>
          <w:rFonts w:ascii="Calibri" w:hAnsi="Calibri" w:eastAsiaTheme="minorHAnsi" w:cs="Calibri"/>
          <w:i/>
          <w:sz w:val="22"/>
          <w:szCs w:val="22"/>
          <w:lang w:eastAsia="en-US"/>
        </w:rPr>
        <w:t xml:space="preserve">a contar da data da publicação da ata do julgamento. </w:t>
      </w:r>
    </w:p>
    <w:p w:rsidR="007D36FA" w:rsidRPr="004B4374" w:rsidP="00DC5ECC">
      <w:pPr>
        <w:autoSpaceDE w:val="0"/>
        <w:autoSpaceDN w:val="0"/>
        <w:adjustRightInd w:val="0"/>
        <w:spacing w:after="0" w:line="240" w:lineRule="auto"/>
        <w:ind w:left="2835"/>
        <w:jc w:val="both"/>
        <w:rPr>
          <w:rFonts w:ascii="Calibri" w:hAnsi="Calibri" w:eastAsiaTheme="minorHAnsi" w:cs="Calibri"/>
          <w:i/>
          <w:sz w:val="22"/>
          <w:szCs w:val="22"/>
          <w:lang w:eastAsia="en-US"/>
        </w:rPr>
      </w:pPr>
      <w:r w:rsidRPr="004B4374">
        <w:rPr>
          <w:rFonts w:ascii="Calibri" w:hAnsi="Calibri" w:eastAsiaTheme="minorHAnsi" w:cs="Calibri"/>
          <w:i/>
          <w:sz w:val="22"/>
          <w:szCs w:val="22"/>
          <w:lang w:eastAsia="en-US"/>
        </w:rPr>
        <w:t xml:space="preserve">(STF. </w:t>
      </w:r>
      <w:r w:rsidRPr="004B4374">
        <w:rPr>
          <w:rFonts w:ascii="Calibri" w:hAnsi="Calibri" w:eastAsiaTheme="minorHAnsi" w:cs="Calibri"/>
          <w:bCs/>
          <w:i/>
          <w:sz w:val="22"/>
          <w:szCs w:val="22"/>
          <w:lang w:eastAsia="en-US"/>
        </w:rPr>
        <w:t>AÇÃO DIRETA DE INCONSTITUCIONALIDADE 6.074 RORAIMA. RELATORA MIN. ROSA WEBER. DATA JULGAMENTO 21/12/2020</w:t>
      </w:r>
      <w:r w:rsidRPr="004B4374">
        <w:rPr>
          <w:rFonts w:ascii="Calibri" w:hAnsi="Calibri" w:eastAsiaTheme="minorHAnsi" w:cs="Calibri"/>
          <w:i/>
          <w:sz w:val="22"/>
          <w:szCs w:val="22"/>
          <w:lang w:eastAsia="en-US"/>
        </w:rPr>
        <w:t>)</w:t>
      </w:r>
    </w:p>
    <w:p w:rsidR="007D36FA" w:rsidRPr="004B4374" w:rsidP="007D36FA">
      <w:pPr>
        <w:autoSpaceDE w:val="0"/>
        <w:autoSpaceDN w:val="0"/>
        <w:adjustRightInd w:val="0"/>
        <w:ind w:left="2268"/>
        <w:jc w:val="both"/>
        <w:rPr>
          <w:rFonts w:ascii="Calibri" w:hAnsi="Calibri" w:cs="Calibri"/>
          <w:i/>
          <w:sz w:val="12"/>
          <w:szCs w:val="12"/>
          <w:u w:val="single"/>
        </w:rPr>
      </w:pPr>
    </w:p>
    <w:p w:rsidR="007D36FA" w:rsidRPr="004B4374" w:rsidP="00DC5ECC">
      <w:pPr>
        <w:spacing w:after="120" w:line="360" w:lineRule="auto"/>
        <w:ind w:firstLine="2268"/>
        <w:jc w:val="both"/>
        <w:rPr>
          <w:rFonts w:ascii="Calibri" w:hAnsi="Calibri" w:cs="Calibri"/>
          <w:szCs w:val="24"/>
        </w:rPr>
      </w:pPr>
      <w:r w:rsidRPr="004B4374">
        <w:rPr>
          <w:rFonts w:ascii="Calibri" w:hAnsi="Calibri" w:cs="Calibri"/>
          <w:szCs w:val="24"/>
        </w:rPr>
        <w:t xml:space="preserve">Destarte, consoante entendimento firmado pela Suprema Corte o art. 113 do ADCT aplica-se a todos os entes da federação, sendo requisito de validade formal de leis que criem despesa ou concedam benefícios fiscais </w:t>
      </w:r>
      <w:r w:rsidRPr="004B4374" w:rsidR="00331DC9">
        <w:rPr>
          <w:rFonts w:ascii="Calibri" w:hAnsi="Calibri" w:cs="Calibri"/>
          <w:szCs w:val="24"/>
        </w:rPr>
        <w:t xml:space="preserve">que </w:t>
      </w:r>
      <w:r w:rsidRPr="004B4374" w:rsidR="00331DC9">
        <w:rPr>
          <w:rFonts w:ascii="Calibri" w:hAnsi="Calibri" w:cs="Calibri"/>
          <w:szCs w:val="24"/>
        </w:rPr>
        <w:t xml:space="preserve">impliquem em renúncia de receita </w:t>
      </w:r>
      <w:r w:rsidRPr="004B4374">
        <w:rPr>
          <w:rFonts w:ascii="Calibri" w:hAnsi="Calibri" w:cs="Calibri"/>
          <w:szCs w:val="24"/>
        </w:rPr>
        <w:t>a i</w:t>
      </w:r>
      <w:r w:rsidRPr="004B4374" w:rsidR="004016EB">
        <w:rPr>
          <w:rFonts w:ascii="Calibri" w:hAnsi="Calibri" w:cs="Calibri"/>
          <w:szCs w:val="24"/>
        </w:rPr>
        <w:t>nstrução do processo legislativo</w:t>
      </w:r>
      <w:r w:rsidRPr="004B4374">
        <w:rPr>
          <w:rFonts w:ascii="Calibri" w:hAnsi="Calibri" w:cs="Calibri"/>
          <w:szCs w:val="24"/>
        </w:rPr>
        <w:t xml:space="preserve"> com a estimativa do impacto financeiro e orçamentário.</w:t>
      </w:r>
    </w:p>
    <w:p w:rsidR="004016EB" w:rsidRPr="004B4374" w:rsidP="004016EB">
      <w:pPr>
        <w:pStyle w:val="BodyText"/>
        <w:spacing w:after="240" w:line="360" w:lineRule="auto"/>
        <w:ind w:firstLine="2268"/>
        <w:jc w:val="both"/>
        <w:rPr>
          <w:rFonts w:ascii="Calibri" w:hAnsi="Calibri" w:cs="Calibri"/>
          <w:szCs w:val="24"/>
          <w:u w:val="single"/>
        </w:rPr>
      </w:pPr>
      <w:r w:rsidRPr="004B4374">
        <w:rPr>
          <w:rFonts w:ascii="Calibri" w:hAnsi="Calibri" w:cs="Calibri"/>
          <w:szCs w:val="24"/>
        </w:rPr>
        <w:t xml:space="preserve">Por fim, quanto ao aspecto gramatical e lógico, em atenção aos preceitos da Lei Complementar nº 95 de 1998, que dispõe sobre a elaboração, redação, alteração e consolidação das leis, </w:t>
      </w:r>
      <w:r w:rsidRPr="004B4374">
        <w:rPr>
          <w:rFonts w:ascii="Calibri" w:hAnsi="Calibri" w:cs="Calibri"/>
          <w:szCs w:val="24"/>
          <w:u w:val="single"/>
        </w:rPr>
        <w:t>cumpre observar que não consta o mapa</w:t>
      </w:r>
      <w:r w:rsidRPr="004B4374">
        <w:rPr>
          <w:rFonts w:ascii="Calibri" w:hAnsi="Calibri" w:cs="Calibri"/>
          <w:szCs w:val="24"/>
          <w:u w:val="single"/>
        </w:rPr>
        <w:t xml:space="preserve">  </w:t>
      </w:r>
      <w:r w:rsidRPr="004B4374">
        <w:rPr>
          <w:rFonts w:ascii="Calibri" w:hAnsi="Calibri" w:cs="Calibri"/>
          <w:szCs w:val="24"/>
          <w:u w:val="single"/>
        </w:rPr>
        <w:t>com a alteração pretendida pelo art. 4º da emenda no Anexo III do Projeto de Lei 185/2022 – Mapa Áreas Estratégicas.</w:t>
      </w:r>
    </w:p>
    <w:p w:rsidR="00F50ADA" w:rsidRPr="004B4374" w:rsidP="00074468">
      <w:pPr>
        <w:pStyle w:val="BodyText"/>
        <w:spacing w:after="240" w:line="360" w:lineRule="auto"/>
        <w:ind w:firstLine="2268"/>
        <w:jc w:val="both"/>
        <w:rPr>
          <w:rFonts w:ascii="Calibri" w:hAnsi="Calibri" w:cs="Calibri"/>
          <w:bCs/>
          <w:snapToGrid w:val="0"/>
          <w:szCs w:val="26"/>
        </w:rPr>
      </w:pPr>
      <w:r w:rsidRPr="004B4374">
        <w:rPr>
          <w:rFonts w:ascii="Calibri" w:hAnsi="Calibri" w:cs="Calibri"/>
          <w:szCs w:val="24"/>
        </w:rPr>
        <w:t>Ante o exposto, conclui-se pela</w:t>
      </w:r>
      <w:r w:rsidRPr="004B4374" w:rsidR="00A56E27">
        <w:rPr>
          <w:rFonts w:ascii="Calibri" w:hAnsi="Calibri" w:cs="Calibri"/>
          <w:szCs w:val="24"/>
        </w:rPr>
        <w:t xml:space="preserve"> constitucionalidade </w:t>
      </w:r>
      <w:r w:rsidRPr="004B4374" w:rsidR="001962C1">
        <w:rPr>
          <w:rFonts w:ascii="Calibri" w:hAnsi="Calibri" w:cs="Calibri"/>
          <w:szCs w:val="24"/>
        </w:rPr>
        <w:t xml:space="preserve">e legalidade </w:t>
      </w:r>
      <w:r w:rsidRPr="004B4374" w:rsidR="00A56E27">
        <w:rPr>
          <w:rFonts w:ascii="Calibri" w:hAnsi="Calibri" w:cs="Calibri"/>
          <w:szCs w:val="24"/>
        </w:rPr>
        <w:t>do projeto de emenda</w:t>
      </w:r>
      <w:r w:rsidRPr="004B4374" w:rsidR="00E37AA7">
        <w:rPr>
          <w:rFonts w:ascii="Calibri" w:hAnsi="Calibri" w:cs="Calibri"/>
          <w:szCs w:val="24"/>
        </w:rPr>
        <w:t>, ressalvado o disposto no</w:t>
      </w:r>
      <w:r w:rsidRPr="004B4374">
        <w:rPr>
          <w:rFonts w:ascii="Calibri" w:hAnsi="Calibri" w:cs="Calibri"/>
          <w:szCs w:val="24"/>
        </w:rPr>
        <w:t xml:space="preserve"> </w:t>
      </w:r>
      <w:r w:rsidRPr="004B4374" w:rsidR="00F35297">
        <w:rPr>
          <w:rFonts w:ascii="Calibri" w:hAnsi="Calibri" w:cs="Calibri"/>
          <w:szCs w:val="24"/>
        </w:rPr>
        <w:t xml:space="preserve">pretendido </w:t>
      </w:r>
      <w:r w:rsidRPr="004B4374">
        <w:rPr>
          <w:rFonts w:ascii="Calibri" w:hAnsi="Calibri" w:cs="Calibri"/>
          <w:szCs w:val="24"/>
        </w:rPr>
        <w:t xml:space="preserve">inciso </w:t>
      </w:r>
      <w:r w:rsidRPr="004B4374" w:rsidR="00F35297">
        <w:rPr>
          <w:rFonts w:ascii="Calibri" w:hAnsi="Calibri" w:cs="Calibri"/>
          <w:szCs w:val="24"/>
        </w:rPr>
        <w:t>I</w:t>
      </w:r>
      <w:r w:rsidRPr="004B4374">
        <w:rPr>
          <w:rFonts w:ascii="Calibri" w:hAnsi="Calibri" w:cs="Calibri"/>
          <w:szCs w:val="24"/>
        </w:rPr>
        <w:t>V, do art. 117</w:t>
      </w:r>
      <w:r w:rsidRPr="004B4374" w:rsidR="00E37AA7">
        <w:rPr>
          <w:rFonts w:ascii="Calibri" w:hAnsi="Calibri" w:cs="Calibri"/>
          <w:szCs w:val="24"/>
        </w:rPr>
        <w:t>, pelos fundamentos acima articulados</w:t>
      </w:r>
      <w:r w:rsidRPr="004B4374" w:rsidR="001962C1">
        <w:rPr>
          <w:rFonts w:ascii="Calibri" w:hAnsi="Calibri" w:cs="Calibri"/>
          <w:szCs w:val="24"/>
        </w:rPr>
        <w:t>.</w:t>
      </w:r>
      <w:r w:rsidRPr="004B4374" w:rsidR="00A56E27">
        <w:rPr>
          <w:rFonts w:ascii="Calibri" w:hAnsi="Calibri" w:cs="Calibri"/>
          <w:szCs w:val="24"/>
        </w:rPr>
        <w:t xml:space="preserve"> </w:t>
      </w:r>
      <w:r w:rsidRPr="004B4374" w:rsidR="00A779B8">
        <w:rPr>
          <w:rFonts w:ascii="Calibri" w:hAnsi="Calibri" w:cs="Calibri"/>
          <w:szCs w:val="24"/>
        </w:rPr>
        <w:t>Sobre o mérito, manifestar-se-á o Soberano Plenário.</w:t>
      </w:r>
    </w:p>
    <w:p w:rsidR="00F50ADA" w:rsidRPr="004B4374" w:rsidP="00026560">
      <w:pPr>
        <w:autoSpaceDE w:val="0"/>
        <w:autoSpaceDN w:val="0"/>
        <w:adjustRightInd w:val="0"/>
        <w:spacing w:before="120" w:after="120" w:line="360" w:lineRule="auto"/>
        <w:ind w:firstLine="2268"/>
        <w:jc w:val="both"/>
        <w:rPr>
          <w:rFonts w:ascii="Calibri" w:hAnsi="Calibri" w:cs="Calibri"/>
          <w:szCs w:val="24"/>
        </w:rPr>
      </w:pPr>
      <w:r w:rsidRPr="004B4374">
        <w:rPr>
          <w:rFonts w:ascii="Calibri" w:hAnsi="Calibri" w:cs="Calibri"/>
          <w:szCs w:val="24"/>
        </w:rPr>
        <w:t>É o parecer, a superior consideração.</w:t>
      </w:r>
    </w:p>
    <w:p w:rsidR="00A779B8" w:rsidRPr="004B4374" w:rsidP="00026560">
      <w:pPr>
        <w:autoSpaceDE w:val="0"/>
        <w:autoSpaceDN w:val="0"/>
        <w:adjustRightInd w:val="0"/>
        <w:spacing w:before="120" w:after="120" w:line="360" w:lineRule="auto"/>
        <w:ind w:firstLine="2268"/>
        <w:jc w:val="both"/>
        <w:rPr>
          <w:rFonts w:ascii="Calibri" w:hAnsi="Calibri" w:cs="Calibri"/>
          <w:szCs w:val="24"/>
        </w:rPr>
      </w:pPr>
      <w:r w:rsidRPr="004B4374">
        <w:rPr>
          <w:rFonts w:ascii="Calibri" w:hAnsi="Calibri" w:cs="Calibri"/>
          <w:szCs w:val="24"/>
        </w:rPr>
        <w:t xml:space="preserve">Procuradoria, </w:t>
      </w:r>
      <w:r w:rsidRPr="004B4374" w:rsidR="004B4374">
        <w:rPr>
          <w:rFonts w:ascii="Calibri" w:hAnsi="Calibri" w:cs="Calibri"/>
          <w:szCs w:val="24"/>
        </w:rPr>
        <w:t>16</w:t>
      </w:r>
      <w:r w:rsidRPr="004B4374">
        <w:rPr>
          <w:rFonts w:ascii="Calibri" w:hAnsi="Calibri" w:cs="Calibri"/>
          <w:szCs w:val="24"/>
        </w:rPr>
        <w:t xml:space="preserve"> de </w:t>
      </w:r>
      <w:r w:rsidRPr="004B4374" w:rsidR="00D7536E">
        <w:rPr>
          <w:rFonts w:ascii="Calibri" w:hAnsi="Calibri" w:cs="Calibri"/>
          <w:szCs w:val="24"/>
        </w:rPr>
        <w:t>novembro</w:t>
      </w:r>
      <w:r w:rsidRPr="004B4374">
        <w:rPr>
          <w:rFonts w:ascii="Calibri" w:hAnsi="Calibri" w:cs="Calibri"/>
          <w:szCs w:val="24"/>
        </w:rPr>
        <w:t xml:space="preserve"> de 202</w:t>
      </w:r>
      <w:r w:rsidRPr="004B4374" w:rsidR="000368DD">
        <w:rPr>
          <w:rFonts w:ascii="Calibri" w:hAnsi="Calibri" w:cs="Calibri"/>
          <w:szCs w:val="24"/>
        </w:rPr>
        <w:t>3</w:t>
      </w:r>
      <w:r w:rsidRPr="004B4374">
        <w:rPr>
          <w:rFonts w:ascii="Calibri" w:hAnsi="Calibri" w:cs="Calibri"/>
          <w:szCs w:val="24"/>
        </w:rPr>
        <w:t>.</w:t>
      </w:r>
      <w:bookmarkStart w:id="0" w:name="_GoBack"/>
      <w:bookmarkEnd w:id="0"/>
    </w:p>
    <w:p w:rsidR="00766226" w:rsidRPr="004B4374" w:rsidP="00F50ADA">
      <w:pPr>
        <w:pStyle w:val="BodyText"/>
        <w:spacing w:after="0" w:line="240" w:lineRule="auto"/>
        <w:jc w:val="center"/>
        <w:rPr>
          <w:rFonts w:ascii="Calibri" w:hAnsi="Calibri" w:cs="Calibri"/>
        </w:rPr>
      </w:pPr>
    </w:p>
    <w:p w:rsidR="00D7536E" w:rsidRPr="004B4374" w:rsidP="00D7536E">
      <w:pPr>
        <w:spacing w:after="0" w:line="360" w:lineRule="auto"/>
        <w:ind w:firstLine="1701"/>
        <w:jc w:val="both"/>
        <w:rPr>
          <w:rFonts w:asciiTheme="minorHAnsi" w:hAnsiTheme="minorHAnsi" w:cstheme="minorHAnsi"/>
          <w:szCs w:val="24"/>
        </w:rPr>
      </w:pPr>
    </w:p>
    <w:p w:rsidR="00D7536E" w:rsidRPr="004B4374" w:rsidP="00D7536E">
      <w:pPr>
        <w:tabs>
          <w:tab w:val="left" w:pos="2880"/>
        </w:tabs>
        <w:spacing w:after="0" w:line="240" w:lineRule="auto"/>
        <w:rPr>
          <w:rFonts w:asciiTheme="minorHAnsi" w:hAnsiTheme="minorHAnsi" w:cstheme="minorHAnsi"/>
          <w:b/>
          <w:szCs w:val="24"/>
        </w:rPr>
      </w:pPr>
      <w:r w:rsidRPr="004B4374">
        <w:rPr>
          <w:rFonts w:asciiTheme="minorHAnsi" w:hAnsiTheme="minorHAnsi" w:cstheme="minorHAnsi"/>
          <w:b/>
          <w:szCs w:val="24"/>
        </w:rPr>
        <w:t>Rosemeire de Souza Cardoso Barbosa                                 Tiago Fadel Malghosian</w:t>
      </w:r>
    </w:p>
    <w:p w:rsidR="00D7536E" w:rsidRPr="004B4374" w:rsidP="00D7536E">
      <w:pPr>
        <w:tabs>
          <w:tab w:val="left" w:pos="2880"/>
        </w:tabs>
        <w:spacing w:after="0" w:line="240" w:lineRule="auto"/>
        <w:jc w:val="center"/>
        <w:rPr>
          <w:rFonts w:asciiTheme="minorHAnsi" w:hAnsiTheme="minorHAnsi" w:cstheme="minorHAnsi"/>
          <w:b/>
          <w:szCs w:val="24"/>
        </w:rPr>
      </w:pPr>
      <w:r w:rsidRPr="004B4374">
        <w:rPr>
          <w:rFonts w:asciiTheme="minorHAnsi" w:hAnsiTheme="minorHAnsi" w:cstheme="minorHAnsi"/>
          <w:b/>
          <w:szCs w:val="24"/>
        </w:rPr>
        <w:t>Procuradora – OAB/SP 308.298                               Procurador- OAB/SP 319.159</w:t>
      </w:r>
    </w:p>
    <w:p w:rsidR="00D7536E" w:rsidRPr="004B4374" w:rsidP="00D7536E">
      <w:pPr>
        <w:pStyle w:val="BodyText"/>
        <w:spacing w:after="0" w:line="240" w:lineRule="auto"/>
        <w:jc w:val="center"/>
        <w:rPr>
          <w:rFonts w:ascii="Calibri" w:hAnsi="Calibri" w:cs="Calibri"/>
        </w:rPr>
      </w:pPr>
      <w:r w:rsidRPr="004B4374">
        <w:rPr>
          <w:rFonts w:asciiTheme="minorHAnsi" w:hAnsiTheme="minorHAnsi" w:cstheme="minorHAnsi"/>
          <w:szCs w:val="24"/>
        </w:rPr>
        <w:t>Assinatura eletrônica                                                 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9E04BC" w:rsidP="00E86B5F">
            <w:pPr>
              <w:pStyle w:val="Footer"/>
              <w:jc w:val="right"/>
              <w:rPr>
                <w:sz w:val="18"/>
                <w:lang w:val="pt-PT"/>
              </w:rPr>
            </w:pPr>
          </w:p>
          <w:p w:rsidR="009E04BC" w:rsidP="00E86B5F">
            <w:pPr>
              <w:pStyle w:val="Footer"/>
              <w:ind w:right="-313"/>
              <w:jc w:val="center"/>
              <w:rPr>
                <w:sz w:val="18"/>
                <w:lang w:val="pt-PT"/>
              </w:rPr>
            </w:pPr>
            <w:r>
              <w:rPr>
                <w:sz w:val="18"/>
                <w:lang w:val="pt-PT"/>
              </w:rPr>
              <w:t>________________________________________________________________________________________</w:t>
            </w:r>
          </w:p>
          <w:p w:rsidR="009E04BC"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9E04BC"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9E04BC"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B4374">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B4374">
              <w:rPr>
                <w:b/>
                <w:bCs/>
                <w:noProof/>
                <w:sz w:val="18"/>
                <w:szCs w:val="18"/>
              </w:rPr>
              <w:t>14</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04BC">
      <w:pPr>
        <w:spacing w:after="0" w:line="240" w:lineRule="auto"/>
      </w:pPr>
      <w:r>
        <w:separator/>
      </w:r>
    </w:p>
  </w:footnote>
  <w:footnote w:type="continuationSeparator" w:id="1">
    <w:p w:rsidR="009E04BC">
      <w:pPr>
        <w:spacing w:after="0" w:line="240" w:lineRule="auto"/>
      </w:pPr>
      <w:r>
        <w:continuationSeparator/>
      </w:r>
    </w:p>
  </w:footnote>
  <w:footnote w:id="2">
    <w:p w:rsidR="009E04BC"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04BC" w:rsidP="00E86B5F">
    <w:pPr>
      <w:pStyle w:val="Header"/>
      <w:jc w:val="center"/>
      <w:rPr>
        <w:b/>
        <w:sz w:val="26"/>
        <w:lang w:val="pt-PT"/>
      </w:rPr>
    </w:pPr>
  </w:p>
  <w:p w:rsidR="009E04BC"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04BC" w:rsidP="00E86B5F">
                          <w:r>
                            <w:rPr>
                              <w:noProof/>
                            </w:rPr>
                            <w:drawing>
                              <wp:inline distT="0" distB="0" distL="0" distR="0">
                                <wp:extent cx="876300" cy="850900"/>
                                <wp:effectExtent l="19050" t="0" r="0" b="0"/>
                                <wp:docPr id="98035221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79769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5165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31849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9E04BC" w:rsidP="00E86B5F">
    <w:pPr>
      <w:pStyle w:val="Header"/>
      <w:jc w:val="center"/>
      <w:rPr>
        <w:b/>
        <w:sz w:val="28"/>
        <w:lang w:val="pt-PT"/>
      </w:rPr>
    </w:pPr>
    <w:r>
      <w:rPr>
        <w:b/>
        <w:sz w:val="28"/>
        <w:lang w:val="pt-PT"/>
      </w:rPr>
      <w:t>CÂMARA MUNICIPAL DE VALINHOS</w:t>
    </w:r>
  </w:p>
  <w:p w:rsidR="009E04BC"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5E3E"/>
    <w:rsid w:val="00026560"/>
    <w:rsid w:val="0003018C"/>
    <w:rsid w:val="000368DD"/>
    <w:rsid w:val="00074468"/>
    <w:rsid w:val="0008325B"/>
    <w:rsid w:val="000C0CB7"/>
    <w:rsid w:val="000E2AF4"/>
    <w:rsid w:val="000F259D"/>
    <w:rsid w:val="00131EB9"/>
    <w:rsid w:val="001604ED"/>
    <w:rsid w:val="001672D5"/>
    <w:rsid w:val="001962C1"/>
    <w:rsid w:val="001B13A6"/>
    <w:rsid w:val="001E6618"/>
    <w:rsid w:val="00200A82"/>
    <w:rsid w:val="0020224C"/>
    <w:rsid w:val="00215CC1"/>
    <w:rsid w:val="00235655"/>
    <w:rsid w:val="0023693B"/>
    <w:rsid w:val="0023709E"/>
    <w:rsid w:val="002E46C3"/>
    <w:rsid w:val="002F6514"/>
    <w:rsid w:val="00331DC9"/>
    <w:rsid w:val="00336C41"/>
    <w:rsid w:val="003A49AF"/>
    <w:rsid w:val="004016EB"/>
    <w:rsid w:val="00403462"/>
    <w:rsid w:val="00416A67"/>
    <w:rsid w:val="00421260"/>
    <w:rsid w:val="00435E91"/>
    <w:rsid w:val="00473A76"/>
    <w:rsid w:val="00487A76"/>
    <w:rsid w:val="004B4374"/>
    <w:rsid w:val="005723D1"/>
    <w:rsid w:val="005946FC"/>
    <w:rsid w:val="005E6247"/>
    <w:rsid w:val="00621D83"/>
    <w:rsid w:val="00636403"/>
    <w:rsid w:val="00646BC4"/>
    <w:rsid w:val="006F2E14"/>
    <w:rsid w:val="0071039A"/>
    <w:rsid w:val="00713AB2"/>
    <w:rsid w:val="0073622A"/>
    <w:rsid w:val="00766226"/>
    <w:rsid w:val="007D36FA"/>
    <w:rsid w:val="0089277F"/>
    <w:rsid w:val="008E128F"/>
    <w:rsid w:val="00902BFB"/>
    <w:rsid w:val="009550F0"/>
    <w:rsid w:val="009A07D0"/>
    <w:rsid w:val="009E04BC"/>
    <w:rsid w:val="00A31B3C"/>
    <w:rsid w:val="00A36A7A"/>
    <w:rsid w:val="00A56E27"/>
    <w:rsid w:val="00A779B8"/>
    <w:rsid w:val="00A87ED2"/>
    <w:rsid w:val="00A94458"/>
    <w:rsid w:val="00AD055D"/>
    <w:rsid w:val="00B06E69"/>
    <w:rsid w:val="00B1562E"/>
    <w:rsid w:val="00B33EC1"/>
    <w:rsid w:val="00B41272"/>
    <w:rsid w:val="00B62E93"/>
    <w:rsid w:val="00BC5BCF"/>
    <w:rsid w:val="00BD58B4"/>
    <w:rsid w:val="00C669D7"/>
    <w:rsid w:val="00C7194E"/>
    <w:rsid w:val="00CA0155"/>
    <w:rsid w:val="00CB1EDF"/>
    <w:rsid w:val="00CB468F"/>
    <w:rsid w:val="00D34B79"/>
    <w:rsid w:val="00D62431"/>
    <w:rsid w:val="00D6369B"/>
    <w:rsid w:val="00D7536E"/>
    <w:rsid w:val="00D75ECD"/>
    <w:rsid w:val="00D85A0B"/>
    <w:rsid w:val="00DC5ECC"/>
    <w:rsid w:val="00DF22E1"/>
    <w:rsid w:val="00E37AA7"/>
    <w:rsid w:val="00E86B5F"/>
    <w:rsid w:val="00EC5876"/>
    <w:rsid w:val="00F215B2"/>
    <w:rsid w:val="00F35297"/>
    <w:rsid w:val="00F50ADA"/>
    <w:rsid w:val="00F53BEF"/>
    <w:rsid w:val="00F65727"/>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 w:type="character" w:styleId="IntenseEmphasis">
    <w:name w:val="Intense Emphasis"/>
    <w:basedOn w:val="DefaultParagraphFont"/>
    <w:uiPriority w:val="21"/>
    <w:qFormat/>
    <w:rsid w:val="007D36F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85C8-2B09-41F1-A5DF-DF79C93B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3742</Words>
  <Characters>20211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36</cp:revision>
  <dcterms:created xsi:type="dcterms:W3CDTF">2023-11-01T19:24:00Z</dcterms:created>
  <dcterms:modified xsi:type="dcterms:W3CDTF">2023-11-16T17:55:00Z</dcterms:modified>
</cp:coreProperties>
</file>