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9D" w:rsidRPr="00ED66A0" w:rsidP="00A779B8">
      <w:pPr>
        <w:pStyle w:val="Default"/>
        <w:jc w:val="both"/>
        <w:rPr>
          <w:rFonts w:ascii="Calibri" w:hAnsi="Calibri" w:cs="Calibri"/>
          <w:b/>
          <w:color w:val="auto"/>
        </w:rPr>
      </w:pPr>
    </w:p>
    <w:p w:rsidR="00A779B8" w:rsidRPr="00ED66A0" w:rsidP="00A779B8">
      <w:pPr>
        <w:pStyle w:val="Default"/>
        <w:jc w:val="both"/>
        <w:rPr>
          <w:rFonts w:ascii="Calibri" w:eastAsia="Times New Roman" w:hAnsi="Calibri" w:cs="Calibri"/>
          <w:bCs/>
          <w:color w:val="auto"/>
        </w:rPr>
      </w:pPr>
      <w:r w:rsidRPr="00ED66A0">
        <w:rPr>
          <w:rFonts w:ascii="Calibri" w:hAnsi="Calibri" w:cs="Calibri"/>
          <w:b/>
          <w:color w:val="auto"/>
        </w:rPr>
        <w:t>Parecer Jurídico nº</w:t>
      </w:r>
      <w:r w:rsidRPr="00ED66A0" w:rsidR="00F50ADA">
        <w:rPr>
          <w:rFonts w:ascii="Calibri" w:hAnsi="Calibri" w:cs="Calibri"/>
          <w:b/>
          <w:color w:val="auto"/>
        </w:rPr>
        <w:t xml:space="preserve"> </w:t>
      </w:r>
      <w:r w:rsidRPr="00ED66A0" w:rsidR="00ED66A0">
        <w:rPr>
          <w:rFonts w:ascii="Calibri" w:hAnsi="Calibri" w:cs="Calibri"/>
          <w:b/>
          <w:color w:val="auto"/>
        </w:rPr>
        <w:t>433</w:t>
      </w:r>
      <w:r w:rsidRPr="00ED66A0">
        <w:rPr>
          <w:rFonts w:ascii="Calibri" w:hAnsi="Calibri" w:cs="Calibri"/>
          <w:b/>
          <w:color w:val="auto"/>
        </w:rPr>
        <w:t>/202</w:t>
      </w:r>
      <w:r w:rsidRPr="00ED66A0" w:rsidR="00473A76">
        <w:rPr>
          <w:rFonts w:ascii="Calibri" w:hAnsi="Calibri" w:cs="Calibri"/>
          <w:b/>
          <w:color w:val="auto"/>
        </w:rPr>
        <w:t>3</w:t>
      </w:r>
      <w:r w:rsidRPr="00ED66A0">
        <w:rPr>
          <w:rFonts w:ascii="Calibri" w:hAnsi="Calibri" w:cs="Calibri"/>
          <w:b/>
          <w:color w:val="auto"/>
        </w:rPr>
        <w:t>.</w:t>
      </w:r>
    </w:p>
    <w:p w:rsidR="00200A82" w:rsidRPr="00ED66A0" w:rsidP="00473A76">
      <w:pPr>
        <w:spacing w:after="0" w:line="240" w:lineRule="auto"/>
        <w:jc w:val="both"/>
        <w:rPr>
          <w:rFonts w:ascii="Calibri" w:eastAsia="Calibri" w:hAnsi="Calibri" w:cs="Calibri"/>
          <w:szCs w:val="24"/>
        </w:rPr>
      </w:pPr>
      <w:r w:rsidRPr="00ED66A0">
        <w:rPr>
          <w:rFonts w:ascii="Calibri" w:hAnsi="Calibri" w:cs="Calibri"/>
          <w:b/>
          <w:bCs/>
          <w:szCs w:val="24"/>
        </w:rPr>
        <w:t xml:space="preserve">Assunto: </w:t>
      </w:r>
      <w:r w:rsidRPr="00ED66A0" w:rsidR="00CF7DEF">
        <w:rPr>
          <w:rFonts w:ascii="Calibri" w:hAnsi="Calibri" w:cs="Calibri"/>
          <w:b/>
          <w:bCs/>
          <w:szCs w:val="24"/>
        </w:rPr>
        <w:t>Emenda 18</w:t>
      </w:r>
      <w:r w:rsidRPr="00ED66A0" w:rsidR="00A779B8">
        <w:rPr>
          <w:rFonts w:ascii="Calibri" w:hAnsi="Calibri" w:cs="Calibri"/>
          <w:b/>
          <w:bCs/>
          <w:szCs w:val="24"/>
        </w:rPr>
        <w:t xml:space="preserve"> ao</w:t>
      </w:r>
      <w:r w:rsidRPr="00ED66A0" w:rsidR="00FC140B">
        <w:rPr>
          <w:rFonts w:ascii="Calibri" w:hAnsi="Calibri" w:cs="Calibri"/>
          <w:b/>
          <w:bCs/>
          <w:szCs w:val="24"/>
        </w:rPr>
        <w:t xml:space="preserve"> </w:t>
      </w:r>
      <w:r w:rsidRPr="00ED66A0" w:rsidR="00FC140B">
        <w:rPr>
          <w:rFonts w:ascii="Calibri" w:hAnsi="Calibri" w:cs="Calibri"/>
          <w:b/>
          <w:bCs/>
        </w:rPr>
        <w:t xml:space="preserve">Projeto de Lei nº </w:t>
      </w:r>
      <w:r w:rsidRPr="00ED66A0">
        <w:rPr>
          <w:rFonts w:ascii="Calibri" w:hAnsi="Calibri" w:cs="Calibri"/>
          <w:b/>
          <w:bCs/>
        </w:rPr>
        <w:t>185</w:t>
      </w:r>
      <w:r w:rsidRPr="00ED66A0" w:rsidR="001604ED">
        <w:rPr>
          <w:rFonts w:ascii="Calibri" w:hAnsi="Calibri" w:cs="Calibri"/>
          <w:b/>
          <w:bCs/>
        </w:rPr>
        <w:t>/202</w:t>
      </w:r>
      <w:r w:rsidRPr="00ED66A0">
        <w:rPr>
          <w:rFonts w:ascii="Calibri" w:hAnsi="Calibri" w:cs="Calibri"/>
          <w:b/>
          <w:bCs/>
        </w:rPr>
        <w:t>2</w:t>
      </w:r>
      <w:r w:rsidRPr="00ED66A0" w:rsidR="0023693B">
        <w:rPr>
          <w:rFonts w:ascii="Calibri" w:hAnsi="Calibri" w:cs="Calibri"/>
          <w:b/>
          <w:bCs/>
        </w:rPr>
        <w:t xml:space="preserve"> </w:t>
      </w:r>
      <w:r w:rsidRPr="00ED66A0" w:rsidR="000368DD">
        <w:rPr>
          <w:rFonts w:ascii="Calibri" w:hAnsi="Calibri" w:cs="Calibri"/>
          <w:bCs/>
        </w:rPr>
        <w:t xml:space="preserve">que </w:t>
      </w:r>
      <w:r w:rsidRPr="00ED66A0" w:rsidR="000368DD">
        <w:rPr>
          <w:rFonts w:ascii="Calibri" w:eastAsia="Calibri" w:hAnsi="Calibri" w:cs="Calibri"/>
          <w:szCs w:val="24"/>
        </w:rPr>
        <w:t>“</w:t>
      </w:r>
      <w:r w:rsidRPr="00ED66A0">
        <w:rPr>
          <w:rFonts w:ascii="Calibri" w:eastAsia="Calibri" w:hAnsi="Calibri" w:cs="Calibri"/>
          <w:szCs w:val="24"/>
        </w:rPr>
        <w:t>Institui o Plano Diretor Municipal de Valinhos e dá outras providências</w:t>
      </w:r>
      <w:r w:rsidRPr="00ED66A0" w:rsidR="0071039A">
        <w:rPr>
          <w:rFonts w:ascii="Calibri" w:eastAsia="Calibri" w:hAnsi="Calibri" w:cs="Calibri"/>
          <w:szCs w:val="24"/>
        </w:rPr>
        <w:t>”</w:t>
      </w:r>
      <w:r w:rsidRPr="00ED66A0">
        <w:rPr>
          <w:rFonts w:ascii="Calibri" w:eastAsia="Calibri" w:hAnsi="Calibri" w:cs="Calibri"/>
          <w:szCs w:val="24"/>
        </w:rPr>
        <w:t>.</w:t>
      </w:r>
    </w:p>
    <w:p w:rsidR="00A779B8" w:rsidRPr="00ED66A0" w:rsidP="0023693B">
      <w:pPr>
        <w:spacing w:after="0" w:line="240" w:lineRule="auto"/>
        <w:jc w:val="both"/>
        <w:rPr>
          <w:rFonts w:ascii="Calibri" w:hAnsi="Calibri" w:cs="Calibri"/>
          <w:b/>
          <w:bCs/>
          <w:szCs w:val="24"/>
        </w:rPr>
      </w:pPr>
      <w:r w:rsidRPr="00ED66A0">
        <w:rPr>
          <w:rFonts w:ascii="Calibri" w:hAnsi="Calibri" w:cs="Calibri"/>
          <w:b/>
          <w:bCs/>
        </w:rPr>
        <w:t>Emenda de a</w:t>
      </w:r>
      <w:r w:rsidRPr="00ED66A0" w:rsidR="0023693B">
        <w:rPr>
          <w:rFonts w:ascii="Calibri" w:hAnsi="Calibri" w:cs="Calibri"/>
          <w:b/>
          <w:bCs/>
          <w:szCs w:val="24"/>
        </w:rPr>
        <w:t xml:space="preserve">utoria </w:t>
      </w:r>
      <w:r w:rsidRPr="00ED66A0" w:rsidR="00200A82">
        <w:rPr>
          <w:rFonts w:ascii="Calibri" w:hAnsi="Calibri" w:cs="Calibri"/>
          <w:b/>
          <w:bCs/>
          <w:szCs w:val="24"/>
        </w:rPr>
        <w:t>da Comissão de Sistematização</w:t>
      </w:r>
    </w:p>
    <w:p w:rsidR="00A779B8" w:rsidRPr="00ED66A0" w:rsidP="00A779B8">
      <w:pPr>
        <w:pStyle w:val="Default"/>
        <w:jc w:val="both"/>
        <w:rPr>
          <w:rFonts w:ascii="Calibri" w:hAnsi="Calibri" w:cs="Calibri"/>
          <w:b/>
          <w:i/>
          <w:color w:val="auto"/>
        </w:rPr>
      </w:pPr>
    </w:p>
    <w:p w:rsidR="000F259D" w:rsidRPr="00ED66A0" w:rsidP="00A779B8">
      <w:pPr>
        <w:pStyle w:val="Default"/>
        <w:jc w:val="both"/>
        <w:rPr>
          <w:rFonts w:ascii="Calibri" w:hAnsi="Calibri" w:cs="Calibri"/>
          <w:b/>
          <w:i/>
          <w:color w:val="auto"/>
        </w:rPr>
      </w:pPr>
    </w:p>
    <w:p w:rsidR="000F259D" w:rsidRPr="00ED66A0" w:rsidP="00A779B8">
      <w:pPr>
        <w:pStyle w:val="Default"/>
        <w:jc w:val="both"/>
        <w:rPr>
          <w:rFonts w:ascii="Calibri" w:hAnsi="Calibri" w:cs="Calibri"/>
          <w:b/>
          <w:i/>
          <w:color w:val="auto"/>
        </w:rPr>
      </w:pPr>
    </w:p>
    <w:p w:rsidR="000F259D" w:rsidRPr="00ED66A0" w:rsidP="00A779B8">
      <w:pPr>
        <w:pStyle w:val="Default"/>
        <w:jc w:val="both"/>
        <w:rPr>
          <w:rFonts w:ascii="Calibri" w:hAnsi="Calibri" w:cs="Calibri"/>
          <w:b/>
          <w:i/>
          <w:color w:val="auto"/>
        </w:rPr>
      </w:pPr>
    </w:p>
    <w:p w:rsidR="00A779B8" w:rsidRPr="00ED66A0" w:rsidP="00A779B8">
      <w:pPr>
        <w:pStyle w:val="Default"/>
        <w:jc w:val="both"/>
        <w:rPr>
          <w:rFonts w:ascii="Calibri" w:hAnsi="Calibri" w:cs="Calibri"/>
          <w:b/>
          <w:i/>
          <w:color w:val="auto"/>
        </w:rPr>
      </w:pPr>
      <w:r w:rsidRPr="00ED66A0">
        <w:rPr>
          <w:rFonts w:ascii="Calibri" w:hAnsi="Calibri" w:cs="Calibri"/>
          <w:b/>
          <w:i/>
          <w:color w:val="auto"/>
        </w:rPr>
        <w:t>À Comissão de Justiça e Redação,</w:t>
      </w:r>
    </w:p>
    <w:p w:rsidR="00A779B8" w:rsidRPr="00ED66A0" w:rsidP="00A779B8">
      <w:pPr>
        <w:pStyle w:val="Default"/>
        <w:jc w:val="both"/>
        <w:rPr>
          <w:rFonts w:ascii="Calibri" w:hAnsi="Calibri" w:cs="Calibri"/>
          <w:b/>
          <w:i/>
          <w:color w:val="auto"/>
        </w:rPr>
      </w:pPr>
      <w:r w:rsidRPr="00ED66A0">
        <w:rPr>
          <w:rFonts w:ascii="Calibri" w:hAnsi="Calibri" w:cs="Calibri"/>
          <w:b/>
          <w:i/>
          <w:color w:val="auto"/>
        </w:rPr>
        <w:t xml:space="preserve">Exmo. </w:t>
      </w:r>
      <w:r w:rsidRPr="00ED66A0" w:rsidR="00473A76">
        <w:rPr>
          <w:rFonts w:ascii="Calibri" w:hAnsi="Calibri" w:cs="Calibri"/>
          <w:b/>
          <w:i/>
          <w:color w:val="auto"/>
        </w:rPr>
        <w:t>Sr.</w:t>
      </w:r>
      <w:r w:rsidRPr="00ED66A0" w:rsidR="00473A76">
        <w:rPr>
          <w:rFonts w:ascii="Calibri" w:hAnsi="Calibri" w:cs="Calibri"/>
          <w:b/>
          <w:i/>
          <w:color w:val="auto"/>
        </w:rPr>
        <w:t xml:space="preserve"> </w:t>
      </w:r>
      <w:r w:rsidRPr="00ED66A0">
        <w:rPr>
          <w:rFonts w:ascii="Calibri" w:hAnsi="Calibri" w:cs="Calibri"/>
          <w:b/>
          <w:i/>
          <w:color w:val="auto"/>
        </w:rPr>
        <w:t>Presidente</w:t>
      </w:r>
      <w:r w:rsidRPr="00ED66A0" w:rsidR="00473A76">
        <w:rPr>
          <w:rFonts w:ascii="Calibri" w:hAnsi="Calibri" w:cs="Calibri"/>
          <w:b/>
          <w:i/>
          <w:color w:val="auto"/>
        </w:rPr>
        <w:t xml:space="preserve"> Vereador Gabriel Bueno</w:t>
      </w:r>
      <w:r w:rsidRPr="00ED66A0">
        <w:rPr>
          <w:rFonts w:ascii="Calibri" w:hAnsi="Calibri" w:cs="Calibri"/>
          <w:b/>
          <w:i/>
          <w:color w:val="auto"/>
        </w:rPr>
        <w:t>.</w:t>
      </w:r>
    </w:p>
    <w:p w:rsidR="00A779B8" w:rsidRPr="00ED66A0" w:rsidP="00A779B8">
      <w:pPr>
        <w:pStyle w:val="Default"/>
        <w:jc w:val="both"/>
        <w:rPr>
          <w:rFonts w:ascii="Calibri" w:hAnsi="Calibri" w:cs="Calibri"/>
          <w:b/>
          <w:i/>
          <w:color w:val="auto"/>
        </w:rPr>
      </w:pPr>
    </w:p>
    <w:p w:rsidR="00A779B8" w:rsidRPr="00ED66A0" w:rsidP="00A779B8">
      <w:pPr>
        <w:pStyle w:val="Default"/>
        <w:spacing w:after="120" w:line="360" w:lineRule="auto"/>
        <w:jc w:val="both"/>
        <w:rPr>
          <w:rFonts w:ascii="Calibri" w:hAnsi="Calibri" w:cs="Calibri"/>
          <w:color w:val="auto"/>
          <w:sz w:val="12"/>
          <w:szCs w:val="12"/>
        </w:rPr>
      </w:pPr>
    </w:p>
    <w:p w:rsidR="000F259D" w:rsidRPr="00ED66A0" w:rsidP="00A779B8">
      <w:pPr>
        <w:pStyle w:val="Default"/>
        <w:spacing w:after="120" w:line="360" w:lineRule="auto"/>
        <w:jc w:val="both"/>
        <w:rPr>
          <w:rFonts w:ascii="Calibri" w:hAnsi="Calibri" w:cs="Calibri"/>
          <w:color w:val="auto"/>
          <w:sz w:val="12"/>
          <w:szCs w:val="12"/>
        </w:rPr>
      </w:pPr>
    </w:p>
    <w:p w:rsidR="000F259D" w:rsidRPr="00ED66A0" w:rsidP="00A779B8">
      <w:pPr>
        <w:pStyle w:val="Default"/>
        <w:spacing w:after="120" w:line="360" w:lineRule="auto"/>
        <w:jc w:val="both"/>
        <w:rPr>
          <w:rFonts w:ascii="Calibri" w:hAnsi="Calibri" w:cs="Calibri"/>
          <w:color w:val="auto"/>
          <w:sz w:val="12"/>
          <w:szCs w:val="12"/>
        </w:rPr>
      </w:pPr>
    </w:p>
    <w:p w:rsidR="0023693B" w:rsidRPr="00ED66A0" w:rsidP="000368DD">
      <w:pPr>
        <w:pStyle w:val="Default"/>
        <w:spacing w:after="240" w:line="360" w:lineRule="auto"/>
        <w:ind w:firstLine="2268"/>
        <w:jc w:val="both"/>
        <w:rPr>
          <w:rFonts w:ascii="Calibri" w:hAnsi="Calibri" w:cs="Calibri"/>
          <w:i/>
          <w:color w:val="auto"/>
        </w:rPr>
      </w:pPr>
      <w:r w:rsidRPr="00ED66A0">
        <w:rPr>
          <w:rFonts w:ascii="Calibri" w:hAnsi="Calibri" w:cs="Calibri"/>
          <w:color w:val="auto"/>
        </w:rPr>
        <w:t>Trata-se de parecer jurídico relativo à emenda em epígrafe que</w:t>
      </w:r>
      <w:r w:rsidRPr="00ED66A0" w:rsidR="00473A76">
        <w:rPr>
          <w:rFonts w:ascii="Calibri" w:hAnsi="Calibri" w:cs="Calibri"/>
          <w:color w:val="auto"/>
        </w:rPr>
        <w:t xml:space="preserve"> tenciona</w:t>
      </w:r>
      <w:r w:rsidRPr="00ED66A0" w:rsidR="000368DD">
        <w:rPr>
          <w:rFonts w:ascii="Calibri" w:hAnsi="Calibri" w:cs="Calibri"/>
          <w:color w:val="auto"/>
        </w:rPr>
        <w:t xml:space="preserve"> </w:t>
      </w:r>
      <w:r w:rsidRPr="00ED66A0" w:rsidR="00D7536E">
        <w:rPr>
          <w:rFonts w:ascii="Calibri" w:hAnsi="Calibri" w:cs="Calibri"/>
          <w:color w:val="auto"/>
        </w:rPr>
        <w:t xml:space="preserve">alterar </w:t>
      </w:r>
      <w:r w:rsidRPr="00ED66A0" w:rsidR="00CF7DEF">
        <w:rPr>
          <w:rFonts w:ascii="Calibri" w:hAnsi="Calibri" w:cs="Calibri"/>
          <w:color w:val="auto"/>
        </w:rPr>
        <w:t>o art. 252</w:t>
      </w:r>
      <w:r w:rsidRPr="00ED66A0" w:rsidR="000368DD">
        <w:rPr>
          <w:rFonts w:ascii="Calibri" w:hAnsi="Calibri" w:cs="Calibri"/>
          <w:color w:val="auto"/>
        </w:rPr>
        <w:t xml:space="preserve"> do Projeto de Lei </w:t>
      </w:r>
      <w:r w:rsidRPr="00ED66A0" w:rsidR="00D7536E">
        <w:rPr>
          <w:rFonts w:ascii="Calibri" w:hAnsi="Calibri" w:cs="Calibri"/>
          <w:color w:val="auto"/>
        </w:rPr>
        <w:t>185</w:t>
      </w:r>
      <w:r w:rsidRPr="00ED66A0" w:rsidR="000368DD">
        <w:rPr>
          <w:rFonts w:ascii="Calibri" w:hAnsi="Calibri" w:cs="Calibri"/>
          <w:color w:val="auto"/>
        </w:rPr>
        <w:t>/202</w:t>
      </w:r>
      <w:r w:rsidRPr="00ED66A0" w:rsidR="00D7536E">
        <w:rPr>
          <w:rFonts w:ascii="Calibri" w:hAnsi="Calibri" w:cs="Calibri"/>
          <w:color w:val="auto"/>
        </w:rPr>
        <w:t>2</w:t>
      </w:r>
      <w:r w:rsidRPr="00ED66A0" w:rsidR="000368DD">
        <w:rPr>
          <w:rFonts w:ascii="Calibri" w:hAnsi="Calibri" w:cs="Calibri"/>
          <w:color w:val="auto"/>
        </w:rPr>
        <w:t xml:space="preserve">, que </w:t>
      </w:r>
      <w:r w:rsidRPr="00ED66A0" w:rsidR="000368DD">
        <w:rPr>
          <w:rFonts w:ascii="Calibri" w:hAnsi="Calibri" w:cs="Calibri"/>
          <w:i/>
          <w:color w:val="auto"/>
        </w:rPr>
        <w:t>“</w:t>
      </w:r>
      <w:r w:rsidRPr="00ED66A0" w:rsidR="00D7536E">
        <w:rPr>
          <w:rFonts w:ascii="Calibri" w:hAnsi="Calibri" w:cs="Calibri"/>
          <w:i/>
          <w:color w:val="auto"/>
        </w:rPr>
        <w:t>Institui o Plano Diretor Municipal de Valinhos e dá outras providências”</w:t>
      </w:r>
      <w:r w:rsidRPr="00ED66A0" w:rsidR="00473A76">
        <w:rPr>
          <w:rFonts w:ascii="Calibri" w:hAnsi="Calibri" w:cs="Calibri"/>
          <w:i/>
          <w:color w:val="auto"/>
        </w:rPr>
        <w:t>,</w:t>
      </w:r>
      <w:r w:rsidRPr="00ED66A0" w:rsidR="00B33EC1">
        <w:rPr>
          <w:rFonts w:ascii="Calibri" w:hAnsi="Calibri" w:cs="Calibri"/>
          <w:i/>
          <w:color w:val="auto"/>
        </w:rPr>
        <w:t xml:space="preserve"> </w:t>
      </w:r>
      <w:r w:rsidRPr="00ED66A0" w:rsidR="00473A76">
        <w:rPr>
          <w:rFonts w:ascii="Calibri" w:hAnsi="Calibri" w:cs="Calibri"/>
          <w:color w:val="auto"/>
        </w:rPr>
        <w:t>nos seguintes termos:</w:t>
      </w:r>
    </w:p>
    <w:tbl>
      <w:tblPr>
        <w:tblStyle w:val="TableGrid"/>
        <w:tblW w:w="8613" w:type="dxa"/>
        <w:tblLook w:val="04A0"/>
      </w:tblPr>
      <w:tblGrid>
        <w:gridCol w:w="4077"/>
        <w:gridCol w:w="4536"/>
      </w:tblGrid>
      <w:tr w:rsidTr="000368DD">
        <w:tblPrEx>
          <w:tblW w:w="8613" w:type="dxa"/>
          <w:tblLook w:val="04A0"/>
        </w:tblPrEx>
        <w:tc>
          <w:tcPr>
            <w:tcW w:w="4077" w:type="dxa"/>
            <w:vAlign w:val="center"/>
          </w:tcPr>
          <w:p w:rsidR="000368DD" w:rsidRPr="00ED66A0" w:rsidP="00473A76">
            <w:pPr>
              <w:pStyle w:val="Default"/>
              <w:tabs>
                <w:tab w:val="left" w:pos="2055"/>
              </w:tabs>
              <w:spacing w:line="276" w:lineRule="auto"/>
              <w:jc w:val="center"/>
              <w:rPr>
                <w:rFonts w:ascii="Calibri" w:eastAsia="Times New Roman" w:hAnsi="Calibri" w:cs="Calibri"/>
                <w:b/>
                <w:color w:val="auto"/>
              </w:rPr>
            </w:pPr>
          </w:p>
          <w:p w:rsidR="000368DD" w:rsidRPr="00ED66A0" w:rsidP="00473A76">
            <w:pPr>
              <w:pStyle w:val="Default"/>
              <w:tabs>
                <w:tab w:val="left" w:pos="2055"/>
              </w:tabs>
              <w:spacing w:line="276" w:lineRule="auto"/>
              <w:jc w:val="center"/>
              <w:rPr>
                <w:rFonts w:ascii="Calibri" w:eastAsia="Times New Roman" w:hAnsi="Calibri" w:cs="Calibri"/>
                <w:b/>
                <w:color w:val="auto"/>
              </w:rPr>
            </w:pPr>
            <w:r w:rsidRPr="00ED66A0">
              <w:rPr>
                <w:rFonts w:ascii="Calibri" w:eastAsia="Times New Roman" w:hAnsi="Calibri" w:cs="Calibri"/>
                <w:b/>
                <w:color w:val="auto"/>
              </w:rPr>
              <w:t xml:space="preserve">Projeto de Lei </w:t>
            </w:r>
            <w:r w:rsidRPr="00ED66A0" w:rsidR="00D7536E">
              <w:rPr>
                <w:rFonts w:ascii="Calibri" w:eastAsia="Times New Roman" w:hAnsi="Calibri" w:cs="Calibri"/>
                <w:b/>
                <w:color w:val="auto"/>
              </w:rPr>
              <w:t>185</w:t>
            </w:r>
            <w:r w:rsidRPr="00ED66A0">
              <w:rPr>
                <w:rFonts w:ascii="Calibri" w:eastAsia="Times New Roman" w:hAnsi="Calibri" w:cs="Calibri"/>
                <w:b/>
                <w:color w:val="auto"/>
              </w:rPr>
              <w:t>/202</w:t>
            </w:r>
            <w:r w:rsidRPr="00ED66A0" w:rsidR="00636403">
              <w:rPr>
                <w:rFonts w:ascii="Calibri" w:eastAsia="Times New Roman" w:hAnsi="Calibri" w:cs="Calibri"/>
                <w:b/>
                <w:color w:val="auto"/>
              </w:rPr>
              <w:t>2</w:t>
            </w:r>
          </w:p>
          <w:p w:rsidR="000368DD" w:rsidRPr="00ED66A0" w:rsidP="00473A76">
            <w:pPr>
              <w:pStyle w:val="Default"/>
              <w:tabs>
                <w:tab w:val="left" w:pos="2055"/>
              </w:tabs>
              <w:spacing w:line="276" w:lineRule="auto"/>
              <w:jc w:val="center"/>
              <w:rPr>
                <w:rFonts w:ascii="Calibri" w:eastAsia="Times New Roman" w:hAnsi="Calibri" w:cs="Calibri"/>
                <w:b/>
                <w:color w:val="auto"/>
              </w:rPr>
            </w:pPr>
          </w:p>
        </w:tc>
        <w:tc>
          <w:tcPr>
            <w:tcW w:w="4536" w:type="dxa"/>
          </w:tcPr>
          <w:p w:rsidR="000368DD" w:rsidRPr="00ED66A0" w:rsidP="00473A76">
            <w:pPr>
              <w:pStyle w:val="Default"/>
              <w:tabs>
                <w:tab w:val="left" w:pos="2055"/>
              </w:tabs>
              <w:spacing w:line="276" w:lineRule="auto"/>
              <w:jc w:val="center"/>
              <w:rPr>
                <w:rFonts w:ascii="Calibri" w:eastAsia="Times New Roman" w:hAnsi="Calibri" w:cs="Calibri"/>
                <w:b/>
                <w:color w:val="auto"/>
              </w:rPr>
            </w:pPr>
          </w:p>
          <w:p w:rsidR="000368DD" w:rsidRPr="00ED66A0" w:rsidP="00CF7DEF">
            <w:pPr>
              <w:pStyle w:val="Default"/>
              <w:tabs>
                <w:tab w:val="left" w:pos="2055"/>
              </w:tabs>
              <w:spacing w:line="276" w:lineRule="auto"/>
              <w:jc w:val="center"/>
              <w:rPr>
                <w:rFonts w:ascii="Calibri" w:eastAsia="Times New Roman" w:hAnsi="Calibri" w:cs="Calibri"/>
                <w:b/>
                <w:color w:val="auto"/>
              </w:rPr>
            </w:pPr>
            <w:r w:rsidRPr="00ED66A0">
              <w:rPr>
                <w:rFonts w:ascii="Calibri" w:eastAsia="Times New Roman" w:hAnsi="Calibri" w:cs="Calibri"/>
                <w:b/>
                <w:color w:val="auto"/>
              </w:rPr>
              <w:t xml:space="preserve">Emenda nº </w:t>
            </w:r>
            <w:r w:rsidRPr="00ED66A0" w:rsidR="00CF7DEF">
              <w:rPr>
                <w:rFonts w:ascii="Calibri" w:eastAsia="Times New Roman" w:hAnsi="Calibri" w:cs="Calibri"/>
                <w:b/>
                <w:color w:val="auto"/>
              </w:rPr>
              <w:t>18</w:t>
            </w:r>
            <w:r w:rsidRPr="00ED66A0">
              <w:rPr>
                <w:rFonts w:ascii="Calibri" w:eastAsia="Times New Roman" w:hAnsi="Calibri" w:cs="Calibri"/>
                <w:b/>
                <w:color w:val="auto"/>
              </w:rPr>
              <w:t xml:space="preserve"> ao PL </w:t>
            </w:r>
            <w:r w:rsidRPr="00ED66A0" w:rsidR="00D7536E">
              <w:rPr>
                <w:rFonts w:ascii="Calibri" w:eastAsia="Times New Roman" w:hAnsi="Calibri" w:cs="Calibri"/>
                <w:b/>
                <w:color w:val="auto"/>
              </w:rPr>
              <w:t>185</w:t>
            </w:r>
            <w:r w:rsidRPr="00ED66A0">
              <w:rPr>
                <w:rFonts w:ascii="Calibri" w:eastAsia="Times New Roman" w:hAnsi="Calibri" w:cs="Calibri"/>
                <w:b/>
                <w:color w:val="auto"/>
              </w:rPr>
              <w:t>/202</w:t>
            </w:r>
            <w:r w:rsidRPr="00ED66A0" w:rsidR="00D7536E">
              <w:rPr>
                <w:rFonts w:ascii="Calibri" w:eastAsia="Times New Roman" w:hAnsi="Calibri" w:cs="Calibri"/>
                <w:b/>
                <w:color w:val="auto"/>
              </w:rPr>
              <w:t>2</w:t>
            </w:r>
          </w:p>
        </w:tc>
      </w:tr>
      <w:tr w:rsidTr="000368DD">
        <w:tblPrEx>
          <w:tblW w:w="8613" w:type="dxa"/>
          <w:tblLook w:val="04A0"/>
        </w:tblPrEx>
        <w:tc>
          <w:tcPr>
            <w:tcW w:w="4077" w:type="dxa"/>
          </w:tcPr>
          <w:p w:rsidR="000368DD" w:rsidRPr="00ED66A0" w:rsidP="00473A76">
            <w:pPr>
              <w:pStyle w:val="Default"/>
              <w:tabs>
                <w:tab w:val="left" w:pos="2055"/>
              </w:tabs>
              <w:jc w:val="both"/>
              <w:rPr>
                <w:rFonts w:ascii="Calibri" w:eastAsia="Times New Roman" w:hAnsi="Calibri" w:cs="Calibri"/>
                <w:color w:val="auto"/>
              </w:rPr>
            </w:pPr>
          </w:p>
          <w:p w:rsidR="00CF7DEF" w:rsidRPr="00ED66A0" w:rsidP="00473A76">
            <w:pPr>
              <w:pStyle w:val="Default"/>
              <w:tabs>
                <w:tab w:val="left" w:pos="2055"/>
              </w:tabs>
              <w:jc w:val="both"/>
              <w:rPr>
                <w:rFonts w:ascii="Calibri" w:eastAsia="Times New Roman" w:hAnsi="Calibri" w:cs="Calibri"/>
                <w:color w:val="auto"/>
              </w:rPr>
            </w:pPr>
          </w:p>
          <w:p w:rsidR="00CF7DEF" w:rsidRPr="00ED66A0" w:rsidP="00473A76">
            <w:pPr>
              <w:pStyle w:val="Default"/>
              <w:tabs>
                <w:tab w:val="left" w:pos="2055"/>
              </w:tabs>
              <w:jc w:val="both"/>
              <w:rPr>
                <w:rFonts w:ascii="Calibri" w:eastAsia="Times New Roman" w:hAnsi="Calibri" w:cs="Calibri"/>
                <w:color w:val="auto"/>
              </w:rPr>
            </w:pPr>
          </w:p>
          <w:p w:rsidR="00CF7DEF" w:rsidRPr="00ED66A0" w:rsidP="00473A76">
            <w:pPr>
              <w:pStyle w:val="Default"/>
              <w:tabs>
                <w:tab w:val="left" w:pos="2055"/>
              </w:tabs>
              <w:jc w:val="both"/>
              <w:rPr>
                <w:rFonts w:asciiTheme="minorHAnsi" w:hAnsiTheme="minorHAnsi"/>
                <w:i/>
                <w:color w:val="auto"/>
                <w:sz w:val="22"/>
                <w:szCs w:val="22"/>
              </w:rPr>
            </w:pPr>
            <w:r w:rsidRPr="00ED66A0">
              <w:rPr>
                <w:rFonts w:asciiTheme="minorHAnsi" w:hAnsiTheme="minorHAnsi"/>
                <w:b/>
                <w:i/>
                <w:color w:val="auto"/>
                <w:sz w:val="22"/>
                <w:szCs w:val="22"/>
              </w:rPr>
              <w:t>Art. 252.</w:t>
            </w:r>
            <w:r w:rsidRPr="00ED66A0">
              <w:rPr>
                <w:rFonts w:asciiTheme="minorHAnsi" w:hAnsiTheme="minorHAnsi"/>
                <w:i/>
                <w:color w:val="auto"/>
                <w:sz w:val="22"/>
                <w:szCs w:val="22"/>
              </w:rPr>
              <w:t xml:space="preserve"> O Poder Executivo deverá elaborar, conforme diretrizes definidas no art. 116 desta Lei, nos prazos estabelecidos: </w:t>
            </w:r>
          </w:p>
          <w:p w:rsidR="00CF7DEF" w:rsidRPr="00ED66A0" w:rsidP="00473A76">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I - Revisão do Plano Municipal de Macrodrenagem em </w:t>
            </w:r>
            <w:r w:rsidRPr="00ED66A0">
              <w:rPr>
                <w:rFonts w:asciiTheme="minorHAnsi" w:hAnsiTheme="minorHAnsi"/>
                <w:b/>
                <w:i/>
                <w:color w:val="auto"/>
                <w:sz w:val="22"/>
                <w:szCs w:val="22"/>
              </w:rPr>
              <w:t>até 24 meses</w:t>
            </w:r>
            <w:r w:rsidRPr="00ED66A0">
              <w:rPr>
                <w:rFonts w:asciiTheme="minorHAnsi" w:hAnsiTheme="minorHAnsi"/>
                <w:i/>
                <w:color w:val="auto"/>
                <w:sz w:val="22"/>
                <w:szCs w:val="22"/>
              </w:rPr>
              <w:t xml:space="preserve">, contados a partir da data de publicação desta lei; </w:t>
            </w:r>
          </w:p>
          <w:p w:rsidR="00CF7DEF" w:rsidRPr="00ED66A0" w:rsidP="00473A76">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II - Revisão e adequação da Lei Parcelamento do Solo Urbano em até 12 meses, contados a partir da data de publicação desta lei;</w:t>
            </w:r>
          </w:p>
          <w:p w:rsidR="00097396" w:rsidRPr="00ED66A0" w:rsidP="00473A76">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III - Plano Diretor de Turismo de Valinhos em </w:t>
            </w:r>
            <w:r w:rsidRPr="00ED66A0">
              <w:rPr>
                <w:rFonts w:asciiTheme="minorHAnsi" w:hAnsiTheme="minorHAnsi"/>
                <w:b/>
                <w:i/>
                <w:color w:val="auto"/>
                <w:sz w:val="22"/>
                <w:szCs w:val="22"/>
              </w:rPr>
              <w:t>até 24 meses</w:t>
            </w:r>
            <w:r w:rsidRPr="00ED66A0">
              <w:rPr>
                <w:rFonts w:asciiTheme="minorHAnsi" w:hAnsiTheme="minorHAnsi"/>
                <w:i/>
                <w:color w:val="auto"/>
                <w:sz w:val="22"/>
                <w:szCs w:val="22"/>
              </w:rPr>
              <w:t xml:space="preserve">, contados a partir da data de publicação desta lei; </w:t>
            </w:r>
          </w:p>
          <w:p w:rsidR="00CF7DEF" w:rsidRPr="00ED66A0" w:rsidP="00473A76">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IV - Plano de Municipal de Desenvolvimento Rural de Valinhos em </w:t>
            </w:r>
            <w:r w:rsidRPr="00ED66A0">
              <w:rPr>
                <w:rFonts w:asciiTheme="minorHAnsi" w:hAnsiTheme="minorHAnsi"/>
                <w:b/>
                <w:i/>
                <w:color w:val="auto"/>
                <w:sz w:val="22"/>
                <w:szCs w:val="22"/>
              </w:rPr>
              <w:t>até 24 meses</w:t>
            </w:r>
            <w:r w:rsidRPr="00ED66A0">
              <w:rPr>
                <w:rFonts w:asciiTheme="minorHAnsi" w:hAnsiTheme="minorHAnsi"/>
                <w:i/>
                <w:color w:val="auto"/>
                <w:sz w:val="22"/>
                <w:szCs w:val="22"/>
              </w:rPr>
              <w:t xml:space="preserve">, contados a partir da data de publicação desta lei; </w:t>
            </w:r>
          </w:p>
          <w:p w:rsidR="00097396" w:rsidRPr="00ED66A0" w:rsidP="00473A76">
            <w:pPr>
              <w:pStyle w:val="Default"/>
              <w:tabs>
                <w:tab w:val="left" w:pos="2055"/>
              </w:tabs>
              <w:jc w:val="both"/>
              <w:rPr>
                <w:rFonts w:asciiTheme="minorHAnsi" w:hAnsiTheme="minorHAnsi"/>
                <w:b/>
                <w:i/>
                <w:color w:val="auto"/>
                <w:sz w:val="22"/>
                <w:szCs w:val="22"/>
              </w:rPr>
            </w:pPr>
          </w:p>
          <w:p w:rsidR="00CF7DEF" w:rsidRPr="00ED66A0" w:rsidP="00473A76">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V - Plano Municipal de Desenvolvimento Econômico em até 12 meses, contados a partir da data de publicação desta lei; </w:t>
            </w:r>
          </w:p>
          <w:p w:rsidR="00097396" w:rsidRPr="00ED66A0" w:rsidP="00473A76">
            <w:pPr>
              <w:pStyle w:val="Default"/>
              <w:tabs>
                <w:tab w:val="left" w:pos="2055"/>
              </w:tabs>
              <w:jc w:val="both"/>
              <w:rPr>
                <w:rFonts w:asciiTheme="minorHAnsi" w:hAnsiTheme="minorHAnsi"/>
                <w:i/>
                <w:color w:val="auto"/>
                <w:sz w:val="22"/>
                <w:szCs w:val="22"/>
              </w:rPr>
            </w:pPr>
          </w:p>
          <w:p w:rsidR="00CF7DEF" w:rsidRPr="00ED66A0" w:rsidP="00473A76">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VI - Revisão do Plano Municipal de Mobilidade Urbana em </w:t>
            </w:r>
            <w:r w:rsidRPr="00ED66A0">
              <w:rPr>
                <w:rFonts w:asciiTheme="minorHAnsi" w:hAnsiTheme="minorHAnsi"/>
                <w:b/>
                <w:i/>
                <w:color w:val="auto"/>
                <w:sz w:val="22"/>
                <w:szCs w:val="22"/>
              </w:rPr>
              <w:t>até 18 meses</w:t>
            </w:r>
            <w:r w:rsidRPr="00ED66A0">
              <w:rPr>
                <w:rFonts w:asciiTheme="minorHAnsi" w:hAnsiTheme="minorHAnsi"/>
                <w:i/>
                <w:color w:val="auto"/>
                <w:sz w:val="22"/>
                <w:szCs w:val="22"/>
              </w:rPr>
              <w:t xml:space="preserve"> da data de publicação desta lei; </w:t>
            </w:r>
          </w:p>
          <w:p w:rsidR="00097396" w:rsidRPr="00ED66A0" w:rsidP="00473A76">
            <w:pPr>
              <w:pStyle w:val="Default"/>
              <w:tabs>
                <w:tab w:val="left" w:pos="2055"/>
              </w:tabs>
              <w:jc w:val="both"/>
              <w:rPr>
                <w:rFonts w:asciiTheme="minorHAnsi" w:hAnsiTheme="minorHAnsi"/>
                <w:b/>
                <w:i/>
                <w:color w:val="auto"/>
                <w:sz w:val="22"/>
                <w:szCs w:val="22"/>
              </w:rPr>
            </w:pPr>
          </w:p>
          <w:p w:rsidR="00CF7DEF" w:rsidRPr="00ED66A0" w:rsidP="00473A76">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VII - Plano Municipal de Arborização Urbana em </w:t>
            </w:r>
            <w:r w:rsidRPr="00ED66A0">
              <w:rPr>
                <w:rFonts w:asciiTheme="minorHAnsi" w:hAnsiTheme="minorHAnsi"/>
                <w:b/>
                <w:i/>
                <w:color w:val="auto"/>
                <w:sz w:val="22"/>
                <w:szCs w:val="22"/>
              </w:rPr>
              <w:t>até 36 meses</w:t>
            </w:r>
            <w:r w:rsidRPr="00ED66A0">
              <w:rPr>
                <w:rFonts w:asciiTheme="minorHAnsi" w:hAnsiTheme="minorHAnsi"/>
                <w:i/>
                <w:color w:val="auto"/>
                <w:sz w:val="22"/>
                <w:szCs w:val="22"/>
              </w:rPr>
              <w:t xml:space="preserve">, contados a partir da data de publicação desta lei; </w:t>
            </w:r>
          </w:p>
          <w:p w:rsidR="00097396" w:rsidRPr="00ED66A0" w:rsidP="00473A76">
            <w:pPr>
              <w:pStyle w:val="Default"/>
              <w:tabs>
                <w:tab w:val="left" w:pos="2055"/>
              </w:tabs>
              <w:jc w:val="both"/>
              <w:rPr>
                <w:rFonts w:asciiTheme="minorHAnsi" w:hAnsiTheme="minorHAnsi"/>
                <w:i/>
                <w:color w:val="auto"/>
                <w:sz w:val="22"/>
                <w:szCs w:val="22"/>
              </w:rPr>
            </w:pPr>
          </w:p>
          <w:p w:rsidR="00CF7DEF" w:rsidRPr="00ED66A0" w:rsidP="00473A76">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VIII - Plano Municipal de Meio Ambiente em </w:t>
            </w:r>
            <w:r w:rsidRPr="00ED66A0">
              <w:rPr>
                <w:rFonts w:asciiTheme="minorHAnsi" w:hAnsiTheme="minorHAnsi"/>
                <w:b/>
                <w:i/>
                <w:color w:val="auto"/>
                <w:sz w:val="22"/>
                <w:szCs w:val="22"/>
              </w:rPr>
              <w:t>até 36 meses</w:t>
            </w:r>
            <w:r w:rsidRPr="00ED66A0">
              <w:rPr>
                <w:rFonts w:asciiTheme="minorHAnsi" w:hAnsiTheme="minorHAnsi"/>
                <w:i/>
                <w:color w:val="auto"/>
                <w:sz w:val="22"/>
                <w:szCs w:val="22"/>
              </w:rPr>
              <w:t xml:space="preserve">, constados a partir da data de publicação desta lei; </w:t>
            </w:r>
          </w:p>
          <w:p w:rsidR="00097396" w:rsidRPr="00ED66A0" w:rsidP="00473A76">
            <w:pPr>
              <w:pStyle w:val="Default"/>
              <w:tabs>
                <w:tab w:val="left" w:pos="2055"/>
              </w:tabs>
              <w:jc w:val="both"/>
              <w:rPr>
                <w:rFonts w:asciiTheme="minorHAnsi" w:hAnsiTheme="minorHAnsi"/>
                <w:i/>
                <w:color w:val="auto"/>
                <w:sz w:val="22"/>
                <w:szCs w:val="22"/>
              </w:rPr>
            </w:pPr>
          </w:p>
          <w:p w:rsidR="00CF7DEF" w:rsidRPr="00ED66A0" w:rsidP="00473A76">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IX - Lei Cidade Limpa em </w:t>
            </w:r>
            <w:r w:rsidRPr="00ED66A0">
              <w:rPr>
                <w:rFonts w:asciiTheme="minorHAnsi" w:hAnsiTheme="minorHAnsi"/>
                <w:b/>
                <w:i/>
                <w:color w:val="auto"/>
                <w:sz w:val="22"/>
                <w:szCs w:val="22"/>
              </w:rPr>
              <w:t>até 36 meses</w:t>
            </w:r>
            <w:r w:rsidRPr="00ED66A0">
              <w:rPr>
                <w:rFonts w:asciiTheme="minorHAnsi" w:hAnsiTheme="minorHAnsi"/>
                <w:i/>
                <w:color w:val="auto"/>
                <w:sz w:val="22"/>
                <w:szCs w:val="22"/>
              </w:rPr>
              <w:t xml:space="preserve">, contados a partir da data de publicação desta lei; </w:t>
            </w:r>
          </w:p>
          <w:p w:rsidR="00097396" w:rsidRPr="00ED66A0" w:rsidP="00473A76">
            <w:pPr>
              <w:pStyle w:val="Default"/>
              <w:tabs>
                <w:tab w:val="left" w:pos="2055"/>
              </w:tabs>
              <w:jc w:val="both"/>
              <w:rPr>
                <w:rFonts w:asciiTheme="minorHAnsi" w:hAnsiTheme="minorHAnsi"/>
                <w:i/>
                <w:color w:val="auto"/>
                <w:sz w:val="22"/>
                <w:szCs w:val="22"/>
              </w:rPr>
            </w:pPr>
          </w:p>
          <w:p w:rsidR="00CF7DEF" w:rsidRPr="00ED66A0" w:rsidP="00473A76">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X - Revisão do Plano Municipal de Habitação de Interesse Social em </w:t>
            </w:r>
            <w:r w:rsidRPr="00ED66A0">
              <w:rPr>
                <w:rFonts w:asciiTheme="minorHAnsi" w:hAnsiTheme="minorHAnsi"/>
                <w:b/>
                <w:i/>
                <w:color w:val="auto"/>
                <w:sz w:val="22"/>
                <w:szCs w:val="22"/>
              </w:rPr>
              <w:t>até 24 meses</w:t>
            </w:r>
            <w:r w:rsidRPr="00ED66A0">
              <w:rPr>
                <w:rFonts w:asciiTheme="minorHAnsi" w:hAnsiTheme="minorHAnsi"/>
                <w:i/>
                <w:color w:val="auto"/>
                <w:sz w:val="22"/>
                <w:szCs w:val="22"/>
              </w:rPr>
              <w:t xml:space="preserve">, contados a partir da data de publicação desta lei; </w:t>
            </w:r>
          </w:p>
          <w:p w:rsidR="00097396" w:rsidRPr="00ED66A0" w:rsidP="00473A76">
            <w:pPr>
              <w:pStyle w:val="Default"/>
              <w:tabs>
                <w:tab w:val="left" w:pos="2055"/>
              </w:tabs>
              <w:jc w:val="both"/>
              <w:rPr>
                <w:rFonts w:asciiTheme="minorHAnsi" w:hAnsiTheme="minorHAnsi"/>
                <w:i/>
                <w:color w:val="auto"/>
                <w:sz w:val="22"/>
                <w:szCs w:val="22"/>
              </w:rPr>
            </w:pPr>
          </w:p>
          <w:p w:rsidR="00CF7DEF" w:rsidRPr="00ED66A0" w:rsidP="00473A76">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XI - Revisão do Plano Municipal de Saneamento em </w:t>
            </w:r>
            <w:r w:rsidRPr="00ED66A0">
              <w:rPr>
                <w:rFonts w:asciiTheme="minorHAnsi" w:hAnsiTheme="minorHAnsi"/>
                <w:b/>
                <w:i/>
                <w:color w:val="auto"/>
                <w:sz w:val="22"/>
                <w:szCs w:val="22"/>
              </w:rPr>
              <w:t>até 24 meses</w:t>
            </w:r>
            <w:r w:rsidRPr="00ED66A0">
              <w:rPr>
                <w:rFonts w:asciiTheme="minorHAnsi" w:hAnsiTheme="minorHAnsi"/>
                <w:i/>
                <w:color w:val="auto"/>
                <w:sz w:val="22"/>
                <w:szCs w:val="22"/>
              </w:rPr>
              <w:t xml:space="preserve">, constados da data de publicação desta lei; </w:t>
            </w:r>
            <w:r w:rsidRPr="00ED66A0">
              <w:rPr>
                <w:rFonts w:asciiTheme="minorHAnsi" w:hAnsiTheme="minorHAnsi"/>
                <w:i/>
                <w:color w:val="auto"/>
                <w:sz w:val="22"/>
                <w:szCs w:val="22"/>
              </w:rPr>
              <w:t>e</w:t>
            </w:r>
            <w:r w:rsidRPr="00ED66A0">
              <w:rPr>
                <w:rFonts w:asciiTheme="minorHAnsi" w:hAnsiTheme="minorHAnsi"/>
                <w:i/>
                <w:color w:val="auto"/>
                <w:sz w:val="22"/>
                <w:szCs w:val="22"/>
              </w:rPr>
              <w:t xml:space="preserve"> </w:t>
            </w:r>
          </w:p>
          <w:p w:rsidR="00097396" w:rsidRPr="00ED66A0" w:rsidP="00473A76">
            <w:pPr>
              <w:pStyle w:val="Default"/>
              <w:tabs>
                <w:tab w:val="left" w:pos="2055"/>
              </w:tabs>
              <w:jc w:val="both"/>
              <w:rPr>
                <w:rFonts w:asciiTheme="minorHAnsi" w:hAnsiTheme="minorHAnsi"/>
                <w:i/>
                <w:color w:val="auto"/>
                <w:sz w:val="22"/>
                <w:szCs w:val="22"/>
              </w:rPr>
            </w:pPr>
          </w:p>
          <w:p w:rsidR="00CF7DEF" w:rsidRPr="00ED66A0" w:rsidP="00473A76">
            <w:pPr>
              <w:pStyle w:val="Default"/>
              <w:tabs>
                <w:tab w:val="left" w:pos="2055"/>
              </w:tabs>
              <w:jc w:val="both"/>
              <w:rPr>
                <w:rFonts w:ascii="Calibri" w:eastAsia="Times New Roman" w:hAnsi="Calibri" w:cs="Calibri"/>
                <w:color w:val="auto"/>
              </w:rPr>
            </w:pPr>
            <w:r w:rsidRPr="00ED66A0">
              <w:rPr>
                <w:rFonts w:asciiTheme="minorHAnsi" w:hAnsiTheme="minorHAnsi"/>
                <w:i/>
                <w:color w:val="auto"/>
                <w:sz w:val="22"/>
                <w:szCs w:val="22"/>
              </w:rPr>
              <w:t xml:space="preserve">XII - Elaboração do Plano Municipal </w:t>
            </w:r>
            <w:r w:rsidRPr="00ED66A0">
              <w:rPr>
                <w:rFonts w:asciiTheme="minorHAnsi" w:hAnsiTheme="minorHAnsi"/>
                <w:i/>
                <w:color w:val="auto"/>
                <w:sz w:val="22"/>
                <w:szCs w:val="22"/>
              </w:rPr>
              <w:t>Cicloviário</w:t>
            </w:r>
            <w:r w:rsidRPr="00ED66A0">
              <w:rPr>
                <w:rFonts w:asciiTheme="minorHAnsi" w:hAnsiTheme="minorHAnsi"/>
                <w:i/>
                <w:color w:val="auto"/>
                <w:sz w:val="22"/>
                <w:szCs w:val="22"/>
              </w:rPr>
              <w:t xml:space="preserve"> em </w:t>
            </w:r>
            <w:r w:rsidRPr="00ED66A0">
              <w:rPr>
                <w:rFonts w:asciiTheme="minorHAnsi" w:hAnsiTheme="minorHAnsi"/>
                <w:b/>
                <w:i/>
                <w:color w:val="auto"/>
                <w:sz w:val="22"/>
                <w:szCs w:val="22"/>
              </w:rPr>
              <w:t>até 36 meses</w:t>
            </w:r>
            <w:r w:rsidRPr="00ED66A0">
              <w:rPr>
                <w:rFonts w:asciiTheme="minorHAnsi" w:hAnsiTheme="minorHAnsi"/>
                <w:i/>
                <w:color w:val="auto"/>
                <w:sz w:val="22"/>
                <w:szCs w:val="22"/>
              </w:rPr>
              <w:t>, contados a partir da data de publicação desta lei.</w:t>
            </w:r>
          </w:p>
        </w:tc>
        <w:tc>
          <w:tcPr>
            <w:tcW w:w="4536" w:type="dxa"/>
          </w:tcPr>
          <w:p w:rsidR="00CF7DEF" w:rsidRPr="00ED66A0" w:rsidP="00CF7DEF">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Art. 1° Altera os incisos I, III, IV, </w:t>
            </w:r>
            <w:r w:rsidRPr="00ED66A0">
              <w:rPr>
                <w:rFonts w:asciiTheme="minorHAnsi" w:hAnsiTheme="minorHAnsi"/>
                <w:i/>
                <w:color w:val="auto"/>
                <w:sz w:val="22"/>
                <w:szCs w:val="22"/>
              </w:rPr>
              <w:t>VI,</w:t>
            </w:r>
            <w:r w:rsidRPr="00ED66A0">
              <w:rPr>
                <w:rFonts w:asciiTheme="minorHAnsi" w:hAnsiTheme="minorHAnsi"/>
                <w:i/>
                <w:color w:val="auto"/>
                <w:sz w:val="22"/>
                <w:szCs w:val="22"/>
              </w:rPr>
              <w:t xml:space="preserve"> VII, VIII, IX, X, XI, XII e inclui os incisos XIII, XIV, XV, XVI, XVII e XVIII no Art. 252 do Projeto de Lei 185/2022. </w:t>
            </w:r>
          </w:p>
          <w:p w:rsidR="00CF7DEF" w:rsidRPr="00ED66A0" w:rsidP="00CF7DEF">
            <w:pPr>
              <w:pStyle w:val="Default"/>
              <w:tabs>
                <w:tab w:val="left" w:pos="2055"/>
              </w:tabs>
              <w:jc w:val="both"/>
              <w:rPr>
                <w:rFonts w:asciiTheme="minorHAnsi" w:hAnsiTheme="minorHAnsi"/>
                <w:i/>
                <w:color w:val="auto"/>
                <w:sz w:val="22"/>
                <w:szCs w:val="22"/>
              </w:rPr>
            </w:pPr>
          </w:p>
          <w:p w:rsidR="00CF7DEF" w:rsidRPr="00ED66A0" w:rsidP="00CF7DEF">
            <w:pPr>
              <w:pStyle w:val="Default"/>
              <w:tabs>
                <w:tab w:val="left" w:pos="2055"/>
              </w:tabs>
              <w:jc w:val="both"/>
              <w:rPr>
                <w:rFonts w:asciiTheme="minorHAnsi" w:hAnsiTheme="minorHAnsi"/>
                <w:b/>
                <w:i/>
                <w:color w:val="auto"/>
                <w:sz w:val="22"/>
                <w:szCs w:val="22"/>
              </w:rPr>
            </w:pPr>
            <w:r w:rsidRPr="00ED66A0">
              <w:rPr>
                <w:rFonts w:asciiTheme="minorHAnsi" w:hAnsiTheme="minorHAnsi"/>
                <w:b/>
                <w:i/>
                <w:color w:val="auto"/>
                <w:sz w:val="22"/>
                <w:szCs w:val="22"/>
              </w:rPr>
              <w:t>Art. 252. […]</w:t>
            </w:r>
          </w:p>
          <w:p w:rsidR="00CF7DEF" w:rsidRPr="00ED66A0" w:rsidP="00CF7DEF">
            <w:pPr>
              <w:pStyle w:val="Default"/>
              <w:tabs>
                <w:tab w:val="left" w:pos="2055"/>
              </w:tabs>
              <w:jc w:val="both"/>
              <w:rPr>
                <w:rFonts w:asciiTheme="minorHAnsi" w:hAnsiTheme="minorHAnsi"/>
                <w:b/>
                <w:i/>
                <w:color w:val="auto"/>
                <w:sz w:val="22"/>
                <w:szCs w:val="22"/>
              </w:rPr>
            </w:pPr>
          </w:p>
          <w:p w:rsidR="00097396" w:rsidRPr="00ED66A0" w:rsidP="00CF7DEF">
            <w:pPr>
              <w:pStyle w:val="Default"/>
              <w:tabs>
                <w:tab w:val="left" w:pos="2055"/>
              </w:tabs>
              <w:jc w:val="both"/>
              <w:rPr>
                <w:rFonts w:asciiTheme="minorHAnsi" w:hAnsiTheme="minorHAnsi"/>
                <w:b/>
                <w:i/>
                <w:color w:val="auto"/>
                <w:sz w:val="22"/>
                <w:szCs w:val="22"/>
              </w:rPr>
            </w:pPr>
          </w:p>
          <w:p w:rsidR="00CF7DEF" w:rsidRPr="00ED66A0" w:rsidP="00CF7DEF">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I - Revisão do Plano Municipal de Macrodrenagem em </w:t>
            </w:r>
            <w:r w:rsidRPr="00ED66A0">
              <w:rPr>
                <w:rFonts w:asciiTheme="minorHAnsi" w:hAnsiTheme="minorHAnsi"/>
                <w:b/>
                <w:i/>
                <w:color w:val="auto"/>
                <w:sz w:val="22"/>
                <w:szCs w:val="22"/>
              </w:rPr>
              <w:t>até 12 meses</w:t>
            </w:r>
            <w:r w:rsidRPr="00ED66A0">
              <w:rPr>
                <w:rFonts w:asciiTheme="minorHAnsi" w:hAnsiTheme="minorHAnsi"/>
                <w:i/>
                <w:color w:val="auto"/>
                <w:sz w:val="22"/>
                <w:szCs w:val="22"/>
              </w:rPr>
              <w:t xml:space="preserve">, contados a partir da data de publicação desta lei; </w:t>
            </w:r>
          </w:p>
          <w:p w:rsidR="00CF7DEF" w:rsidRPr="00ED66A0" w:rsidP="00CF7DEF">
            <w:pPr>
              <w:pStyle w:val="Default"/>
              <w:tabs>
                <w:tab w:val="left" w:pos="2055"/>
              </w:tabs>
              <w:jc w:val="both"/>
              <w:rPr>
                <w:rFonts w:asciiTheme="minorHAnsi" w:hAnsiTheme="minorHAnsi"/>
                <w:i/>
                <w:color w:val="auto"/>
                <w:sz w:val="22"/>
                <w:szCs w:val="22"/>
              </w:rPr>
            </w:pPr>
          </w:p>
          <w:p w:rsidR="00097396" w:rsidRPr="00ED66A0" w:rsidP="00CF7DEF">
            <w:pPr>
              <w:pStyle w:val="Default"/>
              <w:tabs>
                <w:tab w:val="left" w:pos="2055"/>
              </w:tabs>
              <w:jc w:val="both"/>
              <w:rPr>
                <w:rFonts w:asciiTheme="minorHAnsi" w:hAnsiTheme="minorHAnsi"/>
                <w:i/>
                <w:color w:val="auto"/>
                <w:sz w:val="22"/>
                <w:szCs w:val="22"/>
              </w:rPr>
            </w:pPr>
          </w:p>
          <w:p w:rsidR="00CF7DEF" w:rsidRPr="00ED66A0" w:rsidP="00CF7DEF">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II - (...) </w:t>
            </w:r>
          </w:p>
          <w:p w:rsidR="00CF7DEF" w:rsidRPr="00ED66A0" w:rsidP="00CF7DEF">
            <w:pPr>
              <w:pStyle w:val="Default"/>
              <w:tabs>
                <w:tab w:val="left" w:pos="2055"/>
              </w:tabs>
              <w:jc w:val="both"/>
              <w:rPr>
                <w:rFonts w:asciiTheme="minorHAnsi" w:hAnsiTheme="minorHAnsi"/>
                <w:i/>
                <w:color w:val="auto"/>
                <w:sz w:val="22"/>
                <w:szCs w:val="22"/>
              </w:rPr>
            </w:pPr>
          </w:p>
          <w:p w:rsidR="00097396" w:rsidRPr="00ED66A0" w:rsidP="00CF7DEF">
            <w:pPr>
              <w:pStyle w:val="Default"/>
              <w:tabs>
                <w:tab w:val="left" w:pos="2055"/>
              </w:tabs>
              <w:jc w:val="both"/>
              <w:rPr>
                <w:rFonts w:asciiTheme="minorHAnsi" w:hAnsiTheme="minorHAnsi"/>
                <w:i/>
                <w:color w:val="auto"/>
                <w:sz w:val="22"/>
                <w:szCs w:val="22"/>
              </w:rPr>
            </w:pPr>
          </w:p>
          <w:p w:rsidR="00CF7DEF" w:rsidRPr="00ED66A0" w:rsidP="00CF7DEF">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III - Plano Diretor de Turismo de Valinhos em </w:t>
            </w:r>
            <w:r w:rsidRPr="00ED66A0">
              <w:rPr>
                <w:rFonts w:asciiTheme="minorHAnsi" w:hAnsiTheme="minorHAnsi"/>
                <w:b/>
                <w:i/>
                <w:color w:val="auto"/>
                <w:sz w:val="22"/>
                <w:szCs w:val="22"/>
              </w:rPr>
              <w:t>até 12 meses</w:t>
            </w:r>
            <w:r w:rsidRPr="00ED66A0">
              <w:rPr>
                <w:rFonts w:asciiTheme="minorHAnsi" w:hAnsiTheme="minorHAnsi"/>
                <w:i/>
                <w:color w:val="auto"/>
                <w:sz w:val="22"/>
                <w:szCs w:val="22"/>
              </w:rPr>
              <w:t xml:space="preserve">, contados a partir da data de publicação desta lei; </w:t>
            </w:r>
          </w:p>
          <w:p w:rsidR="00097396" w:rsidRPr="00ED66A0" w:rsidP="00CF7DEF">
            <w:pPr>
              <w:pStyle w:val="Default"/>
              <w:tabs>
                <w:tab w:val="left" w:pos="2055"/>
              </w:tabs>
              <w:jc w:val="both"/>
              <w:rPr>
                <w:rFonts w:asciiTheme="minorHAnsi" w:hAnsiTheme="minorHAnsi"/>
                <w:i/>
                <w:color w:val="auto"/>
                <w:sz w:val="22"/>
                <w:szCs w:val="22"/>
              </w:rPr>
            </w:pPr>
          </w:p>
          <w:p w:rsidR="00CF7DEF" w:rsidRPr="00ED66A0" w:rsidP="00CF7DEF">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IV - Plano de Municipal de Desenvolvimento Rural de Valinhos em </w:t>
            </w:r>
            <w:r w:rsidRPr="00ED66A0">
              <w:rPr>
                <w:rFonts w:asciiTheme="minorHAnsi" w:hAnsiTheme="minorHAnsi"/>
                <w:b/>
                <w:i/>
                <w:color w:val="auto"/>
                <w:sz w:val="22"/>
                <w:szCs w:val="22"/>
              </w:rPr>
              <w:t>até 12 meses</w:t>
            </w:r>
            <w:r w:rsidRPr="00ED66A0">
              <w:rPr>
                <w:rFonts w:asciiTheme="minorHAnsi" w:hAnsiTheme="minorHAnsi"/>
                <w:i/>
                <w:color w:val="auto"/>
                <w:sz w:val="22"/>
                <w:szCs w:val="22"/>
              </w:rPr>
              <w:t xml:space="preserve">, contados a partir da data de publicação desta lei; </w:t>
            </w:r>
          </w:p>
          <w:p w:rsidR="00097396" w:rsidRPr="00ED66A0" w:rsidP="00CF7DEF">
            <w:pPr>
              <w:pStyle w:val="Default"/>
              <w:tabs>
                <w:tab w:val="left" w:pos="2055"/>
              </w:tabs>
              <w:jc w:val="both"/>
              <w:rPr>
                <w:rFonts w:asciiTheme="minorHAnsi" w:hAnsiTheme="minorHAnsi"/>
                <w:i/>
                <w:color w:val="auto"/>
                <w:sz w:val="22"/>
                <w:szCs w:val="22"/>
              </w:rPr>
            </w:pPr>
          </w:p>
          <w:p w:rsidR="00097396" w:rsidRPr="00ED66A0" w:rsidP="00CF7DEF">
            <w:pPr>
              <w:pStyle w:val="Default"/>
              <w:tabs>
                <w:tab w:val="left" w:pos="2055"/>
              </w:tabs>
              <w:jc w:val="both"/>
              <w:rPr>
                <w:rFonts w:asciiTheme="minorHAnsi" w:hAnsiTheme="minorHAnsi"/>
                <w:i/>
                <w:color w:val="auto"/>
                <w:sz w:val="22"/>
                <w:szCs w:val="22"/>
              </w:rPr>
            </w:pPr>
          </w:p>
          <w:p w:rsidR="00CF7DEF" w:rsidRPr="00ED66A0" w:rsidP="00CF7DEF">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V - (...) </w:t>
            </w:r>
          </w:p>
          <w:p w:rsidR="00097396" w:rsidRPr="00ED66A0" w:rsidP="00CF7DEF">
            <w:pPr>
              <w:pStyle w:val="Default"/>
              <w:tabs>
                <w:tab w:val="left" w:pos="2055"/>
              </w:tabs>
              <w:jc w:val="both"/>
              <w:rPr>
                <w:rFonts w:asciiTheme="minorHAnsi" w:hAnsiTheme="minorHAnsi"/>
                <w:i/>
                <w:color w:val="auto"/>
                <w:sz w:val="22"/>
                <w:szCs w:val="22"/>
              </w:rPr>
            </w:pPr>
          </w:p>
          <w:p w:rsidR="00097396" w:rsidRPr="00ED66A0" w:rsidP="00CF7DEF">
            <w:pPr>
              <w:pStyle w:val="Default"/>
              <w:tabs>
                <w:tab w:val="left" w:pos="2055"/>
              </w:tabs>
              <w:jc w:val="both"/>
              <w:rPr>
                <w:rFonts w:asciiTheme="minorHAnsi" w:hAnsiTheme="minorHAnsi"/>
                <w:i/>
                <w:color w:val="auto"/>
                <w:sz w:val="22"/>
                <w:szCs w:val="22"/>
              </w:rPr>
            </w:pPr>
          </w:p>
          <w:p w:rsidR="00097396" w:rsidRPr="00ED66A0" w:rsidP="00CF7DEF">
            <w:pPr>
              <w:pStyle w:val="Default"/>
              <w:tabs>
                <w:tab w:val="left" w:pos="2055"/>
              </w:tabs>
              <w:jc w:val="both"/>
              <w:rPr>
                <w:rFonts w:asciiTheme="minorHAnsi" w:hAnsiTheme="minorHAnsi"/>
                <w:i/>
                <w:color w:val="auto"/>
                <w:sz w:val="22"/>
                <w:szCs w:val="22"/>
              </w:rPr>
            </w:pPr>
          </w:p>
          <w:p w:rsidR="00CF7DEF" w:rsidRPr="00ED66A0" w:rsidP="00CF7DEF">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VI - Revisão do Plano Municipal de Mobilidade Urbana em </w:t>
            </w:r>
            <w:r w:rsidRPr="00ED66A0">
              <w:rPr>
                <w:rFonts w:asciiTheme="minorHAnsi" w:hAnsiTheme="minorHAnsi"/>
                <w:b/>
                <w:i/>
                <w:color w:val="auto"/>
                <w:sz w:val="22"/>
                <w:szCs w:val="22"/>
              </w:rPr>
              <w:t>até 12 meses</w:t>
            </w:r>
            <w:r w:rsidRPr="00ED66A0">
              <w:rPr>
                <w:rFonts w:asciiTheme="minorHAnsi" w:hAnsiTheme="minorHAnsi"/>
                <w:i/>
                <w:color w:val="auto"/>
                <w:sz w:val="22"/>
                <w:szCs w:val="22"/>
              </w:rPr>
              <w:t xml:space="preserve"> da data de publicação desta lei; </w:t>
            </w:r>
          </w:p>
          <w:p w:rsidR="00097396" w:rsidRPr="00ED66A0" w:rsidP="00CF7DEF">
            <w:pPr>
              <w:pStyle w:val="Default"/>
              <w:tabs>
                <w:tab w:val="left" w:pos="2055"/>
              </w:tabs>
              <w:jc w:val="both"/>
              <w:rPr>
                <w:rFonts w:asciiTheme="minorHAnsi" w:hAnsiTheme="minorHAnsi"/>
                <w:i/>
                <w:color w:val="auto"/>
                <w:sz w:val="22"/>
                <w:szCs w:val="22"/>
              </w:rPr>
            </w:pPr>
          </w:p>
          <w:p w:rsidR="00CF7DEF" w:rsidRPr="00ED66A0" w:rsidP="00CF7DEF">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VII - Plano Municipal de Arborização Urbana em </w:t>
            </w:r>
            <w:r w:rsidRPr="00ED66A0">
              <w:rPr>
                <w:rFonts w:asciiTheme="minorHAnsi" w:hAnsiTheme="minorHAnsi"/>
                <w:b/>
                <w:i/>
                <w:color w:val="auto"/>
                <w:sz w:val="22"/>
                <w:szCs w:val="22"/>
              </w:rPr>
              <w:t>até 12 meses</w:t>
            </w:r>
            <w:r w:rsidRPr="00ED66A0">
              <w:rPr>
                <w:rFonts w:asciiTheme="minorHAnsi" w:hAnsiTheme="minorHAnsi"/>
                <w:i/>
                <w:color w:val="auto"/>
                <w:sz w:val="22"/>
                <w:szCs w:val="22"/>
              </w:rPr>
              <w:t xml:space="preserve">, contados a partir da data de publicação desta lei; </w:t>
            </w:r>
          </w:p>
          <w:p w:rsidR="00097396" w:rsidRPr="00ED66A0" w:rsidP="00CF7DEF">
            <w:pPr>
              <w:pStyle w:val="Default"/>
              <w:tabs>
                <w:tab w:val="left" w:pos="2055"/>
              </w:tabs>
              <w:jc w:val="both"/>
              <w:rPr>
                <w:rFonts w:asciiTheme="minorHAnsi" w:hAnsiTheme="minorHAnsi"/>
                <w:i/>
                <w:color w:val="auto"/>
                <w:sz w:val="22"/>
                <w:szCs w:val="22"/>
              </w:rPr>
            </w:pPr>
          </w:p>
          <w:p w:rsidR="000368DD" w:rsidRPr="00ED66A0" w:rsidP="00CF7DEF">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VIII - Plano Municipal de Meio Ambiente em </w:t>
            </w:r>
            <w:r w:rsidRPr="00ED66A0">
              <w:rPr>
                <w:rFonts w:asciiTheme="minorHAnsi" w:hAnsiTheme="minorHAnsi"/>
                <w:b/>
                <w:i/>
                <w:color w:val="auto"/>
                <w:sz w:val="22"/>
                <w:szCs w:val="22"/>
              </w:rPr>
              <w:t xml:space="preserve">até 12 meses, </w:t>
            </w:r>
            <w:r w:rsidRPr="00ED66A0">
              <w:rPr>
                <w:rFonts w:asciiTheme="minorHAnsi" w:hAnsiTheme="minorHAnsi"/>
                <w:i/>
                <w:color w:val="auto"/>
                <w:sz w:val="22"/>
                <w:szCs w:val="22"/>
              </w:rPr>
              <w:t>contados a partir da data de publicação desta lei;</w:t>
            </w:r>
          </w:p>
          <w:p w:rsidR="00097396" w:rsidRPr="00ED66A0" w:rsidP="00CF7DEF">
            <w:pPr>
              <w:pStyle w:val="Default"/>
              <w:tabs>
                <w:tab w:val="left" w:pos="2055"/>
              </w:tabs>
              <w:jc w:val="both"/>
              <w:rPr>
                <w:rFonts w:asciiTheme="minorHAnsi" w:hAnsiTheme="minorHAnsi"/>
                <w:i/>
                <w:color w:val="auto"/>
                <w:sz w:val="22"/>
                <w:szCs w:val="22"/>
              </w:rPr>
            </w:pPr>
          </w:p>
          <w:p w:rsidR="00CF7DEF" w:rsidRPr="00ED66A0" w:rsidP="00CF7DEF">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IX - Lei Cidade Limpa em </w:t>
            </w:r>
            <w:r w:rsidRPr="00ED66A0">
              <w:rPr>
                <w:rFonts w:asciiTheme="minorHAnsi" w:hAnsiTheme="minorHAnsi"/>
                <w:b/>
                <w:i/>
                <w:color w:val="auto"/>
                <w:sz w:val="22"/>
                <w:szCs w:val="22"/>
              </w:rPr>
              <w:t>até 12 meses</w:t>
            </w:r>
            <w:r w:rsidRPr="00ED66A0">
              <w:rPr>
                <w:rFonts w:asciiTheme="minorHAnsi" w:hAnsiTheme="minorHAnsi"/>
                <w:i/>
                <w:color w:val="auto"/>
                <w:sz w:val="22"/>
                <w:szCs w:val="22"/>
              </w:rPr>
              <w:t xml:space="preserve">, contados a partir da data de publicação desta lei; </w:t>
            </w:r>
          </w:p>
          <w:p w:rsidR="00097396" w:rsidRPr="00ED66A0" w:rsidP="00CF7DEF">
            <w:pPr>
              <w:pStyle w:val="Default"/>
              <w:tabs>
                <w:tab w:val="left" w:pos="2055"/>
              </w:tabs>
              <w:jc w:val="both"/>
              <w:rPr>
                <w:rFonts w:asciiTheme="minorHAnsi" w:hAnsiTheme="minorHAnsi"/>
                <w:i/>
                <w:color w:val="auto"/>
                <w:sz w:val="22"/>
                <w:szCs w:val="22"/>
              </w:rPr>
            </w:pPr>
          </w:p>
          <w:p w:rsidR="00CF7DEF" w:rsidRPr="00ED66A0" w:rsidP="00CF7DEF">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X - Revisão do Plano Municipal de Habitação de Interesse Social em </w:t>
            </w:r>
            <w:r w:rsidRPr="00ED66A0">
              <w:rPr>
                <w:rFonts w:asciiTheme="minorHAnsi" w:hAnsiTheme="minorHAnsi"/>
                <w:b/>
                <w:i/>
                <w:color w:val="auto"/>
                <w:sz w:val="22"/>
                <w:szCs w:val="22"/>
              </w:rPr>
              <w:t>até 12 meses</w:t>
            </w:r>
            <w:r w:rsidRPr="00ED66A0">
              <w:rPr>
                <w:rFonts w:asciiTheme="minorHAnsi" w:hAnsiTheme="minorHAnsi"/>
                <w:i/>
                <w:color w:val="auto"/>
                <w:sz w:val="22"/>
                <w:szCs w:val="22"/>
              </w:rPr>
              <w:t xml:space="preserve">, contados a partir da data de publicação desta lei; </w:t>
            </w:r>
            <w:r w:rsidRPr="00ED66A0">
              <w:rPr>
                <w:rFonts w:asciiTheme="minorHAnsi" w:hAnsiTheme="minorHAnsi"/>
                <w:i/>
                <w:color w:val="auto"/>
                <w:sz w:val="22"/>
                <w:szCs w:val="22"/>
              </w:rPr>
              <w:t>DIRETRIZ</w:t>
            </w:r>
            <w:r w:rsidRPr="00ED66A0">
              <w:rPr>
                <w:rFonts w:asciiTheme="minorHAnsi" w:hAnsiTheme="minorHAnsi"/>
                <w:i/>
                <w:color w:val="auto"/>
                <w:sz w:val="22"/>
                <w:szCs w:val="22"/>
              </w:rPr>
              <w:t xml:space="preserve"> </w:t>
            </w:r>
          </w:p>
          <w:p w:rsidR="00097396" w:rsidRPr="00ED66A0" w:rsidP="00CF7DEF">
            <w:pPr>
              <w:pStyle w:val="Default"/>
              <w:tabs>
                <w:tab w:val="left" w:pos="2055"/>
              </w:tabs>
              <w:jc w:val="both"/>
              <w:rPr>
                <w:rFonts w:asciiTheme="minorHAnsi" w:hAnsiTheme="minorHAnsi"/>
                <w:i/>
                <w:color w:val="auto"/>
                <w:sz w:val="22"/>
                <w:szCs w:val="22"/>
              </w:rPr>
            </w:pPr>
          </w:p>
          <w:p w:rsidR="00097396" w:rsidRPr="00ED66A0" w:rsidP="00CF7DEF">
            <w:pPr>
              <w:pStyle w:val="Default"/>
              <w:tabs>
                <w:tab w:val="left" w:pos="2055"/>
              </w:tabs>
              <w:jc w:val="both"/>
              <w:rPr>
                <w:rFonts w:asciiTheme="minorHAnsi" w:hAnsiTheme="minorHAnsi"/>
                <w:i/>
                <w:color w:val="auto"/>
                <w:sz w:val="22"/>
                <w:szCs w:val="22"/>
              </w:rPr>
            </w:pPr>
          </w:p>
          <w:p w:rsidR="00CF7DEF" w:rsidRPr="00ED66A0" w:rsidP="00CF7DEF">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XI - Revisão do Plano Municipal de Saneamento em </w:t>
            </w:r>
            <w:r w:rsidRPr="00ED66A0">
              <w:rPr>
                <w:rFonts w:asciiTheme="minorHAnsi" w:hAnsiTheme="minorHAnsi"/>
                <w:b/>
                <w:i/>
                <w:color w:val="auto"/>
                <w:sz w:val="22"/>
                <w:szCs w:val="22"/>
              </w:rPr>
              <w:t>até 12 meses</w:t>
            </w:r>
            <w:r w:rsidRPr="00ED66A0">
              <w:rPr>
                <w:rFonts w:asciiTheme="minorHAnsi" w:hAnsiTheme="minorHAnsi"/>
                <w:i/>
                <w:color w:val="auto"/>
                <w:sz w:val="22"/>
                <w:szCs w:val="22"/>
              </w:rPr>
              <w:t xml:space="preserve">, contados da data de publicação desta lei; </w:t>
            </w:r>
          </w:p>
          <w:p w:rsidR="00097396" w:rsidRPr="00ED66A0" w:rsidP="00CF7DEF">
            <w:pPr>
              <w:pStyle w:val="Default"/>
              <w:tabs>
                <w:tab w:val="left" w:pos="2055"/>
              </w:tabs>
              <w:jc w:val="both"/>
              <w:rPr>
                <w:rFonts w:asciiTheme="minorHAnsi" w:hAnsiTheme="minorHAnsi"/>
                <w:i/>
                <w:color w:val="auto"/>
                <w:sz w:val="22"/>
                <w:szCs w:val="22"/>
              </w:rPr>
            </w:pPr>
          </w:p>
          <w:p w:rsidR="00CF7DEF" w:rsidRPr="00ED66A0" w:rsidP="00CF7DEF">
            <w:pPr>
              <w:pStyle w:val="Default"/>
              <w:tabs>
                <w:tab w:val="left" w:pos="2055"/>
              </w:tabs>
              <w:jc w:val="both"/>
              <w:rPr>
                <w:rFonts w:asciiTheme="minorHAnsi" w:hAnsiTheme="minorHAnsi"/>
                <w:i/>
                <w:color w:val="auto"/>
                <w:sz w:val="22"/>
                <w:szCs w:val="22"/>
              </w:rPr>
            </w:pPr>
            <w:r w:rsidRPr="00ED66A0">
              <w:rPr>
                <w:rFonts w:asciiTheme="minorHAnsi" w:hAnsiTheme="minorHAnsi"/>
                <w:i/>
                <w:color w:val="auto"/>
                <w:sz w:val="22"/>
                <w:szCs w:val="22"/>
              </w:rPr>
              <w:t xml:space="preserve">XII - Elaboração do Plano Municipal </w:t>
            </w:r>
            <w:r w:rsidRPr="00ED66A0">
              <w:rPr>
                <w:rFonts w:asciiTheme="minorHAnsi" w:hAnsiTheme="minorHAnsi"/>
                <w:i/>
                <w:color w:val="auto"/>
                <w:sz w:val="22"/>
                <w:szCs w:val="22"/>
              </w:rPr>
              <w:t>Cicloviário</w:t>
            </w:r>
            <w:r w:rsidRPr="00ED66A0">
              <w:rPr>
                <w:rFonts w:asciiTheme="minorHAnsi" w:hAnsiTheme="minorHAnsi"/>
                <w:i/>
                <w:color w:val="auto"/>
                <w:sz w:val="22"/>
                <w:szCs w:val="22"/>
              </w:rPr>
              <w:t xml:space="preserve"> em </w:t>
            </w:r>
            <w:r w:rsidRPr="00ED66A0">
              <w:rPr>
                <w:rFonts w:asciiTheme="minorHAnsi" w:hAnsiTheme="minorHAnsi"/>
                <w:b/>
                <w:i/>
                <w:color w:val="auto"/>
                <w:sz w:val="22"/>
                <w:szCs w:val="22"/>
              </w:rPr>
              <w:t>até 12 meses</w:t>
            </w:r>
            <w:r w:rsidRPr="00ED66A0">
              <w:rPr>
                <w:rFonts w:asciiTheme="minorHAnsi" w:hAnsiTheme="minorHAnsi"/>
                <w:i/>
                <w:color w:val="auto"/>
                <w:sz w:val="22"/>
                <w:szCs w:val="22"/>
              </w:rPr>
              <w:t xml:space="preserve">, contados a partir da data de publicação desta lei; </w:t>
            </w:r>
          </w:p>
          <w:p w:rsidR="00097396" w:rsidRPr="00ED66A0" w:rsidP="00CF7DEF">
            <w:pPr>
              <w:pStyle w:val="Default"/>
              <w:tabs>
                <w:tab w:val="left" w:pos="2055"/>
              </w:tabs>
              <w:jc w:val="both"/>
              <w:rPr>
                <w:rFonts w:asciiTheme="minorHAnsi" w:hAnsiTheme="minorHAnsi"/>
                <w:i/>
                <w:color w:val="auto"/>
                <w:sz w:val="22"/>
                <w:szCs w:val="22"/>
              </w:rPr>
            </w:pPr>
          </w:p>
          <w:p w:rsidR="00CF7DEF" w:rsidRPr="00ED66A0" w:rsidP="00CF7DEF">
            <w:pPr>
              <w:pStyle w:val="Default"/>
              <w:tabs>
                <w:tab w:val="left" w:pos="2055"/>
              </w:tabs>
              <w:jc w:val="both"/>
              <w:rPr>
                <w:rFonts w:asciiTheme="minorHAnsi" w:hAnsiTheme="minorHAnsi"/>
                <w:b/>
                <w:i/>
                <w:color w:val="auto"/>
                <w:sz w:val="22"/>
                <w:szCs w:val="22"/>
              </w:rPr>
            </w:pPr>
            <w:r w:rsidRPr="00ED66A0">
              <w:rPr>
                <w:rFonts w:asciiTheme="minorHAnsi" w:hAnsiTheme="minorHAnsi"/>
                <w:b/>
                <w:i/>
                <w:color w:val="auto"/>
                <w:sz w:val="22"/>
                <w:szCs w:val="22"/>
              </w:rPr>
              <w:t xml:space="preserve">XIII - Revisão do Plano Diretor de Abastecimento de Água em até 12 meses, contado a partir da publicação desta lei; </w:t>
            </w:r>
          </w:p>
          <w:p w:rsidR="00097396" w:rsidRPr="00ED66A0" w:rsidP="00CF7DEF">
            <w:pPr>
              <w:pStyle w:val="Default"/>
              <w:tabs>
                <w:tab w:val="left" w:pos="2055"/>
              </w:tabs>
              <w:jc w:val="both"/>
              <w:rPr>
                <w:rFonts w:asciiTheme="minorHAnsi" w:hAnsiTheme="minorHAnsi"/>
                <w:b/>
                <w:i/>
                <w:color w:val="auto"/>
                <w:sz w:val="22"/>
                <w:szCs w:val="22"/>
              </w:rPr>
            </w:pPr>
          </w:p>
          <w:p w:rsidR="00CF7DEF" w:rsidRPr="00ED66A0" w:rsidP="00CF7DEF">
            <w:pPr>
              <w:pStyle w:val="Default"/>
              <w:tabs>
                <w:tab w:val="left" w:pos="2055"/>
              </w:tabs>
              <w:jc w:val="both"/>
              <w:rPr>
                <w:rFonts w:asciiTheme="minorHAnsi" w:hAnsiTheme="minorHAnsi"/>
                <w:b/>
                <w:i/>
                <w:color w:val="auto"/>
                <w:sz w:val="22"/>
                <w:szCs w:val="22"/>
              </w:rPr>
            </w:pPr>
            <w:r w:rsidRPr="00ED66A0">
              <w:rPr>
                <w:rFonts w:asciiTheme="minorHAnsi" w:hAnsiTheme="minorHAnsi"/>
                <w:b/>
                <w:i/>
                <w:color w:val="auto"/>
                <w:sz w:val="22"/>
                <w:szCs w:val="22"/>
              </w:rPr>
              <w:t xml:space="preserve">XIV - Elaboração do Plano Municipal de Esportes e Lazer em até 12 meses, contado a partir da publicação desta lei; </w:t>
            </w:r>
          </w:p>
          <w:p w:rsidR="00CF7DEF" w:rsidRPr="00ED66A0" w:rsidP="00CF7DEF">
            <w:pPr>
              <w:pStyle w:val="Default"/>
              <w:tabs>
                <w:tab w:val="left" w:pos="2055"/>
              </w:tabs>
              <w:jc w:val="both"/>
              <w:rPr>
                <w:rFonts w:asciiTheme="minorHAnsi" w:hAnsiTheme="minorHAnsi"/>
                <w:b/>
                <w:i/>
                <w:color w:val="auto"/>
                <w:sz w:val="22"/>
                <w:szCs w:val="22"/>
              </w:rPr>
            </w:pPr>
            <w:r w:rsidRPr="00ED66A0">
              <w:rPr>
                <w:rFonts w:asciiTheme="minorHAnsi" w:hAnsiTheme="minorHAnsi"/>
                <w:b/>
                <w:i/>
                <w:color w:val="auto"/>
                <w:sz w:val="22"/>
                <w:szCs w:val="22"/>
              </w:rPr>
              <w:t>XV - Revisão do Plano Municipal da Educação em até 12 meses, contado a partir da publicação desta lei.</w:t>
            </w:r>
          </w:p>
          <w:p w:rsidR="00097396" w:rsidRPr="00ED66A0" w:rsidP="00CF7DEF">
            <w:pPr>
              <w:pStyle w:val="Default"/>
              <w:tabs>
                <w:tab w:val="left" w:pos="2055"/>
              </w:tabs>
              <w:jc w:val="both"/>
              <w:rPr>
                <w:rFonts w:asciiTheme="minorHAnsi" w:hAnsiTheme="minorHAnsi"/>
                <w:b/>
                <w:i/>
                <w:color w:val="auto"/>
                <w:sz w:val="22"/>
                <w:szCs w:val="22"/>
              </w:rPr>
            </w:pPr>
          </w:p>
          <w:p w:rsidR="00CF7DEF" w:rsidRPr="00ED66A0" w:rsidP="00CF7DEF">
            <w:pPr>
              <w:pStyle w:val="Default"/>
              <w:tabs>
                <w:tab w:val="left" w:pos="2055"/>
              </w:tabs>
              <w:jc w:val="both"/>
              <w:rPr>
                <w:rFonts w:asciiTheme="minorHAnsi" w:hAnsiTheme="minorHAnsi"/>
                <w:b/>
                <w:i/>
                <w:color w:val="auto"/>
                <w:sz w:val="22"/>
                <w:szCs w:val="22"/>
              </w:rPr>
            </w:pPr>
            <w:r w:rsidRPr="00ED66A0">
              <w:rPr>
                <w:rFonts w:asciiTheme="minorHAnsi" w:hAnsiTheme="minorHAnsi"/>
                <w:b/>
                <w:i/>
                <w:color w:val="auto"/>
                <w:sz w:val="22"/>
                <w:szCs w:val="22"/>
              </w:rPr>
              <w:t xml:space="preserve"> XVI – Elaboração do Plano de Manejo da APA da Serra dos Cocais em até 12 meses, contado a partir da publicação desta lei. </w:t>
            </w:r>
          </w:p>
          <w:p w:rsidR="00097396" w:rsidRPr="00ED66A0" w:rsidP="00CF7DEF">
            <w:pPr>
              <w:pStyle w:val="Default"/>
              <w:tabs>
                <w:tab w:val="left" w:pos="2055"/>
              </w:tabs>
              <w:jc w:val="both"/>
              <w:rPr>
                <w:rFonts w:asciiTheme="minorHAnsi" w:hAnsiTheme="minorHAnsi"/>
                <w:b/>
                <w:i/>
                <w:color w:val="auto"/>
                <w:sz w:val="22"/>
                <w:szCs w:val="22"/>
              </w:rPr>
            </w:pPr>
          </w:p>
          <w:p w:rsidR="00CF7DEF" w:rsidRPr="00ED66A0" w:rsidP="00CF7DEF">
            <w:pPr>
              <w:pStyle w:val="Default"/>
              <w:tabs>
                <w:tab w:val="left" w:pos="2055"/>
              </w:tabs>
              <w:jc w:val="both"/>
              <w:rPr>
                <w:rFonts w:asciiTheme="minorHAnsi" w:hAnsiTheme="minorHAnsi"/>
                <w:b/>
                <w:i/>
                <w:color w:val="auto"/>
                <w:sz w:val="22"/>
                <w:szCs w:val="22"/>
              </w:rPr>
            </w:pPr>
            <w:r w:rsidRPr="00ED66A0">
              <w:rPr>
                <w:rFonts w:asciiTheme="minorHAnsi" w:hAnsiTheme="minorHAnsi"/>
                <w:b/>
                <w:i/>
                <w:color w:val="auto"/>
                <w:sz w:val="22"/>
                <w:szCs w:val="22"/>
              </w:rPr>
              <w:t xml:space="preserve">XVII – Elaboração da Política Municipal de ESG (Environmental, Social </w:t>
            </w:r>
            <w:r w:rsidRPr="00ED66A0">
              <w:rPr>
                <w:rFonts w:asciiTheme="minorHAnsi" w:hAnsiTheme="minorHAnsi"/>
                <w:b/>
                <w:i/>
                <w:color w:val="auto"/>
                <w:sz w:val="22"/>
                <w:szCs w:val="22"/>
              </w:rPr>
              <w:t>and</w:t>
            </w:r>
            <w:r w:rsidRPr="00ED66A0">
              <w:rPr>
                <w:rFonts w:asciiTheme="minorHAnsi" w:hAnsiTheme="minorHAnsi"/>
                <w:b/>
                <w:i/>
                <w:color w:val="auto"/>
                <w:sz w:val="22"/>
                <w:szCs w:val="22"/>
              </w:rPr>
              <w:t xml:space="preserve"> </w:t>
            </w:r>
            <w:r w:rsidRPr="00ED66A0">
              <w:rPr>
                <w:rFonts w:asciiTheme="minorHAnsi" w:hAnsiTheme="minorHAnsi"/>
                <w:b/>
                <w:i/>
                <w:color w:val="auto"/>
                <w:sz w:val="22"/>
                <w:szCs w:val="22"/>
              </w:rPr>
              <w:t>Governance</w:t>
            </w:r>
            <w:r w:rsidRPr="00ED66A0">
              <w:rPr>
                <w:rFonts w:asciiTheme="minorHAnsi" w:hAnsiTheme="minorHAnsi"/>
                <w:b/>
                <w:i/>
                <w:color w:val="auto"/>
                <w:sz w:val="22"/>
                <w:szCs w:val="22"/>
              </w:rPr>
              <w:t xml:space="preserve">) – ASG (ambiental, social e governança) em até 12 meses, contado a partir da publicação desta lei. </w:t>
            </w:r>
          </w:p>
          <w:p w:rsidR="00097396" w:rsidRPr="00ED66A0" w:rsidP="00CF7DEF">
            <w:pPr>
              <w:pStyle w:val="Default"/>
              <w:tabs>
                <w:tab w:val="left" w:pos="2055"/>
              </w:tabs>
              <w:jc w:val="both"/>
              <w:rPr>
                <w:rFonts w:asciiTheme="minorHAnsi" w:hAnsiTheme="minorHAnsi"/>
                <w:b/>
                <w:i/>
                <w:color w:val="auto"/>
                <w:sz w:val="22"/>
                <w:szCs w:val="22"/>
              </w:rPr>
            </w:pPr>
          </w:p>
          <w:p w:rsidR="00CF7DEF" w:rsidRPr="00ED66A0" w:rsidP="00CF7DEF">
            <w:pPr>
              <w:pStyle w:val="Default"/>
              <w:tabs>
                <w:tab w:val="left" w:pos="2055"/>
              </w:tabs>
              <w:jc w:val="both"/>
              <w:rPr>
                <w:rFonts w:ascii="Calibri" w:hAnsi="Calibri" w:cs="Calibri"/>
                <w:b/>
                <w:color w:val="auto"/>
              </w:rPr>
            </w:pPr>
            <w:r w:rsidRPr="00ED66A0">
              <w:rPr>
                <w:rFonts w:asciiTheme="minorHAnsi" w:hAnsiTheme="minorHAnsi"/>
                <w:b/>
                <w:i/>
                <w:color w:val="auto"/>
                <w:sz w:val="22"/>
                <w:szCs w:val="22"/>
              </w:rPr>
              <w:t>XVIII – Elaboração do Plano Municipal de Cultura e Patrimônio Histórico em até 12 meses, contado a partir da publicação desta lei.</w:t>
            </w:r>
          </w:p>
        </w:tc>
      </w:tr>
    </w:tbl>
    <w:p w:rsidR="00473A76" w:rsidRPr="00ED66A0" w:rsidP="0023693B">
      <w:pPr>
        <w:pStyle w:val="Default"/>
        <w:spacing w:after="240" w:line="360" w:lineRule="auto"/>
        <w:ind w:firstLine="2268"/>
        <w:jc w:val="both"/>
        <w:rPr>
          <w:rFonts w:ascii="Calibri" w:hAnsi="Calibri" w:cs="Calibri"/>
          <w:i/>
          <w:color w:val="auto"/>
          <w:sz w:val="12"/>
          <w:szCs w:val="12"/>
        </w:rPr>
      </w:pPr>
    </w:p>
    <w:p w:rsidR="00097396" w:rsidRPr="00ED66A0" w:rsidP="00CF7DEF">
      <w:pPr>
        <w:pStyle w:val="Default"/>
        <w:tabs>
          <w:tab w:val="left" w:pos="2055"/>
        </w:tabs>
        <w:jc w:val="both"/>
        <w:rPr>
          <w:rFonts w:asciiTheme="minorHAnsi" w:hAnsiTheme="minorHAnsi"/>
          <w:i/>
          <w:color w:val="auto"/>
          <w:sz w:val="22"/>
          <w:szCs w:val="22"/>
        </w:rPr>
      </w:pPr>
    </w:p>
    <w:p w:rsidR="001962C1" w:rsidRPr="00ED66A0" w:rsidP="00A779B8">
      <w:pPr>
        <w:pStyle w:val="Default"/>
        <w:spacing w:after="240" w:line="360" w:lineRule="auto"/>
        <w:ind w:firstLine="2268"/>
        <w:jc w:val="both"/>
        <w:rPr>
          <w:rFonts w:ascii="Calibri" w:hAnsi="Calibri" w:cs="Calibri"/>
          <w:color w:val="auto"/>
        </w:rPr>
      </w:pPr>
      <w:r w:rsidRPr="00ED66A0">
        <w:rPr>
          <w:rFonts w:ascii="Calibri" w:hAnsi="Calibri" w:cs="Calibri"/>
          <w:color w:val="auto"/>
        </w:rPr>
        <w:t>Consta da justificativa do projeto:</w:t>
      </w:r>
    </w:p>
    <w:p w:rsidR="00CF7DEF" w:rsidRPr="00ED66A0" w:rsidP="00CF7DEF">
      <w:pPr>
        <w:pStyle w:val="Default"/>
        <w:ind w:left="2835"/>
        <w:jc w:val="both"/>
        <w:rPr>
          <w:rFonts w:ascii="Calibri" w:hAnsi="Calibri" w:cs="Calibri"/>
          <w:i/>
          <w:color w:val="auto"/>
          <w:sz w:val="22"/>
          <w:szCs w:val="22"/>
        </w:rPr>
      </w:pPr>
      <w:r w:rsidRPr="00ED66A0">
        <w:rPr>
          <w:rFonts w:ascii="Calibri" w:hAnsi="Calibri" w:cs="Calibri"/>
          <w:i/>
          <w:color w:val="auto"/>
          <w:sz w:val="22"/>
          <w:szCs w:val="22"/>
        </w:rPr>
        <w:t>Com as novas diretrizes e ações contidas no Pro</w:t>
      </w:r>
      <w:r w:rsidRPr="00ED66A0" w:rsidR="00CE4C23">
        <w:rPr>
          <w:rFonts w:ascii="Calibri" w:hAnsi="Calibri" w:cs="Calibri"/>
          <w:i/>
          <w:color w:val="auto"/>
          <w:sz w:val="22"/>
          <w:szCs w:val="22"/>
        </w:rPr>
        <w:t>jeto de Lei 185/2022 e 186/2022</w:t>
      </w:r>
      <w:r w:rsidRPr="00ED66A0">
        <w:rPr>
          <w:rFonts w:ascii="Calibri" w:hAnsi="Calibri" w:cs="Calibri"/>
          <w:i/>
          <w:color w:val="auto"/>
          <w:sz w:val="22"/>
          <w:szCs w:val="22"/>
        </w:rPr>
        <w:t xml:space="preserve"> fazem-se necessárias revisões e elaborações dos planos nos prazos descritos a contar da publicação da lei, visando o cumprimento da mesma e adequação à nova realidade.</w:t>
      </w:r>
    </w:p>
    <w:p w:rsidR="00CF7DEF" w:rsidRPr="00ED66A0" w:rsidP="00CF7DEF">
      <w:pPr>
        <w:pStyle w:val="Default"/>
        <w:ind w:left="2835"/>
        <w:jc w:val="both"/>
        <w:rPr>
          <w:rFonts w:ascii="Calibri" w:hAnsi="Calibri" w:cs="Calibri"/>
          <w:i/>
          <w:color w:val="auto"/>
          <w:sz w:val="22"/>
          <w:szCs w:val="22"/>
        </w:rPr>
      </w:pPr>
    </w:p>
    <w:p w:rsidR="00A779B8" w:rsidRPr="00ED66A0" w:rsidP="00A779B8">
      <w:pPr>
        <w:pStyle w:val="Default"/>
        <w:spacing w:after="240" w:line="360" w:lineRule="auto"/>
        <w:ind w:firstLine="2268"/>
        <w:jc w:val="both"/>
        <w:rPr>
          <w:rFonts w:ascii="Calibri" w:hAnsi="Calibri" w:cs="Calibri"/>
          <w:color w:val="auto"/>
        </w:rPr>
      </w:pPr>
      <w:r w:rsidRPr="00ED66A0">
        <w:rPr>
          <w:rFonts w:ascii="Calibri" w:hAnsi="Calibri" w:cs="Calibri"/>
          <w:i/>
          <w:color w:val="auto"/>
        </w:rPr>
        <w:t>Ab initio</w:t>
      </w:r>
      <w:r w:rsidRPr="00ED66A0">
        <w:rPr>
          <w:rFonts w:ascii="Calibri" w:hAnsi="Calibri" w:cs="Calibri"/>
          <w:color w:val="auto"/>
        </w:rPr>
        <w:t>, cumpre destacar a competência regimental da Comissão de Justiça e Redação, estabelecida no artigo 38.</w:t>
      </w:r>
    </w:p>
    <w:p w:rsidR="00A779B8" w:rsidRPr="00ED66A0" w:rsidP="00A36A7A">
      <w:pPr>
        <w:spacing w:after="120" w:line="360" w:lineRule="auto"/>
        <w:ind w:firstLine="2268"/>
        <w:jc w:val="both"/>
        <w:rPr>
          <w:rFonts w:ascii="Calibri" w:hAnsi="Calibri" w:cs="Calibri"/>
        </w:rPr>
      </w:pPr>
      <w:r w:rsidRPr="00ED66A0">
        <w:rPr>
          <w:rFonts w:ascii="Calibri" w:hAnsi="Calibri" w:cs="Calibri"/>
          <w:szCs w:val="24"/>
        </w:rPr>
        <w:t>Outrossim</w:t>
      </w:r>
      <w:r w:rsidRPr="00ED66A0">
        <w:rPr>
          <w:rFonts w:ascii="Calibri" w:hAnsi="Calibri" w:cs="Calibri"/>
          <w:szCs w:val="24"/>
        </w:rPr>
        <w:t xml:space="preserve">, ressalta-se que a opinião jurídica exarada neste parecer </w:t>
      </w:r>
      <w:r w:rsidRPr="00ED66A0">
        <w:rPr>
          <w:rFonts w:ascii="Calibri" w:hAnsi="Calibri" w:cs="Calibri"/>
          <w:b/>
          <w:szCs w:val="24"/>
        </w:rPr>
        <w:t>não tem força vinculante,</w:t>
      </w:r>
      <w:r w:rsidRPr="00ED66A0" w:rsidR="00A36A7A">
        <w:rPr>
          <w:rFonts w:ascii="Calibri" w:hAnsi="Calibri" w:cs="Calibri"/>
          <w:szCs w:val="24"/>
        </w:rPr>
        <w:t xml:space="preserve"> sendo meramente opinativa</w:t>
      </w:r>
      <w:r>
        <w:rPr>
          <w:rStyle w:val="FootnoteReference"/>
          <w:rFonts w:ascii="Calibri" w:hAnsi="Calibri" w:cs="Calibri"/>
        </w:rPr>
        <w:footnoteReference w:id="2"/>
      </w:r>
      <w:r w:rsidRPr="00ED66A0" w:rsidR="00DF22E1">
        <w:rPr>
          <w:rFonts w:ascii="Calibri" w:hAnsi="Calibri" w:cs="Calibri"/>
        </w:rPr>
        <w:t xml:space="preserve"> </w:t>
      </w:r>
      <w:r w:rsidRPr="00ED66A0">
        <w:rPr>
          <w:rFonts w:ascii="Calibri" w:hAnsi="Calibri" w:cs="Calibri"/>
          <w:szCs w:val="24"/>
        </w:rPr>
        <w:t xml:space="preserve"> não fundamentando decisão proferida pelas Comissões e/ou nobres vereadores.</w:t>
      </w:r>
      <w:r w:rsidRPr="00ED66A0" w:rsidR="00A36A7A">
        <w:rPr>
          <w:rFonts w:ascii="Calibri" w:hAnsi="Calibri" w:cs="Calibri"/>
          <w:szCs w:val="24"/>
        </w:rPr>
        <w:t xml:space="preserve"> </w:t>
      </w:r>
    </w:p>
    <w:p w:rsidR="00A779B8" w:rsidRPr="00ED66A0" w:rsidP="00A779B8">
      <w:pPr>
        <w:tabs>
          <w:tab w:val="left" w:pos="1701"/>
        </w:tabs>
        <w:spacing w:after="240" w:line="360" w:lineRule="auto"/>
        <w:ind w:firstLine="2268"/>
        <w:jc w:val="both"/>
        <w:rPr>
          <w:rFonts w:ascii="Calibri" w:eastAsia="Calibri" w:hAnsi="Calibri" w:cs="Calibri"/>
          <w:szCs w:val="24"/>
        </w:rPr>
      </w:pPr>
      <w:r w:rsidRPr="00ED66A0">
        <w:rPr>
          <w:rFonts w:ascii="Calibri" w:eastAsia="Calibri" w:hAnsi="Calibri" w:cs="Calibri"/>
          <w:szCs w:val="24"/>
        </w:rPr>
        <w:t>Desta feita, considerando os aspectos jurídicos</w:t>
      </w:r>
      <w:r w:rsidRPr="00ED66A0" w:rsidR="001604ED">
        <w:rPr>
          <w:rFonts w:ascii="Calibri" w:eastAsia="Calibri" w:hAnsi="Calibri" w:cs="Calibri"/>
          <w:szCs w:val="24"/>
        </w:rPr>
        <w:t xml:space="preserve"> passamos para</w:t>
      </w:r>
      <w:r w:rsidRPr="00ED66A0">
        <w:rPr>
          <w:rFonts w:ascii="Calibri" w:eastAsia="Calibri" w:hAnsi="Calibri" w:cs="Calibri"/>
          <w:szCs w:val="24"/>
        </w:rPr>
        <w:t xml:space="preserve"> análise técnica do projeto em epígrafe solicitado.</w:t>
      </w:r>
    </w:p>
    <w:p w:rsidR="00A779B8" w:rsidRPr="00ED66A0" w:rsidP="00A779B8">
      <w:pPr>
        <w:spacing w:before="240" w:after="240" w:line="360" w:lineRule="auto"/>
        <w:ind w:firstLine="2268"/>
        <w:jc w:val="both"/>
        <w:rPr>
          <w:rFonts w:ascii="Calibri" w:hAnsi="Calibri" w:cs="Calibri"/>
          <w:szCs w:val="24"/>
        </w:rPr>
      </w:pPr>
      <w:r w:rsidRPr="00ED66A0">
        <w:rPr>
          <w:rFonts w:ascii="Calibri" w:hAnsi="Calibri" w:cs="Calibri"/>
          <w:szCs w:val="24"/>
        </w:rPr>
        <w:t>No que tange aos projetos de emendas o Regimento Interno desta Casa de Leis assim estabelece:</w:t>
      </w:r>
    </w:p>
    <w:p w:rsidR="00A779B8" w:rsidRPr="00ED66A0" w:rsidP="00026560">
      <w:pPr>
        <w:autoSpaceDE w:val="0"/>
        <w:autoSpaceDN w:val="0"/>
        <w:adjustRightInd w:val="0"/>
        <w:spacing w:after="120"/>
        <w:ind w:left="2835"/>
        <w:jc w:val="both"/>
        <w:rPr>
          <w:rFonts w:ascii="Calibri" w:hAnsi="Calibri" w:cs="Calibri"/>
          <w:i/>
          <w:sz w:val="22"/>
          <w:szCs w:val="22"/>
          <w:u w:val="single"/>
        </w:rPr>
      </w:pPr>
      <w:r w:rsidRPr="00ED66A0">
        <w:rPr>
          <w:rFonts w:ascii="Calibri" w:hAnsi="Calibri" w:cs="Calibri"/>
          <w:i/>
          <w:sz w:val="22"/>
          <w:szCs w:val="22"/>
        </w:rPr>
        <w:t xml:space="preserve">Art. 140. </w:t>
      </w:r>
      <w:r w:rsidRPr="00ED66A0">
        <w:rPr>
          <w:rFonts w:ascii="Calibri" w:hAnsi="Calibri" w:cs="Calibri"/>
          <w:b/>
          <w:i/>
          <w:sz w:val="22"/>
          <w:szCs w:val="22"/>
          <w:u w:val="single"/>
        </w:rPr>
        <w:t>Emenda é a correção apresentada a um dispositivo de projeto de lei ou de resolução.</w:t>
      </w:r>
      <w:r w:rsidRPr="00ED66A0">
        <w:rPr>
          <w:rFonts w:ascii="Calibri" w:hAnsi="Calibri" w:cs="Calibri"/>
          <w:i/>
          <w:sz w:val="22"/>
          <w:szCs w:val="22"/>
          <w:u w:val="single"/>
        </w:rPr>
        <w:t xml:space="preserve"> </w:t>
      </w:r>
    </w:p>
    <w:p w:rsidR="00A779B8" w:rsidRPr="00ED66A0" w:rsidP="00026560">
      <w:pPr>
        <w:autoSpaceDE w:val="0"/>
        <w:autoSpaceDN w:val="0"/>
        <w:adjustRightInd w:val="0"/>
        <w:spacing w:after="120"/>
        <w:ind w:left="2835"/>
        <w:jc w:val="both"/>
        <w:rPr>
          <w:rFonts w:ascii="Calibri" w:hAnsi="Calibri" w:cs="Calibri"/>
          <w:i/>
          <w:sz w:val="22"/>
          <w:szCs w:val="22"/>
        </w:rPr>
      </w:pPr>
      <w:r w:rsidRPr="00ED66A0">
        <w:rPr>
          <w:rFonts w:ascii="Calibri" w:hAnsi="Calibri" w:cs="Calibri"/>
          <w:i/>
          <w:sz w:val="22"/>
          <w:szCs w:val="22"/>
        </w:rPr>
        <w:t xml:space="preserve">§ 1º. Emenda supressiva é a que manda suprimir, em parte ou no todo, o artigo do projeto. </w:t>
      </w:r>
    </w:p>
    <w:p w:rsidR="00A779B8" w:rsidRPr="00ED66A0" w:rsidP="00026560">
      <w:pPr>
        <w:autoSpaceDE w:val="0"/>
        <w:autoSpaceDN w:val="0"/>
        <w:adjustRightInd w:val="0"/>
        <w:spacing w:after="120"/>
        <w:ind w:left="2835"/>
        <w:jc w:val="both"/>
        <w:rPr>
          <w:rFonts w:ascii="Calibri" w:hAnsi="Calibri" w:cs="Calibri"/>
          <w:i/>
          <w:sz w:val="22"/>
          <w:szCs w:val="22"/>
        </w:rPr>
      </w:pPr>
      <w:r w:rsidRPr="00ED66A0">
        <w:rPr>
          <w:rFonts w:ascii="Calibri" w:hAnsi="Calibri" w:cs="Calibri"/>
          <w:i/>
          <w:sz w:val="22"/>
          <w:szCs w:val="22"/>
        </w:rPr>
        <w:t xml:space="preserve">§ 2º. Emenda substitutiva é a que deve ser colocada no lugar do artigo. </w:t>
      </w:r>
    </w:p>
    <w:p w:rsidR="00A779B8" w:rsidRPr="00ED66A0" w:rsidP="00026560">
      <w:pPr>
        <w:autoSpaceDE w:val="0"/>
        <w:autoSpaceDN w:val="0"/>
        <w:adjustRightInd w:val="0"/>
        <w:spacing w:after="120"/>
        <w:ind w:left="2835"/>
        <w:jc w:val="both"/>
        <w:rPr>
          <w:rFonts w:ascii="Calibri" w:hAnsi="Calibri" w:cs="Calibri"/>
          <w:b/>
          <w:i/>
          <w:sz w:val="22"/>
          <w:szCs w:val="22"/>
        </w:rPr>
      </w:pPr>
      <w:r w:rsidRPr="00ED66A0">
        <w:rPr>
          <w:rFonts w:ascii="Calibri" w:hAnsi="Calibri" w:cs="Calibri"/>
          <w:i/>
          <w:sz w:val="22"/>
          <w:szCs w:val="22"/>
        </w:rPr>
        <w:t>§ 3º. Emenda aditiva é a que deve ser acrescentada aos termos do artigo</w:t>
      </w:r>
      <w:r w:rsidRPr="00ED66A0">
        <w:rPr>
          <w:rFonts w:ascii="Calibri" w:hAnsi="Calibri" w:cs="Calibri"/>
          <w:b/>
          <w:i/>
          <w:sz w:val="22"/>
          <w:szCs w:val="22"/>
        </w:rPr>
        <w:t xml:space="preserve">. </w:t>
      </w:r>
    </w:p>
    <w:p w:rsidR="00A779B8" w:rsidRPr="00ED66A0" w:rsidP="00026560">
      <w:pPr>
        <w:autoSpaceDE w:val="0"/>
        <w:autoSpaceDN w:val="0"/>
        <w:adjustRightInd w:val="0"/>
        <w:spacing w:after="120"/>
        <w:ind w:left="2835"/>
        <w:jc w:val="both"/>
        <w:rPr>
          <w:rFonts w:ascii="Calibri" w:hAnsi="Calibri" w:cs="Calibri"/>
          <w:i/>
          <w:sz w:val="22"/>
          <w:szCs w:val="22"/>
        </w:rPr>
      </w:pPr>
      <w:r w:rsidRPr="00ED66A0">
        <w:rPr>
          <w:rFonts w:ascii="Calibri" w:hAnsi="Calibri" w:cs="Calibri"/>
          <w:i/>
          <w:sz w:val="22"/>
          <w:szCs w:val="22"/>
        </w:rPr>
        <w:t xml:space="preserve">§ 4º. Emenda modificativa é a que se refere apenas à redação do artigo, sem alterar a sua substância. </w:t>
      </w:r>
    </w:p>
    <w:p w:rsidR="00A779B8" w:rsidRPr="00ED66A0" w:rsidP="00026560">
      <w:pPr>
        <w:autoSpaceDE w:val="0"/>
        <w:autoSpaceDN w:val="0"/>
        <w:adjustRightInd w:val="0"/>
        <w:spacing w:after="120"/>
        <w:ind w:left="2835"/>
        <w:jc w:val="both"/>
        <w:rPr>
          <w:rFonts w:ascii="Calibri" w:hAnsi="Calibri" w:cs="Calibri"/>
          <w:i/>
          <w:sz w:val="22"/>
          <w:szCs w:val="22"/>
        </w:rPr>
      </w:pPr>
      <w:r w:rsidRPr="00ED66A0">
        <w:rPr>
          <w:rFonts w:ascii="Calibri" w:hAnsi="Calibri" w:cs="Calibri"/>
          <w:i/>
          <w:sz w:val="22"/>
          <w:szCs w:val="22"/>
        </w:rPr>
        <w:t xml:space="preserve">§ 5º. A emenda apresentada à outra emenda denomina-se subemenda. </w:t>
      </w:r>
    </w:p>
    <w:p w:rsidR="00A779B8" w:rsidRPr="00ED66A0" w:rsidP="00026560">
      <w:pPr>
        <w:autoSpaceDE w:val="0"/>
        <w:autoSpaceDN w:val="0"/>
        <w:adjustRightInd w:val="0"/>
        <w:spacing w:after="120"/>
        <w:ind w:left="2835"/>
        <w:jc w:val="both"/>
        <w:rPr>
          <w:rFonts w:ascii="Calibri" w:hAnsi="Calibri" w:cs="Calibri"/>
          <w:b/>
          <w:i/>
          <w:sz w:val="22"/>
          <w:szCs w:val="22"/>
        </w:rPr>
      </w:pPr>
      <w:r w:rsidRPr="00ED66A0">
        <w:rPr>
          <w:rFonts w:ascii="Calibri" w:hAnsi="Calibri" w:cs="Calibri"/>
          <w:i/>
          <w:sz w:val="22"/>
          <w:szCs w:val="22"/>
        </w:rPr>
        <w:t xml:space="preserve">Art. 141. </w:t>
      </w:r>
      <w:r w:rsidRPr="00ED66A0">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ED66A0" w:rsidP="00026560">
      <w:pPr>
        <w:autoSpaceDE w:val="0"/>
        <w:autoSpaceDN w:val="0"/>
        <w:adjustRightInd w:val="0"/>
        <w:spacing w:after="120"/>
        <w:ind w:left="2835"/>
        <w:jc w:val="both"/>
        <w:rPr>
          <w:rFonts w:ascii="Calibri" w:hAnsi="Calibri" w:cs="Calibri"/>
          <w:i/>
          <w:sz w:val="22"/>
          <w:szCs w:val="22"/>
        </w:rPr>
      </w:pPr>
      <w:r w:rsidRPr="00ED66A0">
        <w:rPr>
          <w:rFonts w:ascii="Calibri" w:hAnsi="Calibri" w:cs="Calibri"/>
          <w:i/>
          <w:sz w:val="22"/>
          <w:szCs w:val="22"/>
        </w:rPr>
        <w:t xml:space="preserve">§ 1º. O autor do projeto que receber substitutivo ou </w:t>
      </w:r>
      <w:r w:rsidRPr="00ED66A0">
        <w:rPr>
          <w:rFonts w:ascii="Calibri" w:hAnsi="Calibri" w:cs="Calibri"/>
          <w:i/>
          <w:sz w:val="22"/>
          <w:szCs w:val="22"/>
        </w:rPr>
        <w:t>emenda estranhos</w:t>
      </w:r>
      <w:r w:rsidRPr="00ED66A0">
        <w:rPr>
          <w:rFonts w:ascii="Calibri" w:hAnsi="Calibri" w:cs="Calibri"/>
          <w:i/>
          <w:sz w:val="22"/>
          <w:szCs w:val="22"/>
        </w:rPr>
        <w:t xml:space="preserve"> ao seu objetivo terá o direito de reclamar contra a sua admissão, competindo ao Presidente decidir sobre a reclamação. </w:t>
      </w:r>
    </w:p>
    <w:p w:rsidR="00A779B8" w:rsidRPr="00ED66A0" w:rsidP="00026560">
      <w:pPr>
        <w:autoSpaceDE w:val="0"/>
        <w:autoSpaceDN w:val="0"/>
        <w:adjustRightInd w:val="0"/>
        <w:spacing w:after="120"/>
        <w:ind w:left="2835"/>
        <w:jc w:val="both"/>
        <w:rPr>
          <w:rFonts w:ascii="Calibri" w:hAnsi="Calibri" w:cs="Calibri"/>
          <w:i/>
          <w:sz w:val="22"/>
          <w:szCs w:val="22"/>
        </w:rPr>
      </w:pPr>
      <w:r w:rsidRPr="00ED66A0">
        <w:rPr>
          <w:rFonts w:ascii="Calibri" w:hAnsi="Calibri" w:cs="Calibri"/>
          <w:i/>
          <w:sz w:val="22"/>
          <w:szCs w:val="22"/>
        </w:rPr>
        <w:t>§ 2º. Da decisão do Presidente caberá recurso ao Plenário, a ser proposto pelo autor do projeto ou do substitutivo ou emenda.</w:t>
      </w:r>
    </w:p>
    <w:p w:rsidR="00A779B8" w:rsidRPr="00ED66A0" w:rsidP="00A779B8">
      <w:pPr>
        <w:autoSpaceDE w:val="0"/>
        <w:autoSpaceDN w:val="0"/>
        <w:adjustRightInd w:val="0"/>
        <w:spacing w:before="120"/>
        <w:ind w:left="2835"/>
        <w:jc w:val="both"/>
        <w:rPr>
          <w:rFonts w:ascii="Calibri" w:hAnsi="Calibri" w:cs="Calibri"/>
          <w:i/>
          <w:sz w:val="12"/>
          <w:szCs w:val="12"/>
        </w:rPr>
      </w:pPr>
    </w:p>
    <w:p w:rsidR="00026560" w:rsidRPr="00ED66A0" w:rsidP="00026560">
      <w:pPr>
        <w:autoSpaceDE w:val="0"/>
        <w:autoSpaceDN w:val="0"/>
        <w:adjustRightInd w:val="0"/>
        <w:spacing w:before="240" w:after="240" w:line="360" w:lineRule="auto"/>
        <w:ind w:firstLine="2268"/>
        <w:jc w:val="both"/>
        <w:rPr>
          <w:rFonts w:ascii="Calibri" w:hAnsi="Calibri" w:cs="Calibri"/>
        </w:rPr>
      </w:pPr>
      <w:r w:rsidRPr="00ED66A0">
        <w:rPr>
          <w:rFonts w:ascii="Calibri" w:hAnsi="Calibri" w:cs="Calibri"/>
          <w:szCs w:val="24"/>
        </w:rPr>
        <w:t xml:space="preserve">Destarte, verifica-se que o projeto de emenda atende aos dispositivos do Regimento Interno da Câmara, </w:t>
      </w:r>
      <w:r w:rsidRPr="00ED66A0" w:rsidR="00E86B5F">
        <w:rPr>
          <w:rFonts w:ascii="Calibri" w:hAnsi="Calibri" w:eastAsiaTheme="minorHAnsi" w:cs="Calibri"/>
          <w:bCs/>
          <w:lang w:eastAsia="en-US"/>
        </w:rPr>
        <w:t>tratando-se de emenda que tem relação direta com a matéria da proposição principal,</w:t>
      </w:r>
      <w:r w:rsidRPr="00ED66A0" w:rsidR="00E86B5F">
        <w:rPr>
          <w:rFonts w:ascii="Calibri" w:hAnsi="Calibri" w:cs="Calibri"/>
        </w:rPr>
        <w:t xml:space="preserve"> não havendo óbice na sua tramitação.</w:t>
      </w:r>
    </w:p>
    <w:p w:rsidR="00E86B5F" w:rsidRPr="00ED66A0"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ED66A0">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ED66A0">
        <w:rPr>
          <w:rFonts w:ascii="Calibri" w:hAnsi="Calibri" w:eastAsiaTheme="minorHAnsi" w:cs="Calibri"/>
          <w:b/>
          <w:szCs w:val="24"/>
          <w:u w:val="single"/>
          <w:lang w:eastAsia="en-US"/>
        </w:rPr>
        <w:t>desde que guardem pertinência temática com o projeto</w:t>
      </w:r>
      <w:r w:rsidRPr="00ED66A0">
        <w:rPr>
          <w:rFonts w:ascii="Calibri" w:hAnsi="Calibri" w:eastAsiaTheme="minorHAnsi" w:cs="Calibri"/>
          <w:b/>
          <w:szCs w:val="24"/>
          <w:lang w:eastAsia="en-US"/>
        </w:rPr>
        <w:t xml:space="preserve"> </w:t>
      </w:r>
      <w:r w:rsidRPr="00ED66A0">
        <w:rPr>
          <w:rFonts w:ascii="Calibri" w:hAnsi="Calibri" w:eastAsiaTheme="minorHAnsi" w:cs="Calibri"/>
          <w:b/>
          <w:szCs w:val="24"/>
          <w:u w:val="single"/>
          <w:lang w:eastAsia="en-US"/>
        </w:rPr>
        <w:t xml:space="preserve">e não </w:t>
      </w:r>
      <w:r w:rsidRPr="00ED66A0">
        <w:rPr>
          <w:rFonts w:ascii="Calibri" w:hAnsi="Calibri" w:eastAsiaTheme="minorHAnsi" w:cs="Calibri"/>
          <w:b/>
          <w:szCs w:val="24"/>
          <w:u w:val="single"/>
          <w:lang w:eastAsia="en-US"/>
        </w:rPr>
        <w:t>importem</w:t>
      </w:r>
      <w:r w:rsidRPr="00ED66A0">
        <w:rPr>
          <w:rFonts w:ascii="Calibri" w:hAnsi="Calibri" w:eastAsiaTheme="minorHAnsi" w:cs="Calibri"/>
          <w:b/>
          <w:szCs w:val="24"/>
          <w:u w:val="single"/>
          <w:lang w:eastAsia="en-US"/>
        </w:rPr>
        <w:t xml:space="preserve"> em aumento de despesas</w:t>
      </w:r>
      <w:r w:rsidRPr="00ED66A0" w:rsidR="000368DD">
        <w:rPr>
          <w:rFonts w:ascii="Calibri" w:hAnsi="Calibri" w:eastAsiaTheme="minorHAnsi" w:cs="Calibri"/>
          <w:b/>
          <w:szCs w:val="24"/>
          <w:u w:val="single"/>
          <w:lang w:eastAsia="en-US"/>
        </w:rPr>
        <w:t xml:space="preserve">, </w:t>
      </w:r>
      <w:r w:rsidRPr="00ED66A0" w:rsidR="000368DD">
        <w:rPr>
          <w:rFonts w:ascii="Calibri" w:hAnsi="Calibri" w:eastAsiaTheme="minorHAnsi" w:cs="Calibri"/>
          <w:szCs w:val="24"/>
          <w:lang w:eastAsia="en-US"/>
        </w:rPr>
        <w:t>o que desde já se observa na emenda em análise</w:t>
      </w:r>
      <w:r w:rsidRPr="00ED66A0">
        <w:rPr>
          <w:rFonts w:ascii="Calibri" w:hAnsi="Calibri" w:eastAsiaTheme="minorHAnsi" w:cs="Calibri"/>
          <w:szCs w:val="24"/>
          <w:lang w:eastAsia="en-US"/>
        </w:rPr>
        <w:t>:</w:t>
      </w:r>
    </w:p>
    <w:p w:rsidR="00E86B5F" w:rsidRPr="00ED66A0"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ED66A0">
        <w:rPr>
          <w:rFonts w:ascii="Calibri" w:hAnsi="Calibri" w:eastAsia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ED66A0"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ED66A0">
        <w:rPr>
          <w:rFonts w:ascii="Calibri" w:hAnsi="Calibri" w:eastAsiaTheme="minorHAnsi" w:cs="Calibri"/>
          <w:i/>
          <w:sz w:val="22"/>
          <w:szCs w:val="22"/>
          <w:lang w:eastAsia="en-US"/>
        </w:rPr>
        <w:t xml:space="preserve">1. </w:t>
      </w:r>
      <w:r w:rsidRPr="00ED66A0">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ED66A0"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ED66A0">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ED66A0"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ED66A0">
        <w:rPr>
          <w:rFonts w:ascii="Calibri" w:hAnsi="Calibri" w:eastAsiaTheme="minorHAnsi" w:cs="Calibri"/>
          <w:i/>
          <w:sz w:val="22"/>
          <w:szCs w:val="22"/>
          <w:lang w:eastAsia="en-US"/>
        </w:rPr>
        <w:t>3. Ação direta de inconstitucionalidade julgada improcedente.</w:t>
      </w:r>
    </w:p>
    <w:p w:rsidR="00E86B5F" w:rsidRPr="00ED66A0" w:rsidP="000E2AF4">
      <w:pPr>
        <w:shd w:val="clear" w:color="auto" w:fill="FFFFFF"/>
        <w:spacing w:before="120" w:after="120"/>
        <w:ind w:left="2835"/>
        <w:jc w:val="both"/>
        <w:rPr>
          <w:rFonts w:ascii="Calibri" w:hAnsi="Calibri" w:cs="Calibri"/>
          <w:i/>
        </w:rPr>
      </w:pPr>
      <w:r w:rsidRPr="00ED66A0">
        <w:rPr>
          <w:rFonts w:ascii="Calibri" w:hAnsi="Calibri" w:cs="Calibri"/>
          <w:i/>
        </w:rPr>
        <w:t>(STF. ADI 2583 RS. Plenário, 01.08.2011</w:t>
      </w:r>
      <w:r w:rsidRPr="00ED66A0">
        <w:rPr>
          <w:rFonts w:ascii="Calibri" w:hAnsi="Calibri" w:cs="Calibri"/>
          <w:i/>
        </w:rPr>
        <w:t>)</w:t>
      </w:r>
    </w:p>
    <w:p w:rsidR="00E86B5F" w:rsidRPr="00ED66A0" w:rsidP="00E86B5F">
      <w:pPr>
        <w:shd w:val="clear" w:color="auto" w:fill="FFFFFF"/>
        <w:ind w:left="2268"/>
        <w:jc w:val="both"/>
        <w:rPr>
          <w:rFonts w:ascii="Calibri" w:hAnsi="Calibri" w:cs="Calibri"/>
          <w:i/>
          <w:sz w:val="12"/>
          <w:szCs w:val="12"/>
        </w:rPr>
      </w:pPr>
    </w:p>
    <w:p w:rsidR="00E86B5F" w:rsidRPr="00ED66A0" w:rsidP="00F50ADA">
      <w:pPr>
        <w:spacing w:after="240" w:line="360" w:lineRule="auto"/>
        <w:ind w:firstLine="2268"/>
        <w:jc w:val="both"/>
        <w:rPr>
          <w:rFonts w:ascii="Calibri" w:hAnsi="Calibri" w:cs="Calibri"/>
          <w:szCs w:val="24"/>
        </w:rPr>
      </w:pPr>
      <w:r w:rsidRPr="00ED66A0">
        <w:rPr>
          <w:rFonts w:ascii="Calibri" w:hAnsi="Calibri" w:cs="Calibri"/>
          <w:szCs w:val="24"/>
        </w:rPr>
        <w:t>No mesmo sentido o Tribunal de Justiça do Estado de São Paulo:</w:t>
      </w:r>
    </w:p>
    <w:p w:rsidR="00E86B5F" w:rsidRPr="00ED66A0" w:rsidP="00F50ADA">
      <w:pPr>
        <w:spacing w:after="240"/>
        <w:ind w:left="2835"/>
        <w:jc w:val="both"/>
        <w:rPr>
          <w:rFonts w:ascii="Calibri" w:hAnsi="Calibri" w:cs="Calibri"/>
          <w:i/>
          <w:sz w:val="22"/>
          <w:szCs w:val="22"/>
        </w:rPr>
      </w:pPr>
      <w:r w:rsidRPr="00ED66A0">
        <w:rPr>
          <w:rFonts w:ascii="Calibri" w:hAnsi="Calibri" w:cs="Calibri"/>
          <w:i/>
          <w:sz w:val="22"/>
          <w:szCs w:val="22"/>
        </w:rPr>
        <w:t xml:space="preserve">PARÂMETRO DE CONSTITUCIONALIDADE. Compatibilidade entre a norma </w:t>
      </w:r>
      <w:r w:rsidRPr="00ED66A0">
        <w:rPr>
          <w:rFonts w:ascii="Calibri" w:hAnsi="Calibri" w:cs="Calibri"/>
          <w:i/>
          <w:sz w:val="22"/>
          <w:szCs w:val="22"/>
        </w:rPr>
        <w:t>impugnada e dispositivos da Lei Orgânica Municipal e do Regimento Interno da Câmara</w:t>
      </w:r>
      <w:r w:rsidRPr="00ED66A0">
        <w:rPr>
          <w:rFonts w:ascii="Calibri" w:hAnsi="Calibri" w:cs="Calibri"/>
          <w:i/>
          <w:sz w:val="22"/>
          <w:szCs w:val="22"/>
        </w:rPr>
        <w:t xml:space="preserve">. Inadmissibilidade. Aplicação dos artigos 125, § 2º, da CF, e 74, </w:t>
      </w:r>
      <w:r w:rsidRPr="00ED66A0">
        <w:rPr>
          <w:rFonts w:ascii="Calibri" w:hAnsi="Calibri" w:cs="Calibri"/>
          <w:i/>
          <w:sz w:val="22"/>
          <w:szCs w:val="22"/>
        </w:rPr>
        <w:t>VI</w:t>
      </w:r>
      <w:r w:rsidRPr="00ED66A0">
        <w:rPr>
          <w:rFonts w:ascii="Calibri" w:hAnsi="Calibri" w:cs="Calibri"/>
          <w:i/>
          <w:sz w:val="22"/>
          <w:szCs w:val="22"/>
        </w:rPr>
        <w:t xml:space="preserve">, da CE. Precedentes. Não conheço da ação quanto aos parâmetros apontados LOM e Regimento Interno da Câmara. </w:t>
      </w:r>
    </w:p>
    <w:p w:rsidR="00E86B5F" w:rsidRPr="00ED66A0" w:rsidP="00026560">
      <w:pPr>
        <w:spacing w:after="240"/>
        <w:ind w:left="2835"/>
        <w:jc w:val="both"/>
        <w:rPr>
          <w:rFonts w:ascii="Calibri" w:hAnsi="Calibri" w:cs="Calibri"/>
          <w:i/>
          <w:sz w:val="22"/>
          <w:szCs w:val="22"/>
        </w:rPr>
      </w:pPr>
      <w:r w:rsidRPr="00ED66A0">
        <w:rPr>
          <w:rFonts w:ascii="Calibri" w:hAnsi="Calibri" w:cs="Calibri"/>
          <w:i/>
          <w:sz w:val="22"/>
          <w:szCs w:val="22"/>
        </w:rPr>
        <w:t xml:space="preserve">AÇÃO DIRETA DE INCONSTITUCIONALIDADE Art. 1º da LC nº 2.064, de 04.03.20, do Município de </w:t>
      </w:r>
      <w:r w:rsidRPr="00ED66A0">
        <w:rPr>
          <w:rFonts w:ascii="Calibri" w:hAnsi="Calibri" w:cs="Calibri"/>
          <w:i/>
          <w:sz w:val="22"/>
          <w:szCs w:val="22"/>
        </w:rPr>
        <w:t>Icém</w:t>
      </w:r>
      <w:r w:rsidRPr="00ED66A0">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ED66A0">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ED66A0">
        <w:rPr>
          <w:rFonts w:ascii="Calibri" w:hAnsi="Calibri" w:cs="Calibri"/>
          <w:b/>
          <w:i/>
          <w:sz w:val="22"/>
          <w:szCs w:val="22"/>
        </w:rPr>
        <w:t>ii</w:t>
      </w:r>
      <w:r w:rsidRPr="00ED66A0">
        <w:rPr>
          <w:rFonts w:ascii="Calibri" w:hAnsi="Calibri" w:cs="Calibri"/>
          <w:b/>
          <w:i/>
          <w:sz w:val="22"/>
          <w:szCs w:val="22"/>
        </w:rPr>
        <w:t>) não acarretem aumento de despesa.</w:t>
      </w:r>
      <w:r w:rsidRPr="00ED66A0">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ED66A0">
        <w:rPr>
          <w:rFonts w:ascii="Calibri" w:hAnsi="Calibri" w:cs="Calibri"/>
          <w:i/>
          <w:sz w:val="22"/>
          <w:szCs w:val="22"/>
        </w:rPr>
        <w:t>são</w:t>
      </w:r>
      <w:r w:rsidRPr="00ED66A0">
        <w:rPr>
          <w:rFonts w:ascii="Calibri" w:hAnsi="Calibri" w:cs="Calibri"/>
          <w:i/>
          <w:sz w:val="22"/>
          <w:szCs w:val="22"/>
        </w:rPr>
        <w:t xml:space="preserve"> decorrência lógica do teor da emenda. Princípio da isonomia. Ausente </w:t>
      </w:r>
      <w:r w:rsidRPr="00ED66A0">
        <w:rPr>
          <w:rFonts w:ascii="Calibri" w:hAnsi="Calibri" w:cs="Calibri"/>
          <w:i/>
          <w:sz w:val="22"/>
          <w:szCs w:val="22"/>
        </w:rPr>
        <w:t>a</w:t>
      </w:r>
      <w:r w:rsidRPr="00ED66A0">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ED66A0">
        <w:rPr>
          <w:rFonts w:ascii="Calibri" w:hAnsi="Calibri" w:cs="Calibri"/>
          <w:i/>
          <w:sz w:val="22"/>
          <w:szCs w:val="22"/>
        </w:rPr>
        <w:t>Eg</w:t>
      </w:r>
      <w:r w:rsidRPr="00ED66A0">
        <w:rPr>
          <w:rFonts w:ascii="Calibri" w:hAnsi="Calibr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ED66A0" w:rsidR="00026560">
        <w:rPr>
          <w:rFonts w:ascii="Calibri" w:hAnsi="Calibri" w:cs="Calibri"/>
          <w:i/>
          <w:sz w:val="22"/>
          <w:szCs w:val="22"/>
        </w:rPr>
        <w:t xml:space="preserve"> </w:t>
      </w:r>
      <w:r w:rsidRPr="00ED66A0">
        <w:rPr>
          <w:rFonts w:ascii="Calibri" w:hAnsi="Calibri" w:cs="Calibri"/>
          <w:i/>
          <w:sz w:val="22"/>
          <w:szCs w:val="22"/>
        </w:rPr>
        <w:t>(TJSP. Adin nº 2044212-77.2020.8.26.0000. Rel. Des. Evaristo dos Santos. Data de Julgamento: 12/08/2020</w:t>
      </w:r>
      <w:r w:rsidRPr="00ED66A0">
        <w:rPr>
          <w:rFonts w:ascii="Calibri" w:hAnsi="Calibri" w:cs="Calibri"/>
          <w:i/>
          <w:sz w:val="22"/>
          <w:szCs w:val="22"/>
        </w:rPr>
        <w:t>)</w:t>
      </w:r>
    </w:p>
    <w:p w:rsidR="00F50ADA" w:rsidRPr="00ED66A0" w:rsidP="00E86B5F">
      <w:pPr>
        <w:spacing w:after="240" w:line="240" w:lineRule="auto"/>
        <w:ind w:left="2268"/>
        <w:jc w:val="both"/>
        <w:rPr>
          <w:rFonts w:ascii="Calibri" w:hAnsi="Calibri" w:cs="Calibri"/>
          <w:i/>
          <w:sz w:val="4"/>
          <w:szCs w:val="4"/>
        </w:rPr>
      </w:pPr>
    </w:p>
    <w:p w:rsidR="001962C1" w:rsidRPr="00ED66A0" w:rsidP="00074468">
      <w:pPr>
        <w:pStyle w:val="BodyText"/>
        <w:spacing w:after="240" w:line="360" w:lineRule="auto"/>
        <w:ind w:firstLine="2268"/>
        <w:jc w:val="both"/>
        <w:rPr>
          <w:rFonts w:ascii="Calibri" w:hAnsi="Calibri" w:cs="Calibri"/>
          <w:szCs w:val="24"/>
          <w:u w:val="single"/>
        </w:rPr>
      </w:pPr>
      <w:r w:rsidRPr="00ED66A0">
        <w:rPr>
          <w:rFonts w:ascii="Calibri" w:hAnsi="Calibri" w:cs="Calibri"/>
          <w:szCs w:val="24"/>
          <w:u w:val="single"/>
        </w:rPr>
        <w:t>Por fim, quanto</w:t>
      </w:r>
      <w:r w:rsidRPr="00ED66A0" w:rsidR="00500A37">
        <w:rPr>
          <w:rFonts w:ascii="Calibri" w:hAnsi="Calibri" w:cs="Calibri"/>
          <w:szCs w:val="24"/>
          <w:u w:val="single"/>
        </w:rPr>
        <w:t xml:space="preserve"> ao aspecto gramatical e lógico, sugere-se a supressão do vocábulo “</w:t>
      </w:r>
      <w:r w:rsidRPr="00ED66A0" w:rsidR="00500A37">
        <w:rPr>
          <w:rFonts w:ascii="Calibri" w:hAnsi="Calibri" w:cs="Calibri"/>
          <w:i/>
          <w:szCs w:val="24"/>
          <w:u w:val="single"/>
        </w:rPr>
        <w:t>DIRETRIZ</w:t>
      </w:r>
      <w:r w:rsidRPr="00ED66A0" w:rsidR="00500A37">
        <w:rPr>
          <w:rFonts w:ascii="Calibri" w:hAnsi="Calibri" w:cs="Calibri"/>
          <w:szCs w:val="24"/>
          <w:u w:val="single"/>
        </w:rPr>
        <w:t xml:space="preserve">” constante da alteração pretendida do inciso X do art. 152. </w:t>
      </w:r>
    </w:p>
    <w:p w:rsidR="00F50ADA" w:rsidRPr="00ED66A0" w:rsidP="00074468">
      <w:pPr>
        <w:pStyle w:val="BodyText"/>
        <w:spacing w:after="240" w:line="360" w:lineRule="auto"/>
        <w:ind w:firstLine="2268"/>
        <w:jc w:val="both"/>
        <w:rPr>
          <w:rFonts w:ascii="Calibri" w:hAnsi="Calibri" w:cs="Calibri"/>
          <w:bCs/>
          <w:snapToGrid w:val="0"/>
          <w:szCs w:val="26"/>
        </w:rPr>
      </w:pPr>
      <w:r w:rsidRPr="00ED66A0">
        <w:rPr>
          <w:rFonts w:ascii="Calibri" w:hAnsi="Calibri" w:cs="Calibri"/>
          <w:szCs w:val="24"/>
        </w:rPr>
        <w:t xml:space="preserve">Ante o exposto, conclui-se pela constitucionalidade </w:t>
      </w:r>
      <w:r w:rsidRPr="00ED66A0" w:rsidR="001962C1">
        <w:rPr>
          <w:rFonts w:ascii="Calibri" w:hAnsi="Calibri" w:cs="Calibri"/>
          <w:szCs w:val="24"/>
        </w:rPr>
        <w:t xml:space="preserve">e legalidade </w:t>
      </w:r>
      <w:r w:rsidRPr="00ED66A0">
        <w:rPr>
          <w:rFonts w:ascii="Calibri" w:hAnsi="Calibri" w:cs="Calibri"/>
          <w:szCs w:val="24"/>
        </w:rPr>
        <w:t>do projeto de emenda</w:t>
      </w:r>
      <w:r w:rsidRPr="00ED66A0" w:rsidR="0024276C">
        <w:rPr>
          <w:rFonts w:ascii="Calibri" w:hAnsi="Calibri" w:cs="Calibri"/>
          <w:szCs w:val="24"/>
        </w:rPr>
        <w:t>, com a ressalva acima relativa à redação pretendida ao inciso X, do art. 152</w:t>
      </w:r>
      <w:r w:rsidRPr="00ED66A0" w:rsidR="001962C1">
        <w:rPr>
          <w:rFonts w:ascii="Calibri" w:hAnsi="Calibri" w:cs="Calibri"/>
          <w:szCs w:val="24"/>
        </w:rPr>
        <w:t>.</w:t>
      </w:r>
      <w:r w:rsidRPr="00ED66A0">
        <w:rPr>
          <w:rFonts w:ascii="Calibri" w:hAnsi="Calibri" w:cs="Calibri"/>
          <w:szCs w:val="24"/>
        </w:rPr>
        <w:t xml:space="preserve"> </w:t>
      </w:r>
      <w:r w:rsidRPr="00ED66A0" w:rsidR="00A779B8">
        <w:rPr>
          <w:rFonts w:ascii="Calibri" w:hAnsi="Calibri" w:cs="Calibri"/>
          <w:szCs w:val="24"/>
        </w:rPr>
        <w:t>Sobre o mérito, manifestar-se-á o Soberano Plenário.</w:t>
      </w:r>
    </w:p>
    <w:p w:rsidR="00F50ADA" w:rsidRPr="00ED66A0" w:rsidP="00026560">
      <w:pPr>
        <w:autoSpaceDE w:val="0"/>
        <w:autoSpaceDN w:val="0"/>
        <w:adjustRightInd w:val="0"/>
        <w:spacing w:before="120" w:after="120" w:line="360" w:lineRule="auto"/>
        <w:ind w:firstLine="2268"/>
        <w:jc w:val="both"/>
        <w:rPr>
          <w:rFonts w:ascii="Calibri" w:hAnsi="Calibri" w:cs="Calibri"/>
          <w:szCs w:val="24"/>
        </w:rPr>
      </w:pPr>
      <w:r w:rsidRPr="00ED66A0">
        <w:rPr>
          <w:rFonts w:ascii="Calibri" w:hAnsi="Calibri" w:cs="Calibri"/>
          <w:szCs w:val="24"/>
        </w:rPr>
        <w:t>É o parecer, a superior consideração.</w:t>
      </w:r>
    </w:p>
    <w:p w:rsidR="00A779B8" w:rsidRPr="00ED66A0" w:rsidP="00026560">
      <w:pPr>
        <w:autoSpaceDE w:val="0"/>
        <w:autoSpaceDN w:val="0"/>
        <w:adjustRightInd w:val="0"/>
        <w:spacing w:before="120" w:after="120" w:line="360" w:lineRule="auto"/>
        <w:ind w:firstLine="2268"/>
        <w:jc w:val="both"/>
        <w:rPr>
          <w:rFonts w:ascii="Calibri" w:hAnsi="Calibri" w:cs="Calibri"/>
          <w:szCs w:val="24"/>
        </w:rPr>
      </w:pPr>
      <w:r w:rsidRPr="00ED66A0">
        <w:rPr>
          <w:rFonts w:ascii="Calibri" w:hAnsi="Calibri" w:cs="Calibri"/>
          <w:szCs w:val="24"/>
        </w:rPr>
        <w:t xml:space="preserve">Procuradoria, </w:t>
      </w:r>
      <w:r w:rsidRPr="00ED66A0" w:rsidR="00ED66A0">
        <w:rPr>
          <w:rFonts w:ascii="Calibri" w:hAnsi="Calibri" w:cs="Calibri"/>
          <w:szCs w:val="24"/>
        </w:rPr>
        <w:t>16</w:t>
      </w:r>
      <w:r w:rsidRPr="00ED66A0">
        <w:rPr>
          <w:rFonts w:ascii="Calibri" w:hAnsi="Calibri" w:cs="Calibri"/>
          <w:szCs w:val="24"/>
        </w:rPr>
        <w:t xml:space="preserve"> de </w:t>
      </w:r>
      <w:r w:rsidRPr="00ED66A0" w:rsidR="00D7536E">
        <w:rPr>
          <w:rFonts w:ascii="Calibri" w:hAnsi="Calibri" w:cs="Calibri"/>
          <w:szCs w:val="24"/>
        </w:rPr>
        <w:t>novembro</w:t>
      </w:r>
      <w:r w:rsidRPr="00ED66A0">
        <w:rPr>
          <w:rFonts w:ascii="Calibri" w:hAnsi="Calibri" w:cs="Calibri"/>
          <w:szCs w:val="24"/>
        </w:rPr>
        <w:t xml:space="preserve"> de 202</w:t>
      </w:r>
      <w:r w:rsidRPr="00ED66A0" w:rsidR="000368DD">
        <w:rPr>
          <w:rFonts w:ascii="Calibri" w:hAnsi="Calibri" w:cs="Calibri"/>
          <w:szCs w:val="24"/>
        </w:rPr>
        <w:t>3</w:t>
      </w:r>
      <w:r w:rsidRPr="00ED66A0">
        <w:rPr>
          <w:rFonts w:ascii="Calibri" w:hAnsi="Calibri" w:cs="Calibri"/>
          <w:szCs w:val="24"/>
        </w:rPr>
        <w:t>.</w:t>
      </w:r>
      <w:bookmarkStart w:id="0" w:name="_GoBack"/>
      <w:bookmarkEnd w:id="0"/>
    </w:p>
    <w:p w:rsidR="00766226" w:rsidRPr="00ED66A0" w:rsidP="00F50ADA">
      <w:pPr>
        <w:pStyle w:val="BodyText"/>
        <w:spacing w:after="0" w:line="240" w:lineRule="auto"/>
        <w:jc w:val="center"/>
        <w:rPr>
          <w:rFonts w:ascii="Calibri" w:hAnsi="Calibri" w:cs="Calibri"/>
        </w:rPr>
      </w:pPr>
    </w:p>
    <w:p w:rsidR="00D7536E" w:rsidRPr="00ED66A0" w:rsidP="00D7536E">
      <w:pPr>
        <w:spacing w:after="0" w:line="360" w:lineRule="auto"/>
        <w:ind w:firstLine="1701"/>
        <w:jc w:val="both"/>
        <w:rPr>
          <w:rFonts w:asciiTheme="minorHAnsi" w:hAnsiTheme="minorHAnsi" w:cstheme="minorHAnsi"/>
          <w:szCs w:val="24"/>
        </w:rPr>
      </w:pPr>
    </w:p>
    <w:p w:rsidR="00D7536E" w:rsidRPr="00ED66A0" w:rsidP="00D7536E">
      <w:pPr>
        <w:tabs>
          <w:tab w:val="left" w:pos="2880"/>
        </w:tabs>
        <w:spacing w:after="0" w:line="240" w:lineRule="auto"/>
        <w:rPr>
          <w:rFonts w:asciiTheme="minorHAnsi" w:hAnsiTheme="minorHAnsi" w:cstheme="minorHAnsi"/>
          <w:b/>
          <w:szCs w:val="24"/>
        </w:rPr>
      </w:pPr>
      <w:r w:rsidRPr="00ED66A0">
        <w:rPr>
          <w:rFonts w:asciiTheme="minorHAnsi" w:hAnsiTheme="minorHAnsi" w:cstheme="minorHAnsi"/>
          <w:b/>
          <w:szCs w:val="24"/>
        </w:rPr>
        <w:t>Rosemeire de Souza Cardoso Barbosa                                 Tiago Fadel Malghosian</w:t>
      </w:r>
    </w:p>
    <w:p w:rsidR="00D7536E" w:rsidRPr="00ED66A0" w:rsidP="00D7536E">
      <w:pPr>
        <w:tabs>
          <w:tab w:val="left" w:pos="2880"/>
        </w:tabs>
        <w:spacing w:after="0" w:line="240" w:lineRule="auto"/>
        <w:jc w:val="center"/>
        <w:rPr>
          <w:rFonts w:asciiTheme="minorHAnsi" w:hAnsiTheme="minorHAnsi" w:cstheme="minorHAnsi"/>
          <w:b/>
          <w:szCs w:val="24"/>
        </w:rPr>
      </w:pPr>
      <w:r w:rsidRPr="00ED66A0">
        <w:rPr>
          <w:rFonts w:asciiTheme="minorHAnsi" w:hAnsiTheme="minorHAnsi" w:cstheme="minorHAnsi"/>
          <w:b/>
          <w:szCs w:val="24"/>
        </w:rPr>
        <w:t>Procuradora – OAB/SP 308.298                               Procurador- OAB/SP 319.159</w:t>
      </w:r>
    </w:p>
    <w:p w:rsidR="00D7536E" w:rsidRPr="00ED66A0" w:rsidP="00D7536E">
      <w:pPr>
        <w:pStyle w:val="BodyText"/>
        <w:spacing w:after="0" w:line="240" w:lineRule="auto"/>
        <w:jc w:val="center"/>
        <w:rPr>
          <w:rFonts w:ascii="Calibri" w:hAnsi="Calibri" w:cs="Calibri"/>
        </w:rPr>
      </w:pPr>
      <w:r w:rsidRPr="00ED66A0">
        <w:rPr>
          <w:rFonts w:asciiTheme="minorHAnsi" w:hAnsiTheme="minorHAnsi" w:cstheme="minorHAnsi"/>
          <w:szCs w:val="24"/>
        </w:rPr>
        <w:t>Assinatura eletrônica                                                 Assinatura eletrônica</w:t>
      </w: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14021F" w:rsidP="00E86B5F">
            <w:pPr>
              <w:pStyle w:val="Footer"/>
              <w:jc w:val="right"/>
              <w:rPr>
                <w:sz w:val="18"/>
                <w:lang w:val="pt-PT"/>
              </w:rPr>
            </w:pPr>
          </w:p>
          <w:p w:rsidR="0014021F" w:rsidP="00E86B5F">
            <w:pPr>
              <w:pStyle w:val="Footer"/>
              <w:ind w:right="-313"/>
              <w:jc w:val="center"/>
              <w:rPr>
                <w:sz w:val="18"/>
                <w:lang w:val="pt-PT"/>
              </w:rPr>
            </w:pPr>
            <w:r>
              <w:rPr>
                <w:sz w:val="18"/>
                <w:lang w:val="pt-PT"/>
              </w:rPr>
              <w:t>________________________________________________________________________________________</w:t>
            </w:r>
          </w:p>
          <w:p w:rsidR="0014021F"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14021F"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14021F"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ED66A0">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ED66A0">
              <w:rPr>
                <w:b/>
                <w:bCs/>
                <w:noProof/>
                <w:sz w:val="18"/>
                <w:szCs w:val="18"/>
              </w:rPr>
              <w:t>7</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4021F">
      <w:pPr>
        <w:spacing w:after="0" w:line="240" w:lineRule="auto"/>
      </w:pPr>
      <w:r>
        <w:separator/>
      </w:r>
    </w:p>
  </w:footnote>
  <w:footnote w:type="continuationSeparator" w:id="1">
    <w:p w:rsidR="0014021F">
      <w:pPr>
        <w:spacing w:after="0" w:line="240" w:lineRule="auto"/>
      </w:pPr>
      <w:r>
        <w:continuationSeparator/>
      </w:r>
    </w:p>
  </w:footnote>
  <w:footnote w:id="2">
    <w:p w:rsidR="0014021F"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21F" w:rsidP="00E86B5F">
    <w:pPr>
      <w:pStyle w:val="Header"/>
      <w:jc w:val="center"/>
      <w:rPr>
        <w:b/>
        <w:sz w:val="26"/>
        <w:lang w:val="pt-PT"/>
      </w:rPr>
    </w:pPr>
  </w:p>
  <w:p w:rsidR="0014021F"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4021F" w:rsidP="00E86B5F">
                          <w:r>
                            <w:rPr>
                              <w:noProof/>
                            </w:rPr>
                            <w:drawing>
                              <wp:inline distT="0" distB="0" distL="0" distR="0">
                                <wp:extent cx="876300" cy="850900"/>
                                <wp:effectExtent l="19050" t="0" r="0" b="0"/>
                                <wp:docPr id="150545980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9392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5134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53756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60773888" r:id="rId4"/>
                    </w:object>
                  </w:p>
                </w:txbxContent>
              </v:textbox>
              <w10:wrap type="square"/>
            </v:shape>
          </w:pict>
        </mc:Fallback>
      </mc:AlternateContent>
    </w:r>
  </w:p>
  <w:p w:rsidR="0014021F" w:rsidP="00E86B5F">
    <w:pPr>
      <w:pStyle w:val="Header"/>
      <w:jc w:val="center"/>
      <w:rPr>
        <w:b/>
        <w:sz w:val="28"/>
        <w:lang w:val="pt-PT"/>
      </w:rPr>
    </w:pPr>
    <w:r>
      <w:rPr>
        <w:b/>
        <w:sz w:val="28"/>
        <w:lang w:val="pt-PT"/>
      </w:rPr>
      <w:t>CÂMARA MUNICIPAL DE VALINHOS</w:t>
    </w:r>
  </w:p>
  <w:p w:rsidR="0014021F"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74468"/>
    <w:rsid w:val="0008325B"/>
    <w:rsid w:val="00097396"/>
    <w:rsid w:val="000E2AF4"/>
    <w:rsid w:val="000F259D"/>
    <w:rsid w:val="0014021F"/>
    <w:rsid w:val="001604ED"/>
    <w:rsid w:val="001672D5"/>
    <w:rsid w:val="001962C1"/>
    <w:rsid w:val="00200A82"/>
    <w:rsid w:val="0020224C"/>
    <w:rsid w:val="0023693B"/>
    <w:rsid w:val="0024276C"/>
    <w:rsid w:val="00336C41"/>
    <w:rsid w:val="00397998"/>
    <w:rsid w:val="003A49AF"/>
    <w:rsid w:val="00435E91"/>
    <w:rsid w:val="00473A76"/>
    <w:rsid w:val="00500A37"/>
    <w:rsid w:val="005723D1"/>
    <w:rsid w:val="005E6247"/>
    <w:rsid w:val="00621D83"/>
    <w:rsid w:val="00636403"/>
    <w:rsid w:val="00646BC4"/>
    <w:rsid w:val="006F2E14"/>
    <w:rsid w:val="0071039A"/>
    <w:rsid w:val="00766226"/>
    <w:rsid w:val="007C2BE2"/>
    <w:rsid w:val="0089277F"/>
    <w:rsid w:val="008E128F"/>
    <w:rsid w:val="009550F0"/>
    <w:rsid w:val="009A07D0"/>
    <w:rsid w:val="00A36A7A"/>
    <w:rsid w:val="00A56E27"/>
    <w:rsid w:val="00A779B8"/>
    <w:rsid w:val="00A87ED2"/>
    <w:rsid w:val="00A94458"/>
    <w:rsid w:val="00AD055D"/>
    <w:rsid w:val="00B33EC1"/>
    <w:rsid w:val="00B62E93"/>
    <w:rsid w:val="00BC5BCF"/>
    <w:rsid w:val="00BD58B4"/>
    <w:rsid w:val="00C669D7"/>
    <w:rsid w:val="00CA0155"/>
    <w:rsid w:val="00CE4C23"/>
    <w:rsid w:val="00CF7DEF"/>
    <w:rsid w:val="00D34B79"/>
    <w:rsid w:val="00D6369B"/>
    <w:rsid w:val="00D7536E"/>
    <w:rsid w:val="00D75ECD"/>
    <w:rsid w:val="00DF22E1"/>
    <w:rsid w:val="00E86B5F"/>
    <w:rsid w:val="00ED66A0"/>
    <w:rsid w:val="00F50ADA"/>
    <w:rsid w:val="00F53BEF"/>
    <w:rsid w:val="00F83A1B"/>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62156-D4BA-4AB0-9343-782FEE84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1657</Words>
  <Characters>8950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9</cp:revision>
  <dcterms:created xsi:type="dcterms:W3CDTF">2023-11-06T13:50:00Z</dcterms:created>
  <dcterms:modified xsi:type="dcterms:W3CDTF">2023-11-16T17:49:00Z</dcterms:modified>
</cp:coreProperties>
</file>