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8379F2" w:rsidP="00A779B8">
      <w:pPr>
        <w:pStyle w:val="Default"/>
        <w:jc w:val="both"/>
        <w:rPr>
          <w:rFonts w:ascii="Calibri" w:hAnsi="Calibri" w:cs="Calibri"/>
          <w:b/>
          <w:color w:val="auto"/>
        </w:rPr>
      </w:pPr>
    </w:p>
    <w:p w:rsidR="00A779B8" w:rsidRPr="008379F2" w:rsidP="00A779B8">
      <w:pPr>
        <w:pStyle w:val="Default"/>
        <w:jc w:val="both"/>
        <w:rPr>
          <w:rFonts w:ascii="Calibri" w:eastAsia="Times New Roman" w:hAnsi="Calibri" w:cs="Calibri"/>
          <w:bCs/>
          <w:color w:val="auto"/>
        </w:rPr>
      </w:pPr>
      <w:r w:rsidRPr="008379F2">
        <w:rPr>
          <w:rFonts w:ascii="Calibri" w:hAnsi="Calibri" w:cs="Calibri"/>
          <w:b/>
          <w:color w:val="auto"/>
        </w:rPr>
        <w:t>Parecer Jurídico nº</w:t>
      </w:r>
      <w:r w:rsidRPr="008379F2" w:rsidR="00F50ADA">
        <w:rPr>
          <w:rFonts w:ascii="Calibri" w:hAnsi="Calibri" w:cs="Calibri"/>
          <w:b/>
          <w:color w:val="auto"/>
        </w:rPr>
        <w:t xml:space="preserve"> </w:t>
      </w:r>
      <w:r w:rsidRPr="008379F2" w:rsidR="00200A82">
        <w:rPr>
          <w:rFonts w:ascii="Calibri" w:hAnsi="Calibri" w:cs="Calibri"/>
          <w:b/>
          <w:color w:val="auto"/>
        </w:rPr>
        <w:tab/>
      </w:r>
      <w:r w:rsidRPr="008379F2" w:rsidR="008379F2">
        <w:rPr>
          <w:rFonts w:ascii="Calibri" w:hAnsi="Calibri" w:cs="Calibri"/>
          <w:b/>
          <w:color w:val="auto"/>
        </w:rPr>
        <w:t>431</w:t>
      </w:r>
      <w:r w:rsidRPr="008379F2">
        <w:rPr>
          <w:rFonts w:ascii="Calibri" w:hAnsi="Calibri" w:cs="Calibri"/>
          <w:b/>
          <w:color w:val="auto"/>
        </w:rPr>
        <w:t>/202</w:t>
      </w:r>
      <w:r w:rsidRPr="008379F2" w:rsidR="00473A76">
        <w:rPr>
          <w:rFonts w:ascii="Calibri" w:hAnsi="Calibri" w:cs="Calibri"/>
          <w:b/>
          <w:color w:val="auto"/>
        </w:rPr>
        <w:t>3</w:t>
      </w:r>
      <w:r w:rsidRPr="008379F2">
        <w:rPr>
          <w:rFonts w:ascii="Calibri" w:hAnsi="Calibri" w:cs="Calibri"/>
          <w:b/>
          <w:color w:val="auto"/>
        </w:rPr>
        <w:t>.</w:t>
      </w:r>
    </w:p>
    <w:p w:rsidR="00200A82" w:rsidRPr="008379F2" w:rsidP="00473A76">
      <w:pPr>
        <w:spacing w:after="0" w:line="240" w:lineRule="auto"/>
        <w:jc w:val="both"/>
        <w:rPr>
          <w:rFonts w:ascii="Calibri" w:eastAsia="Calibri" w:hAnsi="Calibri" w:cs="Calibri"/>
          <w:szCs w:val="24"/>
        </w:rPr>
      </w:pPr>
      <w:r w:rsidRPr="008379F2">
        <w:rPr>
          <w:rFonts w:ascii="Calibri" w:hAnsi="Calibri" w:cs="Calibri"/>
          <w:b/>
          <w:bCs/>
          <w:szCs w:val="24"/>
        </w:rPr>
        <w:t xml:space="preserve">Assunto: </w:t>
      </w:r>
      <w:r w:rsidRPr="008379F2" w:rsidR="00B758B2">
        <w:rPr>
          <w:rFonts w:ascii="Calibri" w:hAnsi="Calibri" w:cs="Calibri"/>
          <w:b/>
          <w:bCs/>
          <w:szCs w:val="24"/>
        </w:rPr>
        <w:t>Emenda 16</w:t>
      </w:r>
      <w:r w:rsidRPr="008379F2" w:rsidR="00A779B8">
        <w:rPr>
          <w:rFonts w:ascii="Calibri" w:hAnsi="Calibri" w:cs="Calibri"/>
          <w:b/>
          <w:bCs/>
          <w:szCs w:val="24"/>
        </w:rPr>
        <w:t xml:space="preserve"> ao</w:t>
      </w:r>
      <w:r w:rsidRPr="008379F2" w:rsidR="00FC140B">
        <w:rPr>
          <w:rFonts w:ascii="Calibri" w:hAnsi="Calibri" w:cs="Calibri"/>
          <w:b/>
          <w:bCs/>
          <w:szCs w:val="24"/>
        </w:rPr>
        <w:t xml:space="preserve"> </w:t>
      </w:r>
      <w:r w:rsidRPr="008379F2" w:rsidR="00FC140B">
        <w:rPr>
          <w:rFonts w:ascii="Calibri" w:hAnsi="Calibri" w:cs="Calibri"/>
          <w:b/>
          <w:bCs/>
        </w:rPr>
        <w:t xml:space="preserve">Projeto de Lei nº </w:t>
      </w:r>
      <w:r w:rsidRPr="008379F2">
        <w:rPr>
          <w:rFonts w:ascii="Calibri" w:hAnsi="Calibri" w:cs="Calibri"/>
          <w:b/>
          <w:bCs/>
        </w:rPr>
        <w:t>185</w:t>
      </w:r>
      <w:r w:rsidRPr="008379F2" w:rsidR="001604ED">
        <w:rPr>
          <w:rFonts w:ascii="Calibri" w:hAnsi="Calibri" w:cs="Calibri"/>
          <w:b/>
          <w:bCs/>
        </w:rPr>
        <w:t>/202</w:t>
      </w:r>
      <w:r w:rsidRPr="008379F2">
        <w:rPr>
          <w:rFonts w:ascii="Calibri" w:hAnsi="Calibri" w:cs="Calibri"/>
          <w:b/>
          <w:bCs/>
        </w:rPr>
        <w:t>2</w:t>
      </w:r>
      <w:r w:rsidRPr="008379F2" w:rsidR="0023693B">
        <w:rPr>
          <w:rFonts w:ascii="Calibri" w:hAnsi="Calibri" w:cs="Calibri"/>
          <w:b/>
          <w:bCs/>
        </w:rPr>
        <w:t xml:space="preserve"> </w:t>
      </w:r>
      <w:r w:rsidRPr="008379F2" w:rsidR="000368DD">
        <w:rPr>
          <w:rFonts w:ascii="Calibri" w:hAnsi="Calibri" w:cs="Calibri"/>
          <w:bCs/>
        </w:rPr>
        <w:t xml:space="preserve">que </w:t>
      </w:r>
      <w:r w:rsidRPr="008379F2" w:rsidR="000368DD">
        <w:rPr>
          <w:rFonts w:ascii="Calibri" w:eastAsia="Calibri" w:hAnsi="Calibri" w:cs="Calibri"/>
          <w:szCs w:val="24"/>
        </w:rPr>
        <w:t>“</w:t>
      </w:r>
      <w:r w:rsidRPr="008379F2">
        <w:rPr>
          <w:rFonts w:ascii="Calibri" w:eastAsia="Calibri" w:hAnsi="Calibri" w:cs="Calibri"/>
          <w:szCs w:val="24"/>
        </w:rPr>
        <w:t>Institui o Plano Diretor Municipal de Valinhos e dá outras providências</w:t>
      </w:r>
      <w:r w:rsidRPr="008379F2" w:rsidR="0071039A">
        <w:rPr>
          <w:rFonts w:ascii="Calibri" w:eastAsia="Calibri" w:hAnsi="Calibri" w:cs="Calibri"/>
          <w:szCs w:val="24"/>
        </w:rPr>
        <w:t>”</w:t>
      </w:r>
      <w:r w:rsidRPr="008379F2">
        <w:rPr>
          <w:rFonts w:ascii="Calibri" w:eastAsia="Calibri" w:hAnsi="Calibri" w:cs="Calibri"/>
          <w:szCs w:val="24"/>
        </w:rPr>
        <w:t>.</w:t>
      </w:r>
    </w:p>
    <w:p w:rsidR="00A779B8" w:rsidRPr="008379F2" w:rsidP="0023693B">
      <w:pPr>
        <w:spacing w:after="0" w:line="240" w:lineRule="auto"/>
        <w:jc w:val="both"/>
        <w:rPr>
          <w:rFonts w:ascii="Calibri" w:hAnsi="Calibri" w:cs="Calibri"/>
          <w:b/>
          <w:bCs/>
          <w:szCs w:val="24"/>
        </w:rPr>
      </w:pPr>
      <w:r w:rsidRPr="008379F2">
        <w:rPr>
          <w:rFonts w:ascii="Calibri" w:hAnsi="Calibri" w:cs="Calibri"/>
          <w:b/>
          <w:bCs/>
        </w:rPr>
        <w:t>Emenda de a</w:t>
      </w:r>
      <w:r w:rsidRPr="008379F2" w:rsidR="0023693B">
        <w:rPr>
          <w:rFonts w:ascii="Calibri" w:hAnsi="Calibri" w:cs="Calibri"/>
          <w:b/>
          <w:bCs/>
          <w:szCs w:val="24"/>
        </w:rPr>
        <w:t xml:space="preserve">utoria </w:t>
      </w:r>
      <w:r w:rsidRPr="008379F2" w:rsidR="00200A82">
        <w:rPr>
          <w:rFonts w:ascii="Calibri" w:hAnsi="Calibri" w:cs="Calibri"/>
          <w:b/>
          <w:bCs/>
          <w:szCs w:val="24"/>
        </w:rPr>
        <w:t>da Comissão de Sistematização</w:t>
      </w:r>
    </w:p>
    <w:p w:rsidR="00A779B8" w:rsidRPr="008379F2" w:rsidP="00A779B8">
      <w:pPr>
        <w:pStyle w:val="Default"/>
        <w:jc w:val="both"/>
        <w:rPr>
          <w:rFonts w:ascii="Calibri" w:hAnsi="Calibri" w:cs="Calibri"/>
          <w:b/>
          <w:i/>
          <w:color w:val="auto"/>
        </w:rPr>
      </w:pPr>
    </w:p>
    <w:p w:rsidR="000F259D" w:rsidRPr="008379F2" w:rsidP="00A779B8">
      <w:pPr>
        <w:pStyle w:val="Default"/>
        <w:jc w:val="both"/>
        <w:rPr>
          <w:rFonts w:ascii="Calibri" w:hAnsi="Calibri" w:cs="Calibri"/>
          <w:b/>
          <w:i/>
          <w:color w:val="auto"/>
        </w:rPr>
      </w:pPr>
    </w:p>
    <w:p w:rsidR="000F259D" w:rsidRPr="008379F2" w:rsidP="00A779B8">
      <w:pPr>
        <w:pStyle w:val="Default"/>
        <w:jc w:val="both"/>
        <w:rPr>
          <w:rFonts w:ascii="Calibri" w:hAnsi="Calibri" w:cs="Calibri"/>
          <w:b/>
          <w:i/>
          <w:color w:val="auto"/>
        </w:rPr>
      </w:pPr>
    </w:p>
    <w:p w:rsidR="000F259D" w:rsidRPr="008379F2" w:rsidP="00A779B8">
      <w:pPr>
        <w:pStyle w:val="Default"/>
        <w:jc w:val="both"/>
        <w:rPr>
          <w:rFonts w:ascii="Calibri" w:hAnsi="Calibri" w:cs="Calibri"/>
          <w:b/>
          <w:i/>
          <w:color w:val="auto"/>
        </w:rPr>
      </w:pPr>
    </w:p>
    <w:p w:rsidR="00A779B8" w:rsidRPr="008379F2" w:rsidP="00A779B8">
      <w:pPr>
        <w:pStyle w:val="Default"/>
        <w:jc w:val="both"/>
        <w:rPr>
          <w:rFonts w:ascii="Calibri" w:hAnsi="Calibri" w:cs="Calibri"/>
          <w:b/>
          <w:i/>
          <w:color w:val="auto"/>
        </w:rPr>
      </w:pPr>
      <w:r w:rsidRPr="008379F2">
        <w:rPr>
          <w:rFonts w:ascii="Calibri" w:hAnsi="Calibri" w:cs="Calibri"/>
          <w:b/>
          <w:i/>
          <w:color w:val="auto"/>
        </w:rPr>
        <w:t>À Comissão de Justiça e Redação,</w:t>
      </w:r>
    </w:p>
    <w:p w:rsidR="00A779B8" w:rsidRPr="008379F2" w:rsidP="00A779B8">
      <w:pPr>
        <w:pStyle w:val="Default"/>
        <w:jc w:val="both"/>
        <w:rPr>
          <w:rFonts w:ascii="Calibri" w:hAnsi="Calibri" w:cs="Calibri"/>
          <w:b/>
          <w:i/>
          <w:color w:val="auto"/>
        </w:rPr>
      </w:pPr>
      <w:r w:rsidRPr="008379F2">
        <w:rPr>
          <w:rFonts w:ascii="Calibri" w:hAnsi="Calibri" w:cs="Calibri"/>
          <w:b/>
          <w:i/>
          <w:color w:val="auto"/>
        </w:rPr>
        <w:t xml:space="preserve">Exmo. </w:t>
      </w:r>
      <w:r w:rsidRPr="008379F2" w:rsidR="00473A76">
        <w:rPr>
          <w:rFonts w:ascii="Calibri" w:hAnsi="Calibri" w:cs="Calibri"/>
          <w:b/>
          <w:i/>
          <w:color w:val="auto"/>
        </w:rPr>
        <w:t>Sr.</w:t>
      </w:r>
      <w:r w:rsidRPr="008379F2" w:rsidR="00473A76">
        <w:rPr>
          <w:rFonts w:ascii="Calibri" w:hAnsi="Calibri" w:cs="Calibri"/>
          <w:b/>
          <w:i/>
          <w:color w:val="auto"/>
        </w:rPr>
        <w:t xml:space="preserve"> </w:t>
      </w:r>
      <w:r w:rsidRPr="008379F2">
        <w:rPr>
          <w:rFonts w:ascii="Calibri" w:hAnsi="Calibri" w:cs="Calibri"/>
          <w:b/>
          <w:i/>
          <w:color w:val="auto"/>
        </w:rPr>
        <w:t>Presidente</w:t>
      </w:r>
      <w:r w:rsidRPr="008379F2" w:rsidR="00473A76">
        <w:rPr>
          <w:rFonts w:ascii="Calibri" w:hAnsi="Calibri" w:cs="Calibri"/>
          <w:b/>
          <w:i/>
          <w:color w:val="auto"/>
        </w:rPr>
        <w:t xml:space="preserve"> Vereador Gabriel Bueno</w:t>
      </w:r>
      <w:r w:rsidRPr="008379F2">
        <w:rPr>
          <w:rFonts w:ascii="Calibri" w:hAnsi="Calibri" w:cs="Calibri"/>
          <w:b/>
          <w:i/>
          <w:color w:val="auto"/>
        </w:rPr>
        <w:t>.</w:t>
      </w:r>
    </w:p>
    <w:p w:rsidR="00A779B8" w:rsidRPr="008379F2" w:rsidP="00A779B8">
      <w:pPr>
        <w:pStyle w:val="Default"/>
        <w:jc w:val="both"/>
        <w:rPr>
          <w:rFonts w:ascii="Calibri" w:hAnsi="Calibri" w:cs="Calibri"/>
          <w:b/>
          <w:i/>
          <w:color w:val="auto"/>
        </w:rPr>
      </w:pPr>
    </w:p>
    <w:p w:rsidR="00A779B8" w:rsidRPr="008379F2" w:rsidP="00A779B8">
      <w:pPr>
        <w:pStyle w:val="Default"/>
        <w:spacing w:after="120" w:line="360" w:lineRule="auto"/>
        <w:jc w:val="both"/>
        <w:rPr>
          <w:rFonts w:ascii="Calibri" w:hAnsi="Calibri" w:cs="Calibri"/>
          <w:color w:val="auto"/>
          <w:sz w:val="12"/>
          <w:szCs w:val="12"/>
        </w:rPr>
      </w:pPr>
    </w:p>
    <w:p w:rsidR="000F259D" w:rsidRPr="008379F2" w:rsidP="00A779B8">
      <w:pPr>
        <w:pStyle w:val="Default"/>
        <w:spacing w:after="120" w:line="360" w:lineRule="auto"/>
        <w:jc w:val="both"/>
        <w:rPr>
          <w:rFonts w:ascii="Calibri" w:hAnsi="Calibri" w:cs="Calibri"/>
          <w:color w:val="auto"/>
          <w:sz w:val="12"/>
          <w:szCs w:val="12"/>
        </w:rPr>
      </w:pPr>
    </w:p>
    <w:p w:rsidR="0023693B" w:rsidRPr="008379F2" w:rsidP="000368DD">
      <w:pPr>
        <w:pStyle w:val="Default"/>
        <w:spacing w:after="240" w:line="360" w:lineRule="auto"/>
        <w:ind w:firstLine="2268"/>
        <w:jc w:val="both"/>
        <w:rPr>
          <w:rFonts w:ascii="Calibri" w:hAnsi="Calibri" w:cs="Calibri"/>
          <w:i/>
          <w:color w:val="auto"/>
        </w:rPr>
      </w:pPr>
      <w:r w:rsidRPr="008379F2">
        <w:rPr>
          <w:rFonts w:ascii="Calibri" w:hAnsi="Calibri" w:cs="Calibri"/>
          <w:color w:val="auto"/>
        </w:rPr>
        <w:t>Trata-se de parecer jurídico relativo à emenda em epígrafe que</w:t>
      </w:r>
      <w:r w:rsidRPr="008379F2" w:rsidR="00473A76">
        <w:rPr>
          <w:rFonts w:ascii="Calibri" w:hAnsi="Calibri" w:cs="Calibri"/>
          <w:color w:val="auto"/>
        </w:rPr>
        <w:t xml:space="preserve"> tenciona</w:t>
      </w:r>
      <w:r w:rsidRPr="008379F2" w:rsidR="000368DD">
        <w:rPr>
          <w:rFonts w:ascii="Calibri" w:hAnsi="Calibri" w:cs="Calibri"/>
          <w:color w:val="auto"/>
        </w:rPr>
        <w:t xml:space="preserve"> </w:t>
      </w:r>
      <w:r w:rsidRPr="008379F2" w:rsidR="00D7536E">
        <w:rPr>
          <w:rFonts w:ascii="Calibri" w:hAnsi="Calibri" w:cs="Calibri"/>
          <w:color w:val="auto"/>
        </w:rPr>
        <w:t>incluir</w:t>
      </w:r>
      <w:r w:rsidRPr="008379F2" w:rsidR="002C6755">
        <w:rPr>
          <w:rFonts w:ascii="Calibri" w:hAnsi="Calibri" w:cs="Calibri"/>
          <w:color w:val="auto"/>
        </w:rPr>
        <w:t xml:space="preserve"> o inciso XXI no art. 18</w:t>
      </w:r>
      <w:r w:rsidRPr="008379F2" w:rsidR="000368DD">
        <w:rPr>
          <w:rFonts w:ascii="Calibri" w:hAnsi="Calibri" w:cs="Calibri"/>
          <w:color w:val="auto"/>
        </w:rPr>
        <w:t xml:space="preserve"> do Projeto de Lei </w:t>
      </w:r>
      <w:r w:rsidRPr="008379F2" w:rsidR="00D7536E">
        <w:rPr>
          <w:rFonts w:ascii="Calibri" w:hAnsi="Calibri" w:cs="Calibri"/>
          <w:color w:val="auto"/>
        </w:rPr>
        <w:t>185</w:t>
      </w:r>
      <w:r w:rsidRPr="008379F2" w:rsidR="000368DD">
        <w:rPr>
          <w:rFonts w:ascii="Calibri" w:hAnsi="Calibri" w:cs="Calibri"/>
          <w:color w:val="auto"/>
        </w:rPr>
        <w:t>/202</w:t>
      </w:r>
      <w:r w:rsidRPr="008379F2" w:rsidR="00D7536E">
        <w:rPr>
          <w:rFonts w:ascii="Calibri" w:hAnsi="Calibri" w:cs="Calibri"/>
          <w:color w:val="auto"/>
        </w:rPr>
        <w:t>2</w:t>
      </w:r>
      <w:r w:rsidRPr="008379F2" w:rsidR="000368DD">
        <w:rPr>
          <w:rFonts w:ascii="Calibri" w:hAnsi="Calibri" w:cs="Calibri"/>
          <w:color w:val="auto"/>
        </w:rPr>
        <w:t xml:space="preserve">, que </w:t>
      </w:r>
      <w:r w:rsidRPr="008379F2" w:rsidR="000368DD">
        <w:rPr>
          <w:rFonts w:ascii="Calibri" w:hAnsi="Calibri" w:cs="Calibri"/>
          <w:i/>
          <w:color w:val="auto"/>
        </w:rPr>
        <w:t>“</w:t>
      </w:r>
      <w:r w:rsidRPr="008379F2" w:rsidR="00D7536E">
        <w:rPr>
          <w:rFonts w:ascii="Calibri" w:hAnsi="Calibri" w:cs="Calibri"/>
          <w:i/>
          <w:color w:val="auto"/>
        </w:rPr>
        <w:t>Institui o Plano Diretor Municipal de Valinhos e dá outras providências”</w:t>
      </w:r>
      <w:r w:rsidRPr="008379F2" w:rsidR="00473A76">
        <w:rPr>
          <w:rFonts w:ascii="Calibri" w:hAnsi="Calibri" w:cs="Calibri"/>
          <w:i/>
          <w:color w:val="auto"/>
        </w:rPr>
        <w:t>,</w:t>
      </w:r>
      <w:r w:rsidRPr="008379F2" w:rsidR="00B33EC1">
        <w:rPr>
          <w:rFonts w:ascii="Calibri" w:hAnsi="Calibri" w:cs="Calibri"/>
          <w:i/>
          <w:color w:val="auto"/>
        </w:rPr>
        <w:t xml:space="preserve"> </w:t>
      </w:r>
      <w:r w:rsidRPr="008379F2"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8379F2" w:rsidP="00473A76">
            <w:pPr>
              <w:pStyle w:val="Default"/>
              <w:tabs>
                <w:tab w:val="left" w:pos="2055"/>
              </w:tabs>
              <w:spacing w:line="276" w:lineRule="auto"/>
              <w:jc w:val="center"/>
              <w:rPr>
                <w:rFonts w:ascii="Calibri" w:eastAsia="Times New Roman" w:hAnsi="Calibri" w:cs="Calibri"/>
                <w:b/>
                <w:color w:val="auto"/>
              </w:rPr>
            </w:pPr>
          </w:p>
          <w:p w:rsidR="000368DD" w:rsidRPr="008379F2" w:rsidP="00473A76">
            <w:pPr>
              <w:pStyle w:val="Default"/>
              <w:tabs>
                <w:tab w:val="left" w:pos="2055"/>
              </w:tabs>
              <w:spacing w:line="276" w:lineRule="auto"/>
              <w:jc w:val="center"/>
              <w:rPr>
                <w:rFonts w:ascii="Calibri" w:eastAsia="Times New Roman" w:hAnsi="Calibri" w:cs="Calibri"/>
                <w:b/>
                <w:color w:val="auto"/>
              </w:rPr>
            </w:pPr>
            <w:r w:rsidRPr="008379F2">
              <w:rPr>
                <w:rFonts w:ascii="Calibri" w:eastAsia="Times New Roman" w:hAnsi="Calibri" w:cs="Calibri"/>
                <w:b/>
                <w:color w:val="auto"/>
              </w:rPr>
              <w:t xml:space="preserve">Projeto de Lei </w:t>
            </w:r>
            <w:r w:rsidRPr="008379F2" w:rsidR="00D7536E">
              <w:rPr>
                <w:rFonts w:ascii="Calibri" w:eastAsia="Times New Roman" w:hAnsi="Calibri" w:cs="Calibri"/>
                <w:b/>
                <w:color w:val="auto"/>
              </w:rPr>
              <w:t>185</w:t>
            </w:r>
            <w:r w:rsidRPr="008379F2">
              <w:rPr>
                <w:rFonts w:ascii="Calibri" w:eastAsia="Times New Roman" w:hAnsi="Calibri" w:cs="Calibri"/>
                <w:b/>
                <w:color w:val="auto"/>
              </w:rPr>
              <w:t>/202</w:t>
            </w:r>
            <w:r w:rsidRPr="008379F2" w:rsidR="00285AA5">
              <w:rPr>
                <w:rFonts w:ascii="Calibri" w:eastAsia="Times New Roman" w:hAnsi="Calibri" w:cs="Calibri"/>
                <w:b/>
                <w:color w:val="auto"/>
              </w:rPr>
              <w:t>2</w:t>
            </w:r>
          </w:p>
          <w:p w:rsidR="000368DD" w:rsidRPr="008379F2"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8379F2" w:rsidP="00473A76">
            <w:pPr>
              <w:pStyle w:val="Default"/>
              <w:tabs>
                <w:tab w:val="left" w:pos="2055"/>
              </w:tabs>
              <w:spacing w:line="276" w:lineRule="auto"/>
              <w:jc w:val="center"/>
              <w:rPr>
                <w:rFonts w:ascii="Calibri" w:eastAsia="Times New Roman" w:hAnsi="Calibri" w:cs="Calibri"/>
                <w:b/>
                <w:color w:val="auto"/>
              </w:rPr>
            </w:pPr>
          </w:p>
          <w:p w:rsidR="000368DD" w:rsidRPr="008379F2" w:rsidP="00B758B2">
            <w:pPr>
              <w:pStyle w:val="Default"/>
              <w:tabs>
                <w:tab w:val="left" w:pos="2055"/>
              </w:tabs>
              <w:spacing w:line="276" w:lineRule="auto"/>
              <w:jc w:val="center"/>
              <w:rPr>
                <w:rFonts w:ascii="Calibri" w:eastAsia="Times New Roman" w:hAnsi="Calibri" w:cs="Calibri"/>
                <w:b/>
                <w:color w:val="auto"/>
              </w:rPr>
            </w:pPr>
            <w:r w:rsidRPr="008379F2">
              <w:rPr>
                <w:rFonts w:ascii="Calibri" w:eastAsia="Times New Roman" w:hAnsi="Calibri" w:cs="Calibri"/>
                <w:b/>
                <w:color w:val="auto"/>
              </w:rPr>
              <w:t xml:space="preserve">Emenda nº </w:t>
            </w:r>
            <w:r w:rsidRPr="008379F2" w:rsidR="00B758B2">
              <w:rPr>
                <w:rFonts w:ascii="Calibri" w:eastAsia="Times New Roman" w:hAnsi="Calibri" w:cs="Calibri"/>
                <w:b/>
                <w:color w:val="auto"/>
              </w:rPr>
              <w:t>16</w:t>
            </w:r>
            <w:r w:rsidRPr="008379F2">
              <w:rPr>
                <w:rFonts w:ascii="Calibri" w:eastAsia="Times New Roman" w:hAnsi="Calibri" w:cs="Calibri"/>
                <w:b/>
                <w:color w:val="auto"/>
              </w:rPr>
              <w:t xml:space="preserve"> ao PL </w:t>
            </w:r>
            <w:r w:rsidRPr="008379F2" w:rsidR="00D7536E">
              <w:rPr>
                <w:rFonts w:ascii="Calibri" w:eastAsia="Times New Roman" w:hAnsi="Calibri" w:cs="Calibri"/>
                <w:b/>
                <w:color w:val="auto"/>
              </w:rPr>
              <w:t>185</w:t>
            </w:r>
            <w:r w:rsidRPr="008379F2">
              <w:rPr>
                <w:rFonts w:ascii="Calibri" w:eastAsia="Times New Roman" w:hAnsi="Calibri" w:cs="Calibri"/>
                <w:b/>
                <w:color w:val="auto"/>
              </w:rPr>
              <w:t>/202</w:t>
            </w:r>
            <w:r w:rsidRPr="008379F2" w:rsidR="00D7536E">
              <w:rPr>
                <w:rFonts w:ascii="Calibri" w:eastAsia="Times New Roman" w:hAnsi="Calibri" w:cs="Calibri"/>
                <w:b/>
                <w:color w:val="auto"/>
              </w:rPr>
              <w:t>2</w:t>
            </w:r>
          </w:p>
        </w:tc>
      </w:tr>
      <w:tr w:rsidTr="000368DD">
        <w:tblPrEx>
          <w:tblW w:w="8613" w:type="dxa"/>
          <w:tblLook w:val="04A0"/>
        </w:tblPrEx>
        <w:tc>
          <w:tcPr>
            <w:tcW w:w="4077" w:type="dxa"/>
          </w:tcPr>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Art. 18. São ações relativas aos objetivos gerais da organização administrativa do Município: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I - Implantar a coleta e gestão integrada das informações municipais;</w:t>
            </w:r>
          </w:p>
          <w:p w:rsidR="000368DD"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II - Aprimorar processos e procedimentos internos, </w:t>
            </w:r>
            <w:r w:rsidRPr="008379F2">
              <w:rPr>
                <w:rFonts w:ascii="Calibri" w:hAnsi="Calibri"/>
                <w:i/>
                <w:color w:val="auto"/>
                <w:sz w:val="22"/>
                <w:szCs w:val="22"/>
              </w:rPr>
              <w:t>otimizando</w:t>
            </w:r>
            <w:r w:rsidRPr="008379F2">
              <w:rPr>
                <w:rFonts w:ascii="Calibri" w:hAnsi="Calibri"/>
                <w:i/>
                <w:color w:val="auto"/>
                <w:sz w:val="22"/>
                <w:szCs w:val="22"/>
              </w:rPr>
              <w:t xml:space="preserve"> a gestão administrativa do município;</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III - Elaborar estudos técnicos e projetos relacionados </w:t>
            </w:r>
            <w:r w:rsidRPr="008379F2">
              <w:rPr>
                <w:rFonts w:ascii="Calibri" w:hAnsi="Calibri"/>
                <w:i/>
                <w:color w:val="auto"/>
                <w:sz w:val="22"/>
                <w:szCs w:val="22"/>
              </w:rPr>
              <w:t>a</w:t>
            </w:r>
            <w:r w:rsidRPr="008379F2">
              <w:rPr>
                <w:rFonts w:ascii="Calibri" w:hAnsi="Calibri"/>
                <w:i/>
                <w:color w:val="auto"/>
                <w:sz w:val="22"/>
                <w:szCs w:val="22"/>
              </w:rPr>
              <w:t xml:space="preserve"> construção de novo prédio para sede administrativa com foco na concentração, racionalização e melhoria na prestação dos serviços públicos;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IV - Realizar capacitação profissional periódica aos servidores públicos, com foco na melhoria dos serviços prestados e desenvolvimento de habilidades relacionadas principalmente </w:t>
            </w:r>
            <w:r w:rsidRPr="008379F2">
              <w:rPr>
                <w:rFonts w:ascii="Calibri" w:hAnsi="Calibri"/>
                <w:i/>
                <w:color w:val="auto"/>
                <w:sz w:val="22"/>
                <w:szCs w:val="22"/>
              </w:rPr>
              <w:t>as</w:t>
            </w:r>
            <w:r w:rsidRPr="008379F2">
              <w:rPr>
                <w:rFonts w:ascii="Calibri" w:hAnsi="Calibri"/>
                <w:i/>
                <w:color w:val="auto"/>
                <w:sz w:val="22"/>
                <w:szCs w:val="22"/>
              </w:rPr>
              <w:t xml:space="preserve"> áreas de tecnologia, relacionamento pessoal, atendimento ao público, ética e princípios </w:t>
            </w:r>
            <w:r w:rsidRPr="008379F2">
              <w:rPr>
                <w:rFonts w:ascii="Calibri" w:hAnsi="Calibri"/>
                <w:i/>
                <w:color w:val="auto"/>
                <w:sz w:val="22"/>
                <w:szCs w:val="22"/>
              </w:rPr>
              <w:t>gerais da administração pública;</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V - Regulamentar e aplicar os instrumentos, princípios, objetivos, diretrizes e ações da política urbana, estabelecidos pelo Plano Diretor Municipal de Valinhos;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VI - Articular os planos setoriais ao planejamento orçamentário municipal;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VII - Atualizar periodicamente a base cadastral do território, de modo a tornar o planejamento urbano mais eficiente e permitir a </w:t>
            </w:r>
            <w:r w:rsidRPr="008379F2">
              <w:rPr>
                <w:rFonts w:ascii="Calibri" w:hAnsi="Calibri"/>
                <w:i/>
                <w:color w:val="auto"/>
                <w:sz w:val="22"/>
                <w:szCs w:val="22"/>
              </w:rPr>
              <w:t>implementação</w:t>
            </w:r>
            <w:r w:rsidRPr="008379F2">
              <w:rPr>
                <w:rFonts w:ascii="Calibri" w:hAnsi="Calibri"/>
                <w:i/>
                <w:color w:val="auto"/>
                <w:sz w:val="22"/>
                <w:szCs w:val="22"/>
              </w:rPr>
              <w:t xml:space="preserve"> de ações fiscais visando a melhor justiça tributária;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VIII - Realizar a implantação do Sistema de Informações Municipal (SIM) para o planejamento e a gestão das políticas públicas de forma integrada;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IX - Informatizar as rotinas e os processos administrativos da Prefeitura Municipal de Valinhos e Autarquias;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X - Revisar periodicamente as políticas de ordenamento, controle e adensamento da ocupação territorial;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XI - Compatibilizar o Plano de Metas, o Plano Plurianual, a Lei de Diretrizes Orçamentárias (LDO) e a Lei Orçamentária Anual (LOA) aos objetivos e ações </w:t>
            </w:r>
            <w:r w:rsidRPr="008379F2">
              <w:rPr>
                <w:rFonts w:ascii="Calibri" w:hAnsi="Calibri"/>
                <w:i/>
                <w:color w:val="auto"/>
                <w:sz w:val="22"/>
                <w:szCs w:val="22"/>
              </w:rPr>
              <w:t>prevista</w:t>
            </w:r>
            <w:r w:rsidRPr="008379F2">
              <w:rPr>
                <w:rFonts w:ascii="Calibri" w:hAnsi="Calibri"/>
                <w:i/>
                <w:color w:val="auto"/>
                <w:sz w:val="22"/>
                <w:szCs w:val="22"/>
              </w:rPr>
              <w:t xml:space="preserve"> pelo Plano Diretor e plano decorrentes deste, como os planos setoriais/ regionais;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XII - Fortalecer o Conselho Municipal de Desenvolvimento Urbano (CMDU), órgão colegiado responsável pelo acompanhamento da Política Urbana de Valinhos, e demais conselhos, de modo a aproximar sociedade e gestão pública;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XIII - Promover oficinas técnicas das diversas áreas de gestão da municipalidade, capacitando a sociedade sobre questões pertinentes ao planejamento urbano, investindo em canais de comunicação dinâmicos e de grande alcance;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XIV - </w:t>
            </w:r>
            <w:r w:rsidRPr="008379F2">
              <w:rPr>
                <w:rFonts w:ascii="Calibri" w:hAnsi="Calibri"/>
                <w:i/>
                <w:color w:val="auto"/>
                <w:sz w:val="22"/>
                <w:szCs w:val="22"/>
              </w:rPr>
              <w:t>Implementar</w:t>
            </w:r>
            <w:r w:rsidRPr="008379F2">
              <w:rPr>
                <w:rFonts w:ascii="Calibri" w:hAnsi="Calibri"/>
                <w:i/>
                <w:color w:val="auto"/>
                <w:sz w:val="22"/>
                <w:szCs w:val="22"/>
              </w:rPr>
              <w:t xml:space="preserve"> e ampliar gradativamente os serviços prestados via internet pela prefeitura através de </w:t>
            </w:r>
            <w:r w:rsidRPr="008379F2">
              <w:rPr>
                <w:rFonts w:ascii="Calibri" w:hAnsi="Calibri"/>
                <w:i/>
                <w:color w:val="auto"/>
                <w:sz w:val="22"/>
                <w:szCs w:val="22"/>
              </w:rPr>
              <w:t>plataforma própria integrada ao site do município;</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XV - Atuar efetivamente junto ao órgão metropolitano de governo, na definição e desenvolvimento de projetos de grande impacto no município, como o Plano de Desenvolvimento Urbano Integrado (PDUI) da RMC;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XVI - Articular com os municípios integrantes da RMC com o intuito de buscar complementariedades;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XVII - Integrar e buscar recursos, juntamente com os demais municípios, referentes às ações e programas na Bacia dos Rios Piracicaba, Capivari e Jundiaí promovidas pela Agência e Comitê de Bacias;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XVIII - Assegurar às pessoas com deficiência o direito à acessibilidade, dentro dos padrões das normas técnicas da ABNT, bem como, que tenham intérpretes da Língua Brasileira de Sinais (Libras), garantindo acesso para surdos e </w:t>
            </w:r>
            <w:r w:rsidRPr="008379F2">
              <w:rPr>
                <w:rFonts w:ascii="Calibri" w:hAnsi="Calibri"/>
                <w:i/>
                <w:color w:val="auto"/>
                <w:sz w:val="22"/>
                <w:szCs w:val="22"/>
              </w:rPr>
              <w:t>surdosmudos</w:t>
            </w:r>
            <w:r w:rsidRPr="008379F2">
              <w:rPr>
                <w:rFonts w:ascii="Calibri" w:hAnsi="Calibri"/>
                <w:i/>
                <w:color w:val="auto"/>
                <w:sz w:val="22"/>
                <w:szCs w:val="22"/>
              </w:rPr>
              <w:t xml:space="preserve">;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XIX - Garantir que a construção, a reforma, a ampliação ou a mudança de uso de edificações abertas ao público, de uso público ou privado, deverão ser executadas de modo a serem acessíveis; </w:t>
            </w:r>
            <w:r w:rsidRPr="008379F2">
              <w:rPr>
                <w:rFonts w:ascii="Calibri" w:hAnsi="Calibri"/>
                <w:i/>
                <w:color w:val="auto"/>
                <w:sz w:val="22"/>
                <w:szCs w:val="22"/>
              </w:rPr>
              <w:t>e</w:t>
            </w:r>
            <w:r w:rsidRPr="008379F2">
              <w:rPr>
                <w:rFonts w:ascii="Calibri" w:hAnsi="Calibri"/>
                <w:i/>
                <w:color w:val="auto"/>
                <w:sz w:val="22"/>
                <w:szCs w:val="22"/>
              </w:rPr>
              <w:t xml:space="preserve"> </w:t>
            </w:r>
          </w:p>
          <w:p w:rsidR="00035287" w:rsidRPr="008379F2" w:rsidP="00473A76">
            <w:pPr>
              <w:pStyle w:val="Default"/>
              <w:tabs>
                <w:tab w:val="left" w:pos="2055"/>
              </w:tabs>
              <w:jc w:val="both"/>
              <w:rPr>
                <w:rFonts w:ascii="Calibri" w:hAnsi="Calibri"/>
                <w:i/>
                <w:color w:val="auto"/>
                <w:sz w:val="22"/>
                <w:szCs w:val="22"/>
              </w:rPr>
            </w:pPr>
            <w:r w:rsidRPr="008379F2">
              <w:rPr>
                <w:rFonts w:ascii="Calibri" w:hAnsi="Calibri"/>
                <w:i/>
                <w:color w:val="auto"/>
                <w:sz w:val="22"/>
                <w:szCs w:val="22"/>
              </w:rPr>
              <w:t xml:space="preserve">XX - Garantir aos novos empreendimentos a acessibilidade nas áreas comuns e, se tratando de prédios e residências entregues prontas, que garantam quantidade </w:t>
            </w:r>
            <w:r w:rsidRPr="008379F2">
              <w:rPr>
                <w:rFonts w:ascii="Calibri" w:hAnsi="Calibri"/>
                <w:i/>
                <w:color w:val="auto"/>
                <w:sz w:val="22"/>
                <w:szCs w:val="22"/>
              </w:rPr>
              <w:t>pré</w:t>
            </w:r>
            <w:r w:rsidRPr="008379F2">
              <w:rPr>
                <w:rFonts w:ascii="Calibri" w:hAnsi="Calibri"/>
                <w:i/>
                <w:color w:val="auto"/>
                <w:sz w:val="22"/>
                <w:szCs w:val="22"/>
              </w:rPr>
              <w:t xml:space="preserve"> definidas</w:t>
            </w:r>
            <w:r w:rsidRPr="008379F2">
              <w:rPr>
                <w:rFonts w:ascii="Calibri" w:hAnsi="Calibri"/>
                <w:i/>
                <w:color w:val="auto"/>
                <w:sz w:val="22"/>
                <w:szCs w:val="22"/>
              </w:rPr>
              <w:t xml:space="preserve"> para atender a acessibilidade.</w:t>
            </w:r>
          </w:p>
          <w:p w:rsidR="00035287" w:rsidRPr="008379F2" w:rsidP="00473A76">
            <w:pPr>
              <w:pStyle w:val="Default"/>
              <w:tabs>
                <w:tab w:val="left" w:pos="2055"/>
              </w:tabs>
              <w:jc w:val="both"/>
              <w:rPr>
                <w:rFonts w:ascii="Calibri" w:eastAsia="Times New Roman" w:hAnsi="Calibri" w:cs="Calibri"/>
                <w:color w:val="auto"/>
              </w:rPr>
            </w:pPr>
            <w:r w:rsidRPr="008379F2">
              <w:rPr>
                <w:rFonts w:ascii="Calibri" w:hAnsi="Calibri"/>
                <w:i/>
                <w:color w:val="auto"/>
                <w:sz w:val="22"/>
                <w:szCs w:val="22"/>
              </w:rPr>
              <w:t>(...)</w:t>
            </w:r>
          </w:p>
        </w:tc>
        <w:tc>
          <w:tcPr>
            <w:tcW w:w="4536" w:type="dxa"/>
          </w:tcPr>
          <w:p w:rsidR="002C6755" w:rsidRPr="008379F2" w:rsidP="0033057C">
            <w:pPr>
              <w:autoSpaceDE w:val="0"/>
              <w:autoSpaceDN w:val="0"/>
              <w:adjustRightInd w:val="0"/>
              <w:spacing w:after="120"/>
              <w:jc w:val="both"/>
              <w:rPr>
                <w:rFonts w:ascii="Calibri" w:eastAsia="Calibri" w:hAnsi="Calibri" w:cs="Calibri"/>
                <w:i/>
                <w:sz w:val="22"/>
                <w:szCs w:val="22"/>
              </w:rPr>
            </w:pPr>
            <w:r w:rsidRPr="008379F2">
              <w:rPr>
                <w:rFonts w:ascii="Calibri" w:eastAsia="Calibri" w:hAnsi="Calibri" w:cs="Calibri"/>
                <w:i/>
                <w:sz w:val="22"/>
                <w:szCs w:val="22"/>
              </w:rPr>
              <w:t>Art. 1° Inclui o inciso XXI no Art. 18 do Projeto de Lei 185/2022 com a seguinte redação:</w:t>
            </w:r>
          </w:p>
          <w:p w:rsidR="002C6755" w:rsidRPr="008379F2" w:rsidP="0033057C">
            <w:pPr>
              <w:autoSpaceDE w:val="0"/>
              <w:autoSpaceDN w:val="0"/>
              <w:adjustRightInd w:val="0"/>
              <w:spacing w:after="120"/>
              <w:ind w:left="176"/>
              <w:jc w:val="both"/>
              <w:rPr>
                <w:rFonts w:ascii="Calibri" w:eastAsia="Calibri" w:hAnsi="Calibri" w:cs="Calibri"/>
                <w:i/>
                <w:sz w:val="22"/>
                <w:szCs w:val="22"/>
              </w:rPr>
            </w:pPr>
            <w:r w:rsidRPr="008379F2">
              <w:rPr>
                <w:rFonts w:ascii="Calibri" w:eastAsia="Calibri" w:hAnsi="Calibri" w:cs="Calibri"/>
                <w:i/>
                <w:sz w:val="22"/>
                <w:szCs w:val="22"/>
              </w:rPr>
              <w:t>Art. 18 […]</w:t>
            </w:r>
          </w:p>
          <w:p w:rsidR="000368DD" w:rsidRPr="008379F2" w:rsidP="0033057C">
            <w:pPr>
              <w:autoSpaceDE w:val="0"/>
              <w:autoSpaceDN w:val="0"/>
              <w:adjustRightInd w:val="0"/>
              <w:spacing w:after="120"/>
              <w:ind w:left="176"/>
              <w:jc w:val="both"/>
              <w:rPr>
                <w:rFonts w:ascii="Calibri" w:hAnsi="Calibri" w:cs="Calibri"/>
                <w:b/>
              </w:rPr>
            </w:pPr>
            <w:r w:rsidRPr="008379F2">
              <w:rPr>
                <w:rFonts w:ascii="Calibri" w:eastAsia="Calibri" w:hAnsi="Calibri" w:cs="Calibri"/>
                <w:i/>
                <w:sz w:val="22"/>
                <w:szCs w:val="22"/>
              </w:rPr>
              <w:t>XXI - Realizar estudos visando à criação de uma Secretaria de Agricultura, a fim de viabilizar maiores investimentos e incentivos para a agricultura local, fortalecendo assim a manutenção da agricultura como prioridade do município.</w:t>
            </w:r>
          </w:p>
        </w:tc>
      </w:tr>
    </w:tbl>
    <w:p w:rsidR="00473A76" w:rsidRPr="008379F2" w:rsidP="002C6755">
      <w:pPr>
        <w:pStyle w:val="Default"/>
        <w:spacing w:after="240"/>
        <w:ind w:firstLine="2268"/>
        <w:jc w:val="both"/>
        <w:rPr>
          <w:rFonts w:ascii="Calibri" w:hAnsi="Calibri" w:cs="Calibri"/>
          <w:i/>
          <w:color w:val="auto"/>
          <w:sz w:val="12"/>
          <w:szCs w:val="12"/>
        </w:rPr>
      </w:pPr>
    </w:p>
    <w:p w:rsidR="001962C1" w:rsidRPr="008379F2" w:rsidP="002C6755">
      <w:pPr>
        <w:pStyle w:val="Default"/>
        <w:spacing w:after="240"/>
        <w:ind w:firstLine="2268"/>
        <w:jc w:val="both"/>
        <w:rPr>
          <w:rFonts w:ascii="Calibri" w:hAnsi="Calibri" w:cs="Calibri"/>
          <w:color w:val="auto"/>
        </w:rPr>
      </w:pPr>
      <w:r w:rsidRPr="008379F2">
        <w:rPr>
          <w:rFonts w:ascii="Calibri" w:hAnsi="Calibri" w:cs="Calibri"/>
          <w:color w:val="auto"/>
        </w:rPr>
        <w:t>Consta da justificativa do projeto:</w:t>
      </w:r>
    </w:p>
    <w:p w:rsidR="002C6755" w:rsidRPr="008379F2" w:rsidP="002C6755">
      <w:pPr>
        <w:autoSpaceDE w:val="0"/>
        <w:autoSpaceDN w:val="0"/>
        <w:adjustRightInd w:val="0"/>
        <w:spacing w:after="0" w:line="240" w:lineRule="auto"/>
        <w:ind w:left="2835"/>
        <w:jc w:val="both"/>
        <w:rPr>
          <w:rFonts w:ascii="Calibri" w:eastAsia="Calibri" w:hAnsi="Calibri" w:cs="Calibri"/>
          <w:i/>
          <w:szCs w:val="24"/>
        </w:rPr>
      </w:pPr>
      <w:r w:rsidRPr="008379F2">
        <w:rPr>
          <w:rFonts w:ascii="Calibri" w:eastAsia="Calibri" w:hAnsi="Calibri" w:cs="Calibri"/>
          <w:i/>
          <w:szCs w:val="24"/>
        </w:rPr>
        <w:t>De acordo com sugestão de entidades e associações de bairro, especialmente àquelas ligadas a bairros tradicionalmente produtores rurais, como Macuco, Reforma Agrária e Capivari.</w:t>
      </w:r>
    </w:p>
    <w:p w:rsidR="00A779B8" w:rsidRPr="008379F2" w:rsidP="00A779B8">
      <w:pPr>
        <w:pStyle w:val="Default"/>
        <w:spacing w:after="240" w:line="360" w:lineRule="auto"/>
        <w:ind w:firstLine="2268"/>
        <w:jc w:val="both"/>
        <w:rPr>
          <w:rFonts w:ascii="Calibri" w:hAnsi="Calibri" w:cs="Calibri"/>
          <w:color w:val="auto"/>
        </w:rPr>
      </w:pPr>
      <w:r w:rsidRPr="008379F2">
        <w:rPr>
          <w:rFonts w:ascii="Calibri" w:hAnsi="Calibri" w:cs="Calibri"/>
          <w:i/>
          <w:color w:val="auto"/>
        </w:rPr>
        <w:t>Ab initio</w:t>
      </w:r>
      <w:r w:rsidRPr="008379F2">
        <w:rPr>
          <w:rFonts w:ascii="Calibri" w:hAnsi="Calibri" w:cs="Calibri"/>
          <w:color w:val="auto"/>
        </w:rPr>
        <w:t>, cumpre destacar a competência regimental da Comissão de Justiça e Redação, estabelecida no artigo 38.</w:t>
      </w:r>
    </w:p>
    <w:p w:rsidR="00A779B8" w:rsidRPr="008379F2" w:rsidP="00A36A7A">
      <w:pPr>
        <w:spacing w:after="120" w:line="360" w:lineRule="auto"/>
        <w:ind w:firstLine="2268"/>
        <w:jc w:val="both"/>
        <w:rPr>
          <w:rFonts w:ascii="Calibri" w:hAnsi="Calibri" w:cs="Calibri"/>
        </w:rPr>
      </w:pPr>
      <w:r w:rsidRPr="008379F2">
        <w:rPr>
          <w:rFonts w:ascii="Calibri" w:hAnsi="Calibri" w:cs="Calibri"/>
          <w:szCs w:val="24"/>
        </w:rPr>
        <w:t>Outrossim</w:t>
      </w:r>
      <w:r w:rsidRPr="008379F2">
        <w:rPr>
          <w:rFonts w:ascii="Calibri" w:hAnsi="Calibri" w:cs="Calibri"/>
          <w:szCs w:val="24"/>
        </w:rPr>
        <w:t xml:space="preserve">, ressalta-se que a opinião jurídica exarada neste parecer </w:t>
      </w:r>
      <w:r w:rsidRPr="008379F2">
        <w:rPr>
          <w:rFonts w:ascii="Calibri" w:hAnsi="Calibri" w:cs="Calibri"/>
          <w:b/>
          <w:szCs w:val="24"/>
        </w:rPr>
        <w:t>não tem força vinculante,</w:t>
      </w:r>
      <w:r w:rsidRPr="008379F2" w:rsidR="00A36A7A">
        <w:rPr>
          <w:rFonts w:ascii="Calibri" w:hAnsi="Calibri" w:cs="Calibri"/>
          <w:szCs w:val="24"/>
        </w:rPr>
        <w:t xml:space="preserve"> sendo meramente opinativa</w:t>
      </w:r>
      <w:r>
        <w:rPr>
          <w:rStyle w:val="FootnoteReference"/>
          <w:rFonts w:ascii="Calibri" w:hAnsi="Calibri" w:cs="Calibri"/>
        </w:rPr>
        <w:footnoteReference w:id="2"/>
      </w:r>
      <w:r w:rsidRPr="008379F2" w:rsidR="00DF22E1">
        <w:rPr>
          <w:rFonts w:ascii="Calibri" w:hAnsi="Calibri" w:cs="Calibri"/>
        </w:rPr>
        <w:t xml:space="preserve"> </w:t>
      </w:r>
      <w:r w:rsidRPr="008379F2">
        <w:rPr>
          <w:rFonts w:ascii="Calibri" w:hAnsi="Calibri" w:cs="Calibri"/>
          <w:szCs w:val="24"/>
        </w:rPr>
        <w:t xml:space="preserve"> não fundamentando decisão proferida pelas Comissões e/ou nobres vereadores.</w:t>
      </w:r>
      <w:r w:rsidRPr="008379F2" w:rsidR="00A36A7A">
        <w:rPr>
          <w:rFonts w:ascii="Calibri" w:hAnsi="Calibri" w:cs="Calibri"/>
          <w:szCs w:val="24"/>
        </w:rPr>
        <w:t xml:space="preserve"> </w:t>
      </w:r>
    </w:p>
    <w:p w:rsidR="00A779B8" w:rsidRPr="008379F2" w:rsidP="00A779B8">
      <w:pPr>
        <w:tabs>
          <w:tab w:val="left" w:pos="1701"/>
        </w:tabs>
        <w:spacing w:after="240" w:line="360" w:lineRule="auto"/>
        <w:ind w:firstLine="2268"/>
        <w:jc w:val="both"/>
        <w:rPr>
          <w:rFonts w:ascii="Calibri" w:eastAsia="Calibri" w:hAnsi="Calibri" w:cs="Calibri"/>
          <w:szCs w:val="24"/>
        </w:rPr>
      </w:pPr>
      <w:r w:rsidRPr="008379F2">
        <w:rPr>
          <w:rFonts w:ascii="Calibri" w:eastAsia="Calibri" w:hAnsi="Calibri" w:cs="Calibri"/>
          <w:szCs w:val="24"/>
        </w:rPr>
        <w:t>Desta feita, considerando os aspectos jurídicos</w:t>
      </w:r>
      <w:r w:rsidRPr="008379F2" w:rsidR="001604ED">
        <w:rPr>
          <w:rFonts w:ascii="Calibri" w:eastAsia="Calibri" w:hAnsi="Calibri" w:cs="Calibri"/>
          <w:szCs w:val="24"/>
        </w:rPr>
        <w:t xml:space="preserve"> passamos para</w:t>
      </w:r>
      <w:r w:rsidRPr="008379F2">
        <w:rPr>
          <w:rFonts w:ascii="Calibri" w:eastAsia="Calibri" w:hAnsi="Calibri" w:cs="Calibri"/>
          <w:szCs w:val="24"/>
        </w:rPr>
        <w:t xml:space="preserve"> análise técnica do projeto em epígrafe solicitado.</w:t>
      </w:r>
    </w:p>
    <w:p w:rsidR="00A779B8" w:rsidRPr="008379F2" w:rsidP="00A779B8">
      <w:pPr>
        <w:spacing w:before="240" w:after="240" w:line="360" w:lineRule="auto"/>
        <w:ind w:firstLine="2268"/>
        <w:jc w:val="both"/>
        <w:rPr>
          <w:rFonts w:ascii="Calibri" w:hAnsi="Calibri" w:cs="Calibri"/>
          <w:szCs w:val="24"/>
        </w:rPr>
      </w:pPr>
      <w:r w:rsidRPr="008379F2">
        <w:rPr>
          <w:rFonts w:ascii="Calibri" w:hAnsi="Calibri" w:cs="Calibri"/>
          <w:szCs w:val="24"/>
        </w:rPr>
        <w:t>No que tange aos projetos de emendas o Regimento Interno desta Casa de Leis assim estabelece:</w:t>
      </w:r>
    </w:p>
    <w:p w:rsidR="00A779B8" w:rsidRPr="008379F2" w:rsidP="00026560">
      <w:pPr>
        <w:autoSpaceDE w:val="0"/>
        <w:autoSpaceDN w:val="0"/>
        <w:adjustRightInd w:val="0"/>
        <w:spacing w:after="120"/>
        <w:ind w:left="2835"/>
        <w:jc w:val="both"/>
        <w:rPr>
          <w:rFonts w:ascii="Calibri" w:hAnsi="Calibri" w:cs="Calibri"/>
          <w:i/>
          <w:sz w:val="22"/>
          <w:szCs w:val="22"/>
          <w:u w:val="single"/>
        </w:rPr>
      </w:pPr>
      <w:r w:rsidRPr="008379F2">
        <w:rPr>
          <w:rFonts w:ascii="Calibri" w:hAnsi="Calibri" w:cs="Calibri"/>
          <w:i/>
          <w:sz w:val="22"/>
          <w:szCs w:val="22"/>
        </w:rPr>
        <w:t xml:space="preserve">Art. 140. </w:t>
      </w:r>
      <w:r w:rsidRPr="008379F2">
        <w:rPr>
          <w:rFonts w:ascii="Calibri" w:hAnsi="Calibri" w:cs="Calibri"/>
          <w:b/>
          <w:i/>
          <w:sz w:val="22"/>
          <w:szCs w:val="22"/>
          <w:u w:val="single"/>
        </w:rPr>
        <w:t>Emenda é a correção apresentada a um dispositivo de projeto de lei ou de resolução.</w:t>
      </w:r>
      <w:r w:rsidRPr="008379F2">
        <w:rPr>
          <w:rFonts w:ascii="Calibri" w:hAnsi="Calibri" w:cs="Calibri"/>
          <w:i/>
          <w:sz w:val="22"/>
          <w:szCs w:val="22"/>
          <w:u w:val="single"/>
        </w:rPr>
        <w:t xml:space="preserve"> </w:t>
      </w:r>
    </w:p>
    <w:p w:rsidR="00A779B8" w:rsidRPr="008379F2" w:rsidP="00026560">
      <w:pPr>
        <w:autoSpaceDE w:val="0"/>
        <w:autoSpaceDN w:val="0"/>
        <w:adjustRightInd w:val="0"/>
        <w:spacing w:after="120"/>
        <w:ind w:left="2835"/>
        <w:jc w:val="both"/>
        <w:rPr>
          <w:rFonts w:ascii="Calibri" w:hAnsi="Calibri" w:cs="Calibri"/>
          <w:i/>
          <w:sz w:val="22"/>
          <w:szCs w:val="22"/>
        </w:rPr>
      </w:pPr>
      <w:r w:rsidRPr="008379F2">
        <w:rPr>
          <w:rFonts w:ascii="Calibri" w:hAnsi="Calibri" w:cs="Calibri"/>
          <w:i/>
          <w:sz w:val="22"/>
          <w:szCs w:val="22"/>
        </w:rPr>
        <w:t xml:space="preserve">§ 1º. Emenda supressiva é a que manda suprimir, em parte ou no todo, o artigo do projeto. </w:t>
      </w:r>
    </w:p>
    <w:p w:rsidR="00A779B8" w:rsidRPr="008379F2" w:rsidP="00026560">
      <w:pPr>
        <w:autoSpaceDE w:val="0"/>
        <w:autoSpaceDN w:val="0"/>
        <w:adjustRightInd w:val="0"/>
        <w:spacing w:after="120"/>
        <w:ind w:left="2835"/>
        <w:jc w:val="both"/>
        <w:rPr>
          <w:rFonts w:ascii="Calibri" w:hAnsi="Calibri" w:cs="Calibri"/>
          <w:i/>
          <w:sz w:val="22"/>
          <w:szCs w:val="22"/>
        </w:rPr>
      </w:pPr>
      <w:r w:rsidRPr="008379F2">
        <w:rPr>
          <w:rFonts w:ascii="Calibri" w:hAnsi="Calibri" w:cs="Calibri"/>
          <w:i/>
          <w:sz w:val="22"/>
          <w:szCs w:val="22"/>
        </w:rPr>
        <w:t xml:space="preserve">§ 2º. Emenda substitutiva é a que deve ser colocada no lugar do artigo. </w:t>
      </w:r>
    </w:p>
    <w:p w:rsidR="00A779B8" w:rsidRPr="008379F2" w:rsidP="00026560">
      <w:pPr>
        <w:autoSpaceDE w:val="0"/>
        <w:autoSpaceDN w:val="0"/>
        <w:adjustRightInd w:val="0"/>
        <w:spacing w:after="120"/>
        <w:ind w:left="2835"/>
        <w:jc w:val="both"/>
        <w:rPr>
          <w:rFonts w:ascii="Calibri" w:hAnsi="Calibri" w:cs="Calibri"/>
          <w:b/>
          <w:i/>
          <w:sz w:val="22"/>
          <w:szCs w:val="22"/>
        </w:rPr>
      </w:pPr>
      <w:r w:rsidRPr="008379F2">
        <w:rPr>
          <w:rFonts w:ascii="Calibri" w:hAnsi="Calibri" w:cs="Calibri"/>
          <w:i/>
          <w:sz w:val="22"/>
          <w:szCs w:val="22"/>
        </w:rPr>
        <w:t>§ 3º. Emenda aditiva é a que deve ser acrescentada aos termos do artigo</w:t>
      </w:r>
      <w:r w:rsidRPr="008379F2">
        <w:rPr>
          <w:rFonts w:ascii="Calibri" w:hAnsi="Calibri" w:cs="Calibri"/>
          <w:b/>
          <w:i/>
          <w:sz w:val="22"/>
          <w:szCs w:val="22"/>
        </w:rPr>
        <w:t xml:space="preserve">. </w:t>
      </w:r>
    </w:p>
    <w:p w:rsidR="00A779B8" w:rsidRPr="008379F2" w:rsidP="00026560">
      <w:pPr>
        <w:autoSpaceDE w:val="0"/>
        <w:autoSpaceDN w:val="0"/>
        <w:adjustRightInd w:val="0"/>
        <w:spacing w:after="120"/>
        <w:ind w:left="2835"/>
        <w:jc w:val="both"/>
        <w:rPr>
          <w:rFonts w:ascii="Calibri" w:hAnsi="Calibri" w:cs="Calibri"/>
          <w:i/>
          <w:sz w:val="22"/>
          <w:szCs w:val="22"/>
        </w:rPr>
      </w:pPr>
      <w:r w:rsidRPr="008379F2">
        <w:rPr>
          <w:rFonts w:ascii="Calibri" w:hAnsi="Calibri" w:cs="Calibri"/>
          <w:i/>
          <w:sz w:val="22"/>
          <w:szCs w:val="22"/>
        </w:rPr>
        <w:t xml:space="preserve">§ 4º. Emenda modificativa é a que se refere apenas à redação do artigo, sem alterar a sua substância. </w:t>
      </w:r>
    </w:p>
    <w:p w:rsidR="00A779B8" w:rsidRPr="008379F2" w:rsidP="00026560">
      <w:pPr>
        <w:autoSpaceDE w:val="0"/>
        <w:autoSpaceDN w:val="0"/>
        <w:adjustRightInd w:val="0"/>
        <w:spacing w:after="120"/>
        <w:ind w:left="2835"/>
        <w:jc w:val="both"/>
        <w:rPr>
          <w:rFonts w:ascii="Calibri" w:hAnsi="Calibri" w:cs="Calibri"/>
          <w:i/>
          <w:sz w:val="22"/>
          <w:szCs w:val="22"/>
        </w:rPr>
      </w:pPr>
      <w:r w:rsidRPr="008379F2">
        <w:rPr>
          <w:rFonts w:ascii="Calibri" w:hAnsi="Calibri" w:cs="Calibri"/>
          <w:i/>
          <w:sz w:val="22"/>
          <w:szCs w:val="22"/>
        </w:rPr>
        <w:t xml:space="preserve">§ 5º. A emenda apresentada à outra emenda denomina-se subemenda. </w:t>
      </w:r>
    </w:p>
    <w:p w:rsidR="00A779B8" w:rsidRPr="008379F2" w:rsidP="00026560">
      <w:pPr>
        <w:autoSpaceDE w:val="0"/>
        <w:autoSpaceDN w:val="0"/>
        <w:adjustRightInd w:val="0"/>
        <w:spacing w:after="120"/>
        <w:ind w:left="2835"/>
        <w:jc w:val="both"/>
        <w:rPr>
          <w:rFonts w:ascii="Calibri" w:hAnsi="Calibri" w:cs="Calibri"/>
          <w:b/>
          <w:i/>
          <w:sz w:val="22"/>
          <w:szCs w:val="22"/>
        </w:rPr>
      </w:pPr>
      <w:r w:rsidRPr="008379F2">
        <w:rPr>
          <w:rFonts w:ascii="Calibri" w:hAnsi="Calibri" w:cs="Calibri"/>
          <w:i/>
          <w:sz w:val="22"/>
          <w:szCs w:val="22"/>
        </w:rPr>
        <w:t xml:space="preserve">Art. 141. </w:t>
      </w:r>
      <w:r w:rsidRPr="008379F2">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8379F2" w:rsidP="00026560">
      <w:pPr>
        <w:autoSpaceDE w:val="0"/>
        <w:autoSpaceDN w:val="0"/>
        <w:adjustRightInd w:val="0"/>
        <w:spacing w:after="120"/>
        <w:ind w:left="2835"/>
        <w:jc w:val="both"/>
        <w:rPr>
          <w:rFonts w:ascii="Calibri" w:hAnsi="Calibri" w:cs="Calibri"/>
          <w:i/>
          <w:sz w:val="22"/>
          <w:szCs w:val="22"/>
        </w:rPr>
      </w:pPr>
      <w:r w:rsidRPr="008379F2">
        <w:rPr>
          <w:rFonts w:ascii="Calibri" w:hAnsi="Calibri" w:cs="Calibri"/>
          <w:i/>
          <w:sz w:val="22"/>
          <w:szCs w:val="22"/>
        </w:rPr>
        <w:t xml:space="preserve">§ 1º. O autor do projeto que receber substitutivo ou </w:t>
      </w:r>
      <w:r w:rsidRPr="008379F2">
        <w:rPr>
          <w:rFonts w:ascii="Calibri" w:hAnsi="Calibri" w:cs="Calibri"/>
          <w:i/>
          <w:sz w:val="22"/>
          <w:szCs w:val="22"/>
        </w:rPr>
        <w:t>emenda estranhos</w:t>
      </w:r>
      <w:r w:rsidRPr="008379F2">
        <w:rPr>
          <w:rFonts w:ascii="Calibri" w:hAnsi="Calibri" w:cs="Calibri"/>
          <w:i/>
          <w:sz w:val="22"/>
          <w:szCs w:val="22"/>
        </w:rPr>
        <w:t xml:space="preserve"> ao seu objetivo terá o direito de reclamar contra a sua admissão, competindo ao Presidente decidir sobre a reclamação. </w:t>
      </w:r>
    </w:p>
    <w:p w:rsidR="00A779B8" w:rsidRPr="008379F2" w:rsidP="00026560">
      <w:pPr>
        <w:autoSpaceDE w:val="0"/>
        <w:autoSpaceDN w:val="0"/>
        <w:adjustRightInd w:val="0"/>
        <w:spacing w:after="120"/>
        <w:ind w:left="2835"/>
        <w:jc w:val="both"/>
        <w:rPr>
          <w:rFonts w:ascii="Calibri" w:hAnsi="Calibri" w:cs="Calibri"/>
          <w:i/>
          <w:sz w:val="22"/>
          <w:szCs w:val="22"/>
        </w:rPr>
      </w:pPr>
      <w:r w:rsidRPr="008379F2">
        <w:rPr>
          <w:rFonts w:ascii="Calibri" w:hAnsi="Calibri" w:cs="Calibri"/>
          <w:i/>
          <w:sz w:val="22"/>
          <w:szCs w:val="22"/>
        </w:rPr>
        <w:t>§ 2º. Da decisão do Presidente caberá recurso ao Plenário, a ser proposto pelo autor do projeto ou do substitutivo ou emenda.</w:t>
      </w:r>
    </w:p>
    <w:p w:rsidR="00A779B8" w:rsidRPr="008379F2" w:rsidP="00A779B8">
      <w:pPr>
        <w:autoSpaceDE w:val="0"/>
        <w:autoSpaceDN w:val="0"/>
        <w:adjustRightInd w:val="0"/>
        <w:spacing w:before="120"/>
        <w:ind w:left="2835"/>
        <w:jc w:val="both"/>
        <w:rPr>
          <w:rFonts w:ascii="Calibri" w:hAnsi="Calibri" w:cs="Calibri"/>
          <w:i/>
          <w:sz w:val="12"/>
          <w:szCs w:val="12"/>
        </w:rPr>
      </w:pPr>
    </w:p>
    <w:p w:rsidR="00026560" w:rsidRPr="008379F2" w:rsidP="00026560">
      <w:pPr>
        <w:autoSpaceDE w:val="0"/>
        <w:autoSpaceDN w:val="0"/>
        <w:adjustRightInd w:val="0"/>
        <w:spacing w:before="240" w:after="240" w:line="360" w:lineRule="auto"/>
        <w:ind w:firstLine="2268"/>
        <w:jc w:val="both"/>
        <w:rPr>
          <w:rFonts w:ascii="Calibri" w:hAnsi="Calibri" w:cs="Calibri"/>
        </w:rPr>
      </w:pPr>
      <w:r w:rsidRPr="008379F2">
        <w:rPr>
          <w:rFonts w:ascii="Calibri" w:hAnsi="Calibri" w:cs="Calibri"/>
          <w:szCs w:val="24"/>
        </w:rPr>
        <w:t xml:space="preserve">Destarte, verifica-se que o projeto de emenda atende aos dispositivos do Regimento Interno da Câmara, </w:t>
      </w:r>
      <w:r w:rsidRPr="008379F2" w:rsidR="00E86B5F">
        <w:rPr>
          <w:rFonts w:ascii="Calibri" w:hAnsi="Calibri" w:eastAsiaTheme="minorHAnsi" w:cs="Calibri"/>
          <w:bCs/>
          <w:lang w:eastAsia="en-US"/>
        </w:rPr>
        <w:t>tratando-se de emenda que tem relação direta com a matéria da proposição principal,</w:t>
      </w:r>
      <w:r w:rsidRPr="008379F2" w:rsidR="00E86B5F">
        <w:rPr>
          <w:rFonts w:ascii="Calibri" w:hAnsi="Calibri" w:cs="Calibri"/>
        </w:rPr>
        <w:t xml:space="preserve"> não havendo óbice na sua tramitação.</w:t>
      </w:r>
    </w:p>
    <w:p w:rsidR="00E86B5F" w:rsidRPr="008379F2"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8379F2">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8379F2">
        <w:rPr>
          <w:rFonts w:ascii="Calibri" w:hAnsi="Calibri" w:eastAsiaTheme="minorHAnsi" w:cs="Calibri"/>
          <w:b/>
          <w:szCs w:val="24"/>
          <w:u w:val="single"/>
          <w:lang w:eastAsia="en-US"/>
        </w:rPr>
        <w:t>desde que guardem pertinência temática com o projeto</w:t>
      </w:r>
      <w:r w:rsidRPr="008379F2">
        <w:rPr>
          <w:rFonts w:ascii="Calibri" w:hAnsi="Calibri" w:eastAsiaTheme="minorHAnsi" w:cs="Calibri"/>
          <w:b/>
          <w:szCs w:val="24"/>
          <w:lang w:eastAsia="en-US"/>
        </w:rPr>
        <w:t xml:space="preserve"> </w:t>
      </w:r>
      <w:r w:rsidRPr="008379F2">
        <w:rPr>
          <w:rFonts w:ascii="Calibri" w:hAnsi="Calibri" w:eastAsiaTheme="minorHAnsi" w:cs="Calibri"/>
          <w:b/>
          <w:szCs w:val="24"/>
          <w:u w:val="single"/>
          <w:lang w:eastAsia="en-US"/>
        </w:rPr>
        <w:t xml:space="preserve">e não </w:t>
      </w:r>
      <w:r w:rsidRPr="008379F2">
        <w:rPr>
          <w:rFonts w:ascii="Calibri" w:hAnsi="Calibri" w:eastAsiaTheme="minorHAnsi" w:cs="Calibri"/>
          <w:b/>
          <w:szCs w:val="24"/>
          <w:u w:val="single"/>
          <w:lang w:eastAsia="en-US"/>
        </w:rPr>
        <w:t>importem</w:t>
      </w:r>
      <w:r w:rsidRPr="008379F2">
        <w:rPr>
          <w:rFonts w:ascii="Calibri" w:hAnsi="Calibri" w:eastAsiaTheme="minorHAnsi" w:cs="Calibri"/>
          <w:b/>
          <w:szCs w:val="24"/>
          <w:u w:val="single"/>
          <w:lang w:eastAsia="en-US"/>
        </w:rPr>
        <w:t xml:space="preserve"> em aumento de despesas</w:t>
      </w:r>
      <w:r w:rsidRPr="008379F2" w:rsidR="000368DD">
        <w:rPr>
          <w:rFonts w:ascii="Calibri" w:hAnsi="Calibri" w:eastAsiaTheme="minorHAnsi" w:cs="Calibri"/>
          <w:b/>
          <w:szCs w:val="24"/>
          <w:u w:val="single"/>
          <w:lang w:eastAsia="en-US"/>
        </w:rPr>
        <w:t xml:space="preserve">, </w:t>
      </w:r>
      <w:r w:rsidRPr="008379F2" w:rsidR="000368DD">
        <w:rPr>
          <w:rFonts w:ascii="Calibri" w:hAnsi="Calibri" w:eastAsiaTheme="minorHAnsi" w:cs="Calibri"/>
          <w:szCs w:val="24"/>
          <w:lang w:eastAsia="en-US"/>
        </w:rPr>
        <w:t>o que desde já se observa na emenda em análise</w:t>
      </w:r>
      <w:r w:rsidRPr="008379F2">
        <w:rPr>
          <w:rFonts w:ascii="Calibri" w:hAnsi="Calibri" w:eastAsiaTheme="minorHAnsi" w:cs="Calibri"/>
          <w:szCs w:val="24"/>
          <w:lang w:eastAsia="en-US"/>
        </w:rPr>
        <w:t>:</w:t>
      </w:r>
    </w:p>
    <w:p w:rsidR="00E86B5F" w:rsidRPr="008379F2"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8379F2">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8379F2"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8379F2">
        <w:rPr>
          <w:rFonts w:ascii="Calibri" w:hAnsi="Calibri" w:eastAsiaTheme="minorHAnsi" w:cs="Calibri"/>
          <w:i/>
          <w:sz w:val="22"/>
          <w:szCs w:val="22"/>
          <w:lang w:eastAsia="en-US"/>
        </w:rPr>
        <w:t xml:space="preserve">1. </w:t>
      </w:r>
      <w:r w:rsidRPr="008379F2">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8379F2"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8379F2">
        <w:rPr>
          <w:rFonts w:ascii="Calibri" w:hAnsi="Calibri" w:eastAsiaTheme="minorHAnsi" w:cs="Calibri"/>
          <w:i/>
          <w:sz w:val="22"/>
          <w:szCs w:val="22"/>
          <w:lang w:eastAsia="en-US"/>
        </w:rPr>
        <w:t xml:space="preserve">2. As normas impugnadas, decorrentes de emendas parlamentares, estabelecem o procedimento a ser adotado pelo Poder Executivo estadual para a realização de inscrições no Cadastro de Contratações Temporárias, tema não incluído </w:t>
      </w:r>
      <w:r w:rsidRPr="008379F2">
        <w:rPr>
          <w:rFonts w:ascii="Calibri" w:hAnsi="Calibri" w:eastAsiaTheme="minorHAnsi" w:cs="Calibri"/>
          <w:i/>
          <w:sz w:val="22"/>
          <w:szCs w:val="22"/>
          <w:lang w:eastAsia="en-US"/>
        </w:rPr>
        <w:t>entre aqueles cujos projetos de lei são de iniciativa privativa do Governador do Estado.</w:t>
      </w:r>
    </w:p>
    <w:p w:rsidR="00E86B5F" w:rsidRPr="008379F2"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8379F2">
        <w:rPr>
          <w:rFonts w:ascii="Calibri" w:hAnsi="Calibri" w:eastAsiaTheme="minorHAnsi" w:cs="Calibri"/>
          <w:i/>
          <w:sz w:val="22"/>
          <w:szCs w:val="22"/>
          <w:lang w:eastAsia="en-US"/>
        </w:rPr>
        <w:t>3. Ação direta de inconstitucionalidade julgada improcedente.</w:t>
      </w:r>
    </w:p>
    <w:p w:rsidR="00E86B5F" w:rsidRPr="008379F2" w:rsidP="000E2AF4">
      <w:pPr>
        <w:shd w:val="clear" w:color="auto" w:fill="FFFFFF"/>
        <w:spacing w:before="120" w:after="120"/>
        <w:ind w:left="2835"/>
        <w:jc w:val="both"/>
        <w:rPr>
          <w:rFonts w:ascii="Calibri" w:hAnsi="Calibri" w:cs="Calibri"/>
          <w:i/>
        </w:rPr>
      </w:pPr>
      <w:r w:rsidRPr="008379F2">
        <w:rPr>
          <w:rFonts w:ascii="Calibri" w:hAnsi="Calibri" w:cs="Calibri"/>
          <w:i/>
        </w:rPr>
        <w:t>(STF. ADI 2583 RS. Plenário, 01.08.2011</w:t>
      </w:r>
      <w:r w:rsidRPr="008379F2">
        <w:rPr>
          <w:rFonts w:ascii="Calibri" w:hAnsi="Calibri" w:cs="Calibri"/>
          <w:i/>
        </w:rPr>
        <w:t>)</w:t>
      </w:r>
    </w:p>
    <w:p w:rsidR="00E86B5F" w:rsidRPr="008379F2" w:rsidP="00E86B5F">
      <w:pPr>
        <w:shd w:val="clear" w:color="auto" w:fill="FFFFFF"/>
        <w:ind w:left="2268"/>
        <w:jc w:val="both"/>
        <w:rPr>
          <w:rFonts w:ascii="Calibri" w:hAnsi="Calibri" w:cs="Calibri"/>
          <w:i/>
          <w:sz w:val="12"/>
          <w:szCs w:val="12"/>
        </w:rPr>
      </w:pPr>
    </w:p>
    <w:p w:rsidR="00E86B5F" w:rsidRPr="008379F2" w:rsidP="00F50ADA">
      <w:pPr>
        <w:spacing w:after="240" w:line="360" w:lineRule="auto"/>
        <w:ind w:firstLine="2268"/>
        <w:jc w:val="both"/>
        <w:rPr>
          <w:rFonts w:ascii="Calibri" w:hAnsi="Calibri" w:cs="Calibri"/>
          <w:szCs w:val="24"/>
        </w:rPr>
      </w:pPr>
      <w:r w:rsidRPr="008379F2">
        <w:rPr>
          <w:rFonts w:ascii="Calibri" w:hAnsi="Calibri" w:cs="Calibri"/>
          <w:szCs w:val="24"/>
        </w:rPr>
        <w:t>No mesmo sentido o Tribunal de Justiça do Estado de São Paulo:</w:t>
      </w:r>
    </w:p>
    <w:p w:rsidR="00E86B5F" w:rsidRPr="008379F2" w:rsidP="00F50ADA">
      <w:pPr>
        <w:spacing w:after="240"/>
        <w:ind w:left="2835"/>
        <w:jc w:val="both"/>
        <w:rPr>
          <w:rFonts w:ascii="Calibri" w:hAnsi="Calibri" w:cs="Calibri"/>
          <w:i/>
          <w:sz w:val="22"/>
          <w:szCs w:val="22"/>
        </w:rPr>
      </w:pPr>
      <w:r w:rsidRPr="008379F2">
        <w:rPr>
          <w:rFonts w:ascii="Calibri" w:hAnsi="Calibri" w:cs="Calibri"/>
          <w:i/>
          <w:sz w:val="22"/>
          <w:szCs w:val="22"/>
        </w:rPr>
        <w:t xml:space="preserve">PARÂMETRO DE CONSTITUCIONALIDADE. Compatibilidade entre a norma </w:t>
      </w:r>
      <w:r w:rsidRPr="008379F2">
        <w:rPr>
          <w:rFonts w:ascii="Calibri" w:hAnsi="Calibri" w:cs="Calibri"/>
          <w:i/>
          <w:sz w:val="22"/>
          <w:szCs w:val="22"/>
        </w:rPr>
        <w:t>impugnada e dispositivos da Lei Orgânica Municipal e do Regimento Interno da Câmara</w:t>
      </w:r>
      <w:r w:rsidRPr="008379F2">
        <w:rPr>
          <w:rFonts w:ascii="Calibri" w:hAnsi="Calibri" w:cs="Calibri"/>
          <w:i/>
          <w:sz w:val="22"/>
          <w:szCs w:val="22"/>
        </w:rPr>
        <w:t xml:space="preserve">. Inadmissibilidade. Aplicação dos artigos 125, § 2º, da CF, e 74, </w:t>
      </w:r>
      <w:r w:rsidRPr="008379F2">
        <w:rPr>
          <w:rFonts w:ascii="Calibri" w:hAnsi="Calibri" w:cs="Calibri"/>
          <w:i/>
          <w:sz w:val="22"/>
          <w:szCs w:val="22"/>
        </w:rPr>
        <w:t>VI</w:t>
      </w:r>
      <w:r w:rsidRPr="008379F2">
        <w:rPr>
          <w:rFonts w:ascii="Calibri" w:hAnsi="Calibri" w:cs="Calibri"/>
          <w:i/>
          <w:sz w:val="22"/>
          <w:szCs w:val="22"/>
        </w:rPr>
        <w:t xml:space="preserve">, da CE. Precedentes. Não conheço da ação quanto aos parâmetros apontados LOM e Regimento Interno da Câmara. </w:t>
      </w:r>
    </w:p>
    <w:p w:rsidR="00E86B5F" w:rsidRPr="008379F2" w:rsidP="00026560">
      <w:pPr>
        <w:spacing w:after="240"/>
        <w:ind w:left="2835"/>
        <w:jc w:val="both"/>
        <w:rPr>
          <w:rFonts w:ascii="Calibri" w:hAnsi="Calibri" w:cs="Calibri"/>
          <w:i/>
          <w:sz w:val="22"/>
          <w:szCs w:val="22"/>
        </w:rPr>
      </w:pPr>
      <w:r w:rsidRPr="008379F2">
        <w:rPr>
          <w:rFonts w:ascii="Calibri" w:hAnsi="Calibri" w:cs="Calibri"/>
          <w:i/>
          <w:sz w:val="22"/>
          <w:szCs w:val="22"/>
        </w:rPr>
        <w:t xml:space="preserve">AÇÃO DIRETA DE INCONSTITUCIONALIDADE Art. 1º da LC nº 2.064, de 04.03.20, do Município de </w:t>
      </w:r>
      <w:r w:rsidRPr="008379F2">
        <w:rPr>
          <w:rFonts w:ascii="Calibri" w:hAnsi="Calibri" w:cs="Calibri"/>
          <w:i/>
          <w:sz w:val="22"/>
          <w:szCs w:val="22"/>
        </w:rPr>
        <w:t>Icém</w:t>
      </w:r>
      <w:r w:rsidRPr="008379F2">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8379F2">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8379F2">
        <w:rPr>
          <w:rFonts w:ascii="Calibri" w:hAnsi="Calibri" w:cs="Calibri"/>
          <w:b/>
          <w:i/>
          <w:sz w:val="22"/>
          <w:szCs w:val="22"/>
        </w:rPr>
        <w:t>ii</w:t>
      </w:r>
      <w:r w:rsidRPr="008379F2">
        <w:rPr>
          <w:rFonts w:ascii="Calibri" w:hAnsi="Calibri" w:cs="Calibri"/>
          <w:b/>
          <w:i/>
          <w:sz w:val="22"/>
          <w:szCs w:val="22"/>
        </w:rPr>
        <w:t>) não acarretem aumento de despesa.</w:t>
      </w:r>
      <w:r w:rsidRPr="008379F2">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8379F2">
        <w:rPr>
          <w:rFonts w:ascii="Calibri" w:hAnsi="Calibri" w:cs="Calibri"/>
          <w:i/>
          <w:sz w:val="22"/>
          <w:szCs w:val="22"/>
        </w:rPr>
        <w:t>são</w:t>
      </w:r>
      <w:r w:rsidRPr="008379F2">
        <w:rPr>
          <w:rFonts w:ascii="Calibri" w:hAnsi="Calibri" w:cs="Calibri"/>
          <w:i/>
          <w:sz w:val="22"/>
          <w:szCs w:val="22"/>
        </w:rPr>
        <w:t xml:space="preserve"> decorrência lógica do teor da emenda. Princípio da isonomia. Ausente </w:t>
      </w:r>
      <w:r w:rsidRPr="008379F2">
        <w:rPr>
          <w:rFonts w:ascii="Calibri" w:hAnsi="Calibri" w:cs="Calibri"/>
          <w:i/>
          <w:sz w:val="22"/>
          <w:szCs w:val="22"/>
        </w:rPr>
        <w:t>a</w:t>
      </w:r>
      <w:r w:rsidRPr="008379F2">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w:t>
      </w:r>
      <w:r w:rsidRPr="008379F2">
        <w:rPr>
          <w:rFonts w:ascii="Calibri" w:hAnsi="Calibri" w:cs="Calibri"/>
          <w:i/>
          <w:sz w:val="22"/>
          <w:szCs w:val="22"/>
        </w:rPr>
        <w:t xml:space="preserve">vivenciada pelo Município e da grande quantia de cargos em comissão irregulares lá existentes, muitos dos quais recentemente invalidados por este </w:t>
      </w:r>
      <w:r w:rsidRPr="008379F2">
        <w:rPr>
          <w:rFonts w:ascii="Calibri" w:hAnsi="Calibri" w:cs="Calibri"/>
          <w:i/>
          <w:sz w:val="22"/>
          <w:szCs w:val="22"/>
        </w:rPr>
        <w:t>Eg</w:t>
      </w:r>
      <w:r w:rsidRPr="008379F2">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8379F2" w:rsidR="00026560">
        <w:rPr>
          <w:rFonts w:ascii="Calibri" w:hAnsi="Calibri" w:cs="Calibri"/>
          <w:i/>
          <w:sz w:val="22"/>
          <w:szCs w:val="22"/>
        </w:rPr>
        <w:t xml:space="preserve"> </w:t>
      </w:r>
      <w:r w:rsidRPr="008379F2">
        <w:rPr>
          <w:rFonts w:ascii="Calibri" w:hAnsi="Calibri" w:cs="Calibri"/>
          <w:i/>
          <w:sz w:val="22"/>
          <w:szCs w:val="22"/>
        </w:rPr>
        <w:t xml:space="preserve">(TJSP. Adin nº 2044212-77.2020.8.26.0000. </w:t>
      </w:r>
      <w:bookmarkStart w:id="0" w:name="_GoBack"/>
      <w:bookmarkEnd w:id="0"/>
      <w:r w:rsidRPr="008379F2">
        <w:rPr>
          <w:rFonts w:ascii="Calibri" w:hAnsi="Calibri" w:cs="Calibri"/>
          <w:i/>
          <w:sz w:val="22"/>
          <w:szCs w:val="22"/>
        </w:rPr>
        <w:t>Rel. Des. Evaristo dos Santos. Data de Julgamento: 12/08/2020</w:t>
      </w:r>
      <w:r w:rsidRPr="008379F2">
        <w:rPr>
          <w:rFonts w:ascii="Calibri" w:hAnsi="Calibri" w:cs="Calibri"/>
          <w:i/>
          <w:sz w:val="22"/>
          <w:szCs w:val="22"/>
        </w:rPr>
        <w:t>)</w:t>
      </w:r>
    </w:p>
    <w:p w:rsidR="001962C1" w:rsidRPr="008379F2" w:rsidP="00074468">
      <w:pPr>
        <w:pStyle w:val="BodyText"/>
        <w:spacing w:after="240" w:line="360" w:lineRule="auto"/>
        <w:ind w:firstLine="2268"/>
        <w:jc w:val="both"/>
        <w:rPr>
          <w:rFonts w:ascii="Calibri" w:hAnsi="Calibri" w:cs="Calibri"/>
          <w:szCs w:val="24"/>
        </w:rPr>
      </w:pPr>
      <w:r w:rsidRPr="008379F2">
        <w:rPr>
          <w:rFonts w:ascii="Calibri" w:hAnsi="Calibri" w:cs="Calibri"/>
          <w:szCs w:val="24"/>
        </w:rPr>
        <w:t xml:space="preserve">Por fim, quanto ao aspecto gramatical e lógico </w:t>
      </w:r>
      <w:r w:rsidRPr="008379F2">
        <w:rPr>
          <w:rFonts w:ascii="Calibri" w:hAnsi="Calibri" w:cs="Calibri"/>
          <w:szCs w:val="24"/>
        </w:rPr>
        <w:t>o projeto atende aos</w:t>
      </w:r>
      <w:r w:rsidRPr="008379F2">
        <w:rPr>
          <w:rFonts w:ascii="Calibri" w:hAnsi="Calibri" w:cs="Calibri"/>
          <w:szCs w:val="24"/>
        </w:rPr>
        <w:t xml:space="preserve"> preceitos da Lei Complementar nº 95 de 1998 que dispõe sobre a elaboração, redação, alt</w:t>
      </w:r>
      <w:r w:rsidRPr="008379F2">
        <w:rPr>
          <w:rFonts w:ascii="Calibri" w:hAnsi="Calibri" w:cs="Calibri"/>
          <w:szCs w:val="24"/>
        </w:rPr>
        <w:t>eração e consolidação das leis.</w:t>
      </w:r>
    </w:p>
    <w:p w:rsidR="00F50ADA" w:rsidRPr="008379F2" w:rsidP="00074468">
      <w:pPr>
        <w:pStyle w:val="BodyText"/>
        <w:spacing w:after="240" w:line="360" w:lineRule="auto"/>
        <w:ind w:firstLine="2268"/>
        <w:jc w:val="both"/>
        <w:rPr>
          <w:rFonts w:ascii="Calibri" w:hAnsi="Calibri" w:cs="Calibri"/>
          <w:bCs/>
          <w:snapToGrid w:val="0"/>
          <w:szCs w:val="26"/>
        </w:rPr>
      </w:pPr>
      <w:r w:rsidRPr="008379F2">
        <w:rPr>
          <w:rFonts w:ascii="Calibri" w:hAnsi="Calibri" w:cs="Calibri"/>
          <w:szCs w:val="24"/>
        </w:rPr>
        <w:t xml:space="preserve">Ante o exposto, conclui-se pela constitucionalidade </w:t>
      </w:r>
      <w:r w:rsidRPr="008379F2" w:rsidR="001962C1">
        <w:rPr>
          <w:rFonts w:ascii="Calibri" w:hAnsi="Calibri" w:cs="Calibri"/>
          <w:szCs w:val="24"/>
        </w:rPr>
        <w:t xml:space="preserve">e legalidade </w:t>
      </w:r>
      <w:r w:rsidRPr="008379F2">
        <w:rPr>
          <w:rFonts w:ascii="Calibri" w:hAnsi="Calibri" w:cs="Calibri"/>
          <w:szCs w:val="24"/>
        </w:rPr>
        <w:t>do projeto de emenda</w:t>
      </w:r>
      <w:r w:rsidRPr="008379F2" w:rsidR="001962C1">
        <w:rPr>
          <w:rFonts w:ascii="Calibri" w:hAnsi="Calibri" w:cs="Calibri"/>
          <w:szCs w:val="24"/>
        </w:rPr>
        <w:t>.</w:t>
      </w:r>
      <w:r w:rsidRPr="008379F2">
        <w:rPr>
          <w:rFonts w:ascii="Calibri" w:hAnsi="Calibri" w:cs="Calibri"/>
          <w:szCs w:val="24"/>
        </w:rPr>
        <w:t xml:space="preserve"> </w:t>
      </w:r>
      <w:r w:rsidRPr="008379F2" w:rsidR="00A779B8">
        <w:rPr>
          <w:rFonts w:ascii="Calibri" w:hAnsi="Calibri" w:cs="Calibri"/>
          <w:szCs w:val="24"/>
        </w:rPr>
        <w:t>Sobre o mérito, manifestar-se-á o Soberano Plenário.</w:t>
      </w:r>
    </w:p>
    <w:p w:rsidR="00F50ADA" w:rsidRPr="008379F2" w:rsidP="00026560">
      <w:pPr>
        <w:autoSpaceDE w:val="0"/>
        <w:autoSpaceDN w:val="0"/>
        <w:adjustRightInd w:val="0"/>
        <w:spacing w:before="120" w:after="120" w:line="360" w:lineRule="auto"/>
        <w:ind w:firstLine="2268"/>
        <w:jc w:val="both"/>
        <w:rPr>
          <w:rFonts w:ascii="Calibri" w:hAnsi="Calibri" w:cs="Calibri"/>
          <w:szCs w:val="24"/>
        </w:rPr>
      </w:pPr>
      <w:r w:rsidRPr="008379F2">
        <w:rPr>
          <w:rFonts w:ascii="Calibri" w:hAnsi="Calibri" w:cs="Calibri"/>
          <w:szCs w:val="24"/>
        </w:rPr>
        <w:t>É o parecer, a superior consideração.</w:t>
      </w:r>
    </w:p>
    <w:p w:rsidR="00A779B8" w:rsidRPr="008379F2" w:rsidP="00026560">
      <w:pPr>
        <w:autoSpaceDE w:val="0"/>
        <w:autoSpaceDN w:val="0"/>
        <w:adjustRightInd w:val="0"/>
        <w:spacing w:before="120" w:after="120" w:line="360" w:lineRule="auto"/>
        <w:ind w:firstLine="2268"/>
        <w:jc w:val="both"/>
        <w:rPr>
          <w:rFonts w:ascii="Calibri" w:hAnsi="Calibri" w:cs="Calibri"/>
          <w:szCs w:val="24"/>
        </w:rPr>
      </w:pPr>
      <w:r w:rsidRPr="008379F2">
        <w:rPr>
          <w:rFonts w:ascii="Calibri" w:hAnsi="Calibri" w:cs="Calibri"/>
          <w:szCs w:val="24"/>
        </w:rPr>
        <w:t>Procuradoria, 16</w:t>
      </w:r>
      <w:r w:rsidRPr="008379F2">
        <w:rPr>
          <w:rFonts w:ascii="Calibri" w:hAnsi="Calibri" w:cs="Calibri"/>
          <w:szCs w:val="24"/>
        </w:rPr>
        <w:t xml:space="preserve"> de </w:t>
      </w:r>
      <w:r w:rsidRPr="008379F2" w:rsidR="00D7536E">
        <w:rPr>
          <w:rFonts w:ascii="Calibri" w:hAnsi="Calibri" w:cs="Calibri"/>
          <w:szCs w:val="24"/>
        </w:rPr>
        <w:t>novembro</w:t>
      </w:r>
      <w:r w:rsidRPr="008379F2">
        <w:rPr>
          <w:rFonts w:ascii="Calibri" w:hAnsi="Calibri" w:cs="Calibri"/>
          <w:szCs w:val="24"/>
        </w:rPr>
        <w:t xml:space="preserve"> de 202</w:t>
      </w:r>
      <w:r w:rsidRPr="008379F2" w:rsidR="000368DD">
        <w:rPr>
          <w:rFonts w:ascii="Calibri" w:hAnsi="Calibri" w:cs="Calibri"/>
          <w:szCs w:val="24"/>
        </w:rPr>
        <w:t>3</w:t>
      </w:r>
      <w:r w:rsidRPr="008379F2">
        <w:rPr>
          <w:rFonts w:ascii="Calibri" w:hAnsi="Calibri" w:cs="Calibri"/>
          <w:szCs w:val="24"/>
        </w:rPr>
        <w:t>.</w:t>
      </w:r>
    </w:p>
    <w:p w:rsidR="00766226" w:rsidRPr="008379F2" w:rsidP="00F50ADA">
      <w:pPr>
        <w:pStyle w:val="BodyText"/>
        <w:spacing w:after="0" w:line="240" w:lineRule="auto"/>
        <w:jc w:val="center"/>
        <w:rPr>
          <w:rFonts w:ascii="Calibri" w:hAnsi="Calibri" w:cs="Calibri"/>
        </w:rPr>
      </w:pPr>
    </w:p>
    <w:p w:rsidR="00D7536E" w:rsidRPr="008379F2" w:rsidP="00D7536E">
      <w:pPr>
        <w:spacing w:after="0" w:line="360" w:lineRule="auto"/>
        <w:ind w:firstLine="1701"/>
        <w:jc w:val="both"/>
        <w:rPr>
          <w:rFonts w:asciiTheme="minorHAnsi" w:hAnsiTheme="minorHAnsi" w:cstheme="minorHAnsi"/>
          <w:szCs w:val="24"/>
        </w:rPr>
      </w:pPr>
    </w:p>
    <w:p w:rsidR="00D7536E" w:rsidRPr="008379F2" w:rsidP="00D7536E">
      <w:pPr>
        <w:tabs>
          <w:tab w:val="left" w:pos="2880"/>
        </w:tabs>
        <w:spacing w:after="0" w:line="240" w:lineRule="auto"/>
        <w:rPr>
          <w:rFonts w:asciiTheme="minorHAnsi" w:hAnsiTheme="minorHAnsi" w:cstheme="minorHAnsi"/>
          <w:b/>
          <w:szCs w:val="24"/>
        </w:rPr>
      </w:pPr>
      <w:r w:rsidRPr="008379F2">
        <w:rPr>
          <w:rFonts w:asciiTheme="minorHAnsi" w:hAnsiTheme="minorHAnsi" w:cstheme="minorHAnsi"/>
          <w:b/>
          <w:szCs w:val="24"/>
        </w:rPr>
        <w:t>Rosemeire de Souza Cardoso Barbosa                                 Tiago Fadel Malghosian</w:t>
      </w:r>
    </w:p>
    <w:p w:rsidR="00D7536E" w:rsidRPr="008379F2" w:rsidP="00D7536E">
      <w:pPr>
        <w:tabs>
          <w:tab w:val="left" w:pos="2880"/>
        </w:tabs>
        <w:spacing w:after="0" w:line="240" w:lineRule="auto"/>
        <w:jc w:val="center"/>
        <w:rPr>
          <w:rFonts w:asciiTheme="minorHAnsi" w:hAnsiTheme="minorHAnsi" w:cstheme="minorHAnsi"/>
          <w:b/>
          <w:szCs w:val="24"/>
        </w:rPr>
      </w:pPr>
      <w:r w:rsidRPr="008379F2">
        <w:rPr>
          <w:rFonts w:asciiTheme="minorHAnsi" w:hAnsiTheme="minorHAnsi" w:cstheme="minorHAnsi"/>
          <w:b/>
          <w:szCs w:val="24"/>
        </w:rPr>
        <w:t>Procuradora – OAB/SP 308.298                               Procurador- OAB/SP 319.159</w:t>
      </w:r>
    </w:p>
    <w:p w:rsidR="00D7536E" w:rsidRPr="008379F2" w:rsidP="00D7536E">
      <w:pPr>
        <w:pStyle w:val="BodyText"/>
        <w:spacing w:after="0" w:line="240" w:lineRule="auto"/>
        <w:jc w:val="center"/>
        <w:rPr>
          <w:rFonts w:ascii="Calibri" w:hAnsi="Calibri" w:cs="Calibri"/>
        </w:rPr>
      </w:pPr>
      <w:r w:rsidRPr="008379F2">
        <w:rPr>
          <w:rFonts w:asciiTheme="minorHAnsi" w:hAnsiTheme="minorHAnsi" w:cstheme="minorHAnsi"/>
          <w:szCs w:val="24"/>
        </w:rPr>
        <w:t>Assinatura eletrônica                                                 Assinatura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8379F2">
              <w:rPr>
                <w:b/>
                <w:bCs/>
                <w:noProof/>
                <w:sz w:val="18"/>
                <w:szCs w:val="18"/>
              </w:rPr>
              <w:t>7</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8379F2">
              <w:rPr>
                <w:b/>
                <w:bCs/>
                <w:noProof/>
                <w:sz w:val="18"/>
                <w:szCs w:val="18"/>
              </w:rPr>
              <w:t>7</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29233665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9210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126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6082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38153912"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4AC8"/>
    <w:rsid w:val="00035287"/>
    <w:rsid w:val="000368DD"/>
    <w:rsid w:val="00074468"/>
    <w:rsid w:val="0008325B"/>
    <w:rsid w:val="000E2AF4"/>
    <w:rsid w:val="000F259D"/>
    <w:rsid w:val="001604ED"/>
    <w:rsid w:val="001672D5"/>
    <w:rsid w:val="001962C1"/>
    <w:rsid w:val="00200A82"/>
    <w:rsid w:val="0020224C"/>
    <w:rsid w:val="0023693B"/>
    <w:rsid w:val="00285AA5"/>
    <w:rsid w:val="002C6755"/>
    <w:rsid w:val="0033057C"/>
    <w:rsid w:val="00336C41"/>
    <w:rsid w:val="003A49AF"/>
    <w:rsid w:val="00435E91"/>
    <w:rsid w:val="00473A76"/>
    <w:rsid w:val="005723D1"/>
    <w:rsid w:val="005E6247"/>
    <w:rsid w:val="00621D83"/>
    <w:rsid w:val="00646BC4"/>
    <w:rsid w:val="006F2E14"/>
    <w:rsid w:val="0071039A"/>
    <w:rsid w:val="00766226"/>
    <w:rsid w:val="008379F2"/>
    <w:rsid w:val="0089277F"/>
    <w:rsid w:val="008E128F"/>
    <w:rsid w:val="009550F0"/>
    <w:rsid w:val="009A07D0"/>
    <w:rsid w:val="00A36A7A"/>
    <w:rsid w:val="00A56E27"/>
    <w:rsid w:val="00A779B8"/>
    <w:rsid w:val="00A87ED2"/>
    <w:rsid w:val="00A94458"/>
    <w:rsid w:val="00AD055D"/>
    <w:rsid w:val="00B32DA0"/>
    <w:rsid w:val="00B33EC1"/>
    <w:rsid w:val="00B62E93"/>
    <w:rsid w:val="00B758B2"/>
    <w:rsid w:val="00BC5BCF"/>
    <w:rsid w:val="00BD58B4"/>
    <w:rsid w:val="00C669D7"/>
    <w:rsid w:val="00CA0155"/>
    <w:rsid w:val="00D34B79"/>
    <w:rsid w:val="00D6369B"/>
    <w:rsid w:val="00D7536E"/>
    <w:rsid w:val="00D75ECD"/>
    <w:rsid w:val="00DF22E1"/>
    <w:rsid w:val="00E86B5F"/>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28BBC-FB2D-4F22-9270-E574CF56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1678</Words>
  <Characters>9065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8</cp:revision>
  <dcterms:created xsi:type="dcterms:W3CDTF">2023-10-31T19:34:00Z</dcterms:created>
  <dcterms:modified xsi:type="dcterms:W3CDTF">2023-11-16T17:48:00Z</dcterms:modified>
</cp:coreProperties>
</file>