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853B5D" w:rsidP="00A779B8">
      <w:pPr>
        <w:pStyle w:val="Default"/>
        <w:jc w:val="both"/>
        <w:rPr>
          <w:rFonts w:ascii="Calibri" w:eastAsia="Times New Roman" w:hAnsi="Calibri" w:cs="Calibri"/>
          <w:bCs/>
          <w:color w:val="auto"/>
        </w:rPr>
      </w:pPr>
      <w:r w:rsidRPr="00853B5D">
        <w:rPr>
          <w:rFonts w:ascii="Calibri" w:hAnsi="Calibri" w:cs="Calibri"/>
          <w:b/>
          <w:color w:val="auto"/>
        </w:rPr>
        <w:t>Parecer Jurídico nº</w:t>
      </w:r>
      <w:r w:rsidRPr="00853B5D" w:rsidR="00F50ADA">
        <w:rPr>
          <w:rFonts w:ascii="Calibri" w:hAnsi="Calibri" w:cs="Calibri"/>
          <w:b/>
          <w:color w:val="auto"/>
        </w:rPr>
        <w:t xml:space="preserve"> </w:t>
      </w:r>
      <w:r w:rsidRPr="00853B5D" w:rsidR="00853B5D">
        <w:rPr>
          <w:rFonts w:ascii="Calibri" w:hAnsi="Calibri" w:cs="Calibri"/>
          <w:b/>
          <w:color w:val="auto"/>
        </w:rPr>
        <w:tab/>
        <w:t>421</w:t>
      </w:r>
      <w:r w:rsidRPr="00853B5D">
        <w:rPr>
          <w:rFonts w:ascii="Calibri" w:hAnsi="Calibri" w:cs="Calibri"/>
          <w:b/>
          <w:color w:val="auto"/>
        </w:rPr>
        <w:t>/202</w:t>
      </w:r>
      <w:r w:rsidRPr="00853B5D" w:rsidR="00473A76">
        <w:rPr>
          <w:rFonts w:ascii="Calibri" w:hAnsi="Calibri" w:cs="Calibri"/>
          <w:b/>
          <w:color w:val="auto"/>
        </w:rPr>
        <w:t>3</w:t>
      </w:r>
      <w:r w:rsidRPr="00853B5D">
        <w:rPr>
          <w:rFonts w:ascii="Calibri" w:hAnsi="Calibri" w:cs="Calibri"/>
          <w:b/>
          <w:color w:val="auto"/>
        </w:rPr>
        <w:t>.</w:t>
      </w:r>
    </w:p>
    <w:p w:rsidR="00200A82" w:rsidRPr="00853B5D" w:rsidP="00473A76">
      <w:pPr>
        <w:spacing w:after="0" w:line="240" w:lineRule="auto"/>
        <w:jc w:val="both"/>
        <w:rPr>
          <w:rFonts w:ascii="Calibri" w:eastAsia="Calibri" w:hAnsi="Calibri" w:cs="Calibri"/>
          <w:szCs w:val="24"/>
        </w:rPr>
      </w:pPr>
      <w:r w:rsidRPr="00853B5D">
        <w:rPr>
          <w:rFonts w:ascii="Calibri" w:hAnsi="Calibri" w:cs="Calibri"/>
          <w:b/>
          <w:bCs/>
          <w:szCs w:val="24"/>
        </w:rPr>
        <w:t xml:space="preserve">Assunto: </w:t>
      </w:r>
      <w:r w:rsidRPr="00853B5D" w:rsidR="00244AB2">
        <w:rPr>
          <w:rFonts w:ascii="Calibri" w:hAnsi="Calibri" w:cs="Calibri"/>
          <w:b/>
          <w:bCs/>
          <w:szCs w:val="24"/>
        </w:rPr>
        <w:t>Emenda 06</w:t>
      </w:r>
      <w:r w:rsidRPr="00853B5D" w:rsidR="00A779B8">
        <w:rPr>
          <w:rFonts w:ascii="Calibri" w:hAnsi="Calibri" w:cs="Calibri"/>
          <w:b/>
          <w:bCs/>
          <w:szCs w:val="24"/>
        </w:rPr>
        <w:t xml:space="preserve"> ao</w:t>
      </w:r>
      <w:r w:rsidRPr="00853B5D" w:rsidR="00FC140B">
        <w:rPr>
          <w:rFonts w:ascii="Calibri" w:hAnsi="Calibri" w:cs="Calibri"/>
          <w:b/>
          <w:bCs/>
          <w:szCs w:val="24"/>
        </w:rPr>
        <w:t xml:space="preserve"> </w:t>
      </w:r>
      <w:r w:rsidRPr="00853B5D" w:rsidR="00FC140B">
        <w:rPr>
          <w:rFonts w:ascii="Calibri" w:hAnsi="Calibri" w:cs="Calibri"/>
          <w:b/>
          <w:bCs/>
        </w:rPr>
        <w:t xml:space="preserve">Projeto de Lei nº </w:t>
      </w:r>
      <w:r w:rsidRPr="00853B5D">
        <w:rPr>
          <w:rFonts w:ascii="Calibri" w:hAnsi="Calibri" w:cs="Calibri"/>
          <w:b/>
          <w:bCs/>
        </w:rPr>
        <w:t>185</w:t>
      </w:r>
      <w:r w:rsidRPr="00853B5D" w:rsidR="001604ED">
        <w:rPr>
          <w:rFonts w:ascii="Calibri" w:hAnsi="Calibri" w:cs="Calibri"/>
          <w:b/>
          <w:bCs/>
        </w:rPr>
        <w:t>/202</w:t>
      </w:r>
      <w:r w:rsidRPr="00853B5D">
        <w:rPr>
          <w:rFonts w:ascii="Calibri" w:hAnsi="Calibri" w:cs="Calibri"/>
          <w:b/>
          <w:bCs/>
        </w:rPr>
        <w:t>2</w:t>
      </w:r>
      <w:r w:rsidRPr="00853B5D" w:rsidR="0023693B">
        <w:rPr>
          <w:rFonts w:ascii="Calibri" w:hAnsi="Calibri" w:cs="Calibri"/>
          <w:b/>
          <w:bCs/>
        </w:rPr>
        <w:t xml:space="preserve"> </w:t>
      </w:r>
      <w:r w:rsidRPr="00853B5D" w:rsidR="000368DD">
        <w:rPr>
          <w:rFonts w:ascii="Calibri" w:hAnsi="Calibri" w:cs="Calibri"/>
          <w:bCs/>
        </w:rPr>
        <w:t xml:space="preserve">que </w:t>
      </w:r>
      <w:r w:rsidRPr="00853B5D" w:rsidR="000368DD">
        <w:rPr>
          <w:rFonts w:ascii="Calibri" w:eastAsia="Calibri" w:hAnsi="Calibri" w:cs="Calibri"/>
          <w:szCs w:val="24"/>
        </w:rPr>
        <w:t>“</w:t>
      </w:r>
      <w:r w:rsidRPr="00853B5D">
        <w:rPr>
          <w:rFonts w:ascii="Calibri" w:eastAsia="Calibri" w:hAnsi="Calibri" w:cs="Calibri"/>
          <w:szCs w:val="24"/>
        </w:rPr>
        <w:t>Institui o Plano Diretor Municipal de Valinhos e dá outras providências</w:t>
      </w:r>
      <w:r w:rsidRPr="00853B5D" w:rsidR="0071039A">
        <w:rPr>
          <w:rFonts w:ascii="Calibri" w:eastAsia="Calibri" w:hAnsi="Calibri" w:cs="Calibri"/>
          <w:szCs w:val="24"/>
        </w:rPr>
        <w:t>”</w:t>
      </w:r>
      <w:r w:rsidRPr="00853B5D">
        <w:rPr>
          <w:rFonts w:ascii="Calibri" w:eastAsia="Calibri" w:hAnsi="Calibri" w:cs="Calibri"/>
          <w:szCs w:val="24"/>
        </w:rPr>
        <w:t>.</w:t>
      </w:r>
    </w:p>
    <w:p w:rsidR="00A779B8" w:rsidRPr="00853B5D" w:rsidP="0023693B">
      <w:pPr>
        <w:spacing w:after="0" w:line="240" w:lineRule="auto"/>
        <w:jc w:val="both"/>
        <w:rPr>
          <w:rFonts w:ascii="Calibri" w:hAnsi="Calibri" w:cs="Calibri"/>
          <w:b/>
          <w:bCs/>
          <w:szCs w:val="24"/>
        </w:rPr>
      </w:pPr>
      <w:r w:rsidRPr="00853B5D">
        <w:rPr>
          <w:rFonts w:ascii="Calibri" w:hAnsi="Calibri" w:cs="Calibri"/>
          <w:b/>
          <w:bCs/>
        </w:rPr>
        <w:t>Emenda de a</w:t>
      </w:r>
      <w:r w:rsidRPr="00853B5D" w:rsidR="0023693B">
        <w:rPr>
          <w:rFonts w:ascii="Calibri" w:hAnsi="Calibri" w:cs="Calibri"/>
          <w:b/>
          <w:bCs/>
          <w:szCs w:val="24"/>
        </w:rPr>
        <w:t xml:space="preserve">utoria </w:t>
      </w:r>
      <w:r w:rsidRPr="00853B5D" w:rsidR="00200A82">
        <w:rPr>
          <w:rFonts w:ascii="Calibri" w:hAnsi="Calibri" w:cs="Calibri"/>
          <w:b/>
          <w:bCs/>
          <w:szCs w:val="24"/>
        </w:rPr>
        <w:t>da Comissão de Sistematização</w:t>
      </w:r>
    </w:p>
    <w:p w:rsidR="00A779B8" w:rsidRPr="00853B5D" w:rsidP="00A779B8">
      <w:pPr>
        <w:pStyle w:val="Default"/>
        <w:jc w:val="both"/>
        <w:rPr>
          <w:rFonts w:ascii="Calibri" w:hAnsi="Calibri" w:cs="Calibri"/>
          <w:b/>
          <w:i/>
          <w:color w:val="auto"/>
        </w:rPr>
      </w:pPr>
    </w:p>
    <w:p w:rsidR="000F259D" w:rsidRPr="00853B5D" w:rsidP="00A779B8">
      <w:pPr>
        <w:pStyle w:val="Default"/>
        <w:jc w:val="both"/>
        <w:rPr>
          <w:rFonts w:ascii="Calibri" w:hAnsi="Calibri" w:cs="Calibri"/>
          <w:b/>
          <w:i/>
          <w:color w:val="auto"/>
        </w:rPr>
      </w:pPr>
    </w:p>
    <w:p w:rsidR="000F259D" w:rsidRPr="00853B5D" w:rsidP="00A779B8">
      <w:pPr>
        <w:pStyle w:val="Default"/>
        <w:jc w:val="both"/>
        <w:rPr>
          <w:rFonts w:ascii="Calibri" w:hAnsi="Calibri" w:cs="Calibri"/>
          <w:b/>
          <w:i/>
          <w:color w:val="auto"/>
        </w:rPr>
      </w:pPr>
    </w:p>
    <w:p w:rsidR="00A779B8" w:rsidRPr="00853B5D" w:rsidP="00A779B8">
      <w:pPr>
        <w:pStyle w:val="Default"/>
        <w:jc w:val="both"/>
        <w:rPr>
          <w:rFonts w:ascii="Calibri" w:hAnsi="Calibri" w:cs="Calibri"/>
          <w:b/>
          <w:i/>
          <w:color w:val="auto"/>
        </w:rPr>
      </w:pPr>
      <w:r w:rsidRPr="00853B5D">
        <w:rPr>
          <w:rFonts w:ascii="Calibri" w:hAnsi="Calibri" w:cs="Calibri"/>
          <w:b/>
          <w:i/>
          <w:color w:val="auto"/>
        </w:rPr>
        <w:t>À Comissão de Justiça e Redação,</w:t>
      </w:r>
    </w:p>
    <w:p w:rsidR="00A779B8" w:rsidRPr="00853B5D" w:rsidP="00A779B8">
      <w:pPr>
        <w:pStyle w:val="Default"/>
        <w:jc w:val="both"/>
        <w:rPr>
          <w:rFonts w:ascii="Calibri" w:hAnsi="Calibri" w:cs="Calibri"/>
          <w:b/>
          <w:i/>
          <w:color w:val="auto"/>
        </w:rPr>
      </w:pPr>
      <w:r w:rsidRPr="00853B5D">
        <w:rPr>
          <w:rFonts w:ascii="Calibri" w:hAnsi="Calibri" w:cs="Calibri"/>
          <w:b/>
          <w:i/>
          <w:color w:val="auto"/>
        </w:rPr>
        <w:t xml:space="preserve">Exmo. </w:t>
      </w:r>
      <w:r w:rsidRPr="00853B5D" w:rsidR="00473A76">
        <w:rPr>
          <w:rFonts w:ascii="Calibri" w:hAnsi="Calibri" w:cs="Calibri"/>
          <w:b/>
          <w:i/>
          <w:color w:val="auto"/>
        </w:rPr>
        <w:t>Sr.</w:t>
      </w:r>
      <w:r w:rsidRPr="00853B5D" w:rsidR="00473A76">
        <w:rPr>
          <w:rFonts w:ascii="Calibri" w:hAnsi="Calibri" w:cs="Calibri"/>
          <w:b/>
          <w:i/>
          <w:color w:val="auto"/>
        </w:rPr>
        <w:t xml:space="preserve"> </w:t>
      </w:r>
      <w:r w:rsidRPr="00853B5D">
        <w:rPr>
          <w:rFonts w:ascii="Calibri" w:hAnsi="Calibri" w:cs="Calibri"/>
          <w:b/>
          <w:i/>
          <w:color w:val="auto"/>
        </w:rPr>
        <w:t>Presidente</w:t>
      </w:r>
      <w:r w:rsidRPr="00853B5D" w:rsidR="00473A76">
        <w:rPr>
          <w:rFonts w:ascii="Calibri" w:hAnsi="Calibri" w:cs="Calibri"/>
          <w:b/>
          <w:i/>
          <w:color w:val="auto"/>
        </w:rPr>
        <w:t xml:space="preserve"> Vereador Gabriel Bueno</w:t>
      </w:r>
      <w:r w:rsidRPr="00853B5D">
        <w:rPr>
          <w:rFonts w:ascii="Calibri" w:hAnsi="Calibri" w:cs="Calibri"/>
          <w:b/>
          <w:i/>
          <w:color w:val="auto"/>
        </w:rPr>
        <w:t>.</w:t>
      </w:r>
    </w:p>
    <w:p w:rsidR="00A779B8" w:rsidRPr="00853B5D" w:rsidP="00A779B8">
      <w:pPr>
        <w:pStyle w:val="Default"/>
        <w:jc w:val="both"/>
        <w:rPr>
          <w:rFonts w:ascii="Calibri" w:hAnsi="Calibri" w:cs="Calibri"/>
          <w:b/>
          <w:i/>
          <w:color w:val="auto"/>
        </w:rPr>
      </w:pPr>
    </w:p>
    <w:p w:rsidR="00A779B8" w:rsidRPr="00853B5D" w:rsidP="00A779B8">
      <w:pPr>
        <w:pStyle w:val="Default"/>
        <w:spacing w:after="120" w:line="360" w:lineRule="auto"/>
        <w:jc w:val="both"/>
        <w:rPr>
          <w:rFonts w:ascii="Calibri" w:hAnsi="Calibri" w:cs="Calibri"/>
          <w:color w:val="auto"/>
          <w:sz w:val="12"/>
          <w:szCs w:val="12"/>
        </w:rPr>
      </w:pPr>
    </w:p>
    <w:p w:rsidR="000F259D" w:rsidRPr="00853B5D" w:rsidP="00A779B8">
      <w:pPr>
        <w:pStyle w:val="Default"/>
        <w:spacing w:after="120" w:line="360" w:lineRule="auto"/>
        <w:jc w:val="both"/>
        <w:rPr>
          <w:rFonts w:ascii="Calibri" w:hAnsi="Calibri" w:cs="Calibri"/>
          <w:color w:val="auto"/>
          <w:sz w:val="12"/>
          <w:szCs w:val="12"/>
        </w:rPr>
      </w:pPr>
    </w:p>
    <w:p w:rsidR="0023693B" w:rsidRPr="00853B5D" w:rsidP="000368DD">
      <w:pPr>
        <w:pStyle w:val="Default"/>
        <w:spacing w:after="240" w:line="360" w:lineRule="auto"/>
        <w:ind w:firstLine="2268"/>
        <w:jc w:val="both"/>
        <w:rPr>
          <w:rFonts w:ascii="Calibri" w:hAnsi="Calibri" w:cs="Calibri"/>
          <w:i/>
          <w:color w:val="auto"/>
        </w:rPr>
      </w:pPr>
      <w:r w:rsidRPr="00853B5D">
        <w:rPr>
          <w:rFonts w:ascii="Calibri" w:hAnsi="Calibri" w:cs="Calibri"/>
          <w:color w:val="auto"/>
        </w:rPr>
        <w:t>Trata-se de parecer jurídico relativo à emenda em epígrafe que</w:t>
      </w:r>
      <w:r w:rsidRPr="00853B5D" w:rsidR="00473A76">
        <w:rPr>
          <w:rFonts w:ascii="Calibri" w:hAnsi="Calibri" w:cs="Calibri"/>
          <w:color w:val="auto"/>
        </w:rPr>
        <w:t xml:space="preserve"> tenciona</w:t>
      </w:r>
      <w:r w:rsidRPr="00853B5D" w:rsidR="000368DD">
        <w:rPr>
          <w:rFonts w:ascii="Calibri" w:hAnsi="Calibri" w:cs="Calibri"/>
          <w:color w:val="auto"/>
        </w:rPr>
        <w:t xml:space="preserve"> </w:t>
      </w:r>
      <w:r w:rsidRPr="00853B5D" w:rsidR="00540656">
        <w:rPr>
          <w:rFonts w:ascii="Calibri" w:hAnsi="Calibri" w:cs="Calibri"/>
          <w:color w:val="auto"/>
        </w:rPr>
        <w:t>alterar o parágrafo único e incluir os §§ 2º, 3º e 4º ao art. 188</w:t>
      </w:r>
      <w:r w:rsidRPr="00853B5D" w:rsidR="000368DD">
        <w:rPr>
          <w:rFonts w:ascii="Calibri" w:hAnsi="Calibri" w:cs="Calibri"/>
          <w:color w:val="auto"/>
        </w:rPr>
        <w:t xml:space="preserve"> do Projeto de Lei </w:t>
      </w:r>
      <w:r w:rsidRPr="00853B5D" w:rsidR="00D7536E">
        <w:rPr>
          <w:rFonts w:ascii="Calibri" w:hAnsi="Calibri" w:cs="Calibri"/>
          <w:color w:val="auto"/>
        </w:rPr>
        <w:t>185</w:t>
      </w:r>
      <w:r w:rsidRPr="00853B5D" w:rsidR="000368DD">
        <w:rPr>
          <w:rFonts w:ascii="Calibri" w:hAnsi="Calibri" w:cs="Calibri"/>
          <w:color w:val="auto"/>
        </w:rPr>
        <w:t>/202</w:t>
      </w:r>
      <w:r w:rsidRPr="00853B5D" w:rsidR="00D7536E">
        <w:rPr>
          <w:rFonts w:ascii="Calibri" w:hAnsi="Calibri" w:cs="Calibri"/>
          <w:color w:val="auto"/>
        </w:rPr>
        <w:t>2</w:t>
      </w:r>
      <w:r w:rsidRPr="00853B5D" w:rsidR="000368DD">
        <w:rPr>
          <w:rFonts w:ascii="Calibri" w:hAnsi="Calibri" w:cs="Calibri"/>
          <w:color w:val="auto"/>
        </w:rPr>
        <w:t xml:space="preserve">, que </w:t>
      </w:r>
      <w:r w:rsidRPr="00853B5D" w:rsidR="000368DD">
        <w:rPr>
          <w:rFonts w:ascii="Calibri" w:hAnsi="Calibri" w:cs="Calibri"/>
          <w:i/>
          <w:color w:val="auto"/>
        </w:rPr>
        <w:t>“</w:t>
      </w:r>
      <w:r w:rsidRPr="00853B5D" w:rsidR="00D7536E">
        <w:rPr>
          <w:rFonts w:ascii="Calibri" w:hAnsi="Calibri" w:cs="Calibri"/>
          <w:i/>
          <w:color w:val="auto"/>
        </w:rPr>
        <w:t>Institui o Plano Diretor Municipal de Valinhos e dá outras providências”</w:t>
      </w:r>
      <w:r w:rsidRPr="00853B5D" w:rsidR="00473A76">
        <w:rPr>
          <w:rFonts w:ascii="Calibri" w:hAnsi="Calibri" w:cs="Calibri"/>
          <w:i/>
          <w:color w:val="auto"/>
        </w:rPr>
        <w:t>,</w:t>
      </w:r>
      <w:r w:rsidRPr="00853B5D" w:rsidR="00B33EC1">
        <w:rPr>
          <w:rFonts w:ascii="Calibri" w:hAnsi="Calibri" w:cs="Calibri"/>
          <w:i/>
          <w:color w:val="auto"/>
        </w:rPr>
        <w:t xml:space="preserve"> </w:t>
      </w:r>
      <w:r w:rsidRPr="00853B5D"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853B5D" w:rsidP="00473A76">
            <w:pPr>
              <w:pStyle w:val="Default"/>
              <w:tabs>
                <w:tab w:val="left" w:pos="2055"/>
              </w:tabs>
              <w:spacing w:line="276" w:lineRule="auto"/>
              <w:jc w:val="center"/>
              <w:rPr>
                <w:rFonts w:eastAsia="Times New Roman" w:asciiTheme="minorHAnsi" w:hAnsiTheme="minorHAnsi" w:cs="Calibri"/>
                <w:b/>
                <w:color w:val="auto"/>
              </w:rPr>
            </w:pPr>
            <w:r w:rsidRPr="00853B5D">
              <w:rPr>
                <w:rFonts w:eastAsia="Times New Roman" w:asciiTheme="minorHAnsi" w:hAnsiTheme="minorHAnsi" w:cs="Calibri"/>
                <w:b/>
                <w:color w:val="auto"/>
              </w:rPr>
              <w:t xml:space="preserve">Projeto de Lei </w:t>
            </w:r>
            <w:r w:rsidRPr="00853B5D" w:rsidR="00D7536E">
              <w:rPr>
                <w:rFonts w:eastAsia="Times New Roman" w:asciiTheme="minorHAnsi" w:hAnsiTheme="minorHAnsi" w:cs="Calibri"/>
                <w:b/>
                <w:color w:val="auto"/>
              </w:rPr>
              <w:t>185</w:t>
            </w:r>
            <w:r w:rsidRPr="00853B5D" w:rsidR="00E32D22">
              <w:rPr>
                <w:rFonts w:eastAsia="Times New Roman" w:asciiTheme="minorHAnsi" w:hAnsiTheme="minorHAnsi" w:cs="Calibri"/>
                <w:b/>
                <w:color w:val="auto"/>
              </w:rPr>
              <w:t>/2022</w:t>
            </w:r>
          </w:p>
          <w:p w:rsidR="000368DD" w:rsidRPr="00853B5D" w:rsidP="00473A76">
            <w:pPr>
              <w:pStyle w:val="Default"/>
              <w:tabs>
                <w:tab w:val="left" w:pos="2055"/>
              </w:tabs>
              <w:spacing w:line="276" w:lineRule="auto"/>
              <w:jc w:val="center"/>
              <w:rPr>
                <w:rFonts w:eastAsia="Times New Roman" w:asciiTheme="minorHAnsi" w:hAnsiTheme="minorHAnsi" w:cs="Calibri"/>
                <w:b/>
                <w:color w:val="auto"/>
              </w:rPr>
            </w:pPr>
          </w:p>
        </w:tc>
        <w:tc>
          <w:tcPr>
            <w:tcW w:w="4536" w:type="dxa"/>
          </w:tcPr>
          <w:p w:rsidR="000368DD" w:rsidRPr="00853B5D" w:rsidP="00244AB2">
            <w:pPr>
              <w:pStyle w:val="Default"/>
              <w:tabs>
                <w:tab w:val="left" w:pos="2055"/>
              </w:tabs>
              <w:spacing w:line="276" w:lineRule="auto"/>
              <w:jc w:val="center"/>
              <w:rPr>
                <w:rFonts w:eastAsia="Times New Roman" w:asciiTheme="minorHAnsi" w:hAnsiTheme="minorHAnsi" w:cs="Calibri"/>
                <w:b/>
                <w:color w:val="auto"/>
              </w:rPr>
            </w:pPr>
            <w:r w:rsidRPr="00853B5D">
              <w:rPr>
                <w:rFonts w:eastAsia="Times New Roman" w:asciiTheme="minorHAnsi" w:hAnsiTheme="minorHAnsi" w:cs="Calibri"/>
                <w:b/>
                <w:color w:val="auto"/>
              </w:rPr>
              <w:t xml:space="preserve">Emenda nº </w:t>
            </w:r>
            <w:r w:rsidRPr="00853B5D" w:rsidR="00244AB2">
              <w:rPr>
                <w:rFonts w:eastAsia="Times New Roman" w:asciiTheme="minorHAnsi" w:hAnsiTheme="minorHAnsi" w:cs="Calibri"/>
                <w:b/>
                <w:color w:val="auto"/>
              </w:rPr>
              <w:t>06</w:t>
            </w:r>
            <w:r w:rsidRPr="00853B5D">
              <w:rPr>
                <w:rFonts w:eastAsia="Times New Roman" w:asciiTheme="minorHAnsi" w:hAnsiTheme="minorHAnsi" w:cs="Calibri"/>
                <w:b/>
                <w:color w:val="auto"/>
              </w:rPr>
              <w:t xml:space="preserve"> ao PL </w:t>
            </w:r>
            <w:r w:rsidRPr="00853B5D" w:rsidR="00D7536E">
              <w:rPr>
                <w:rFonts w:eastAsia="Times New Roman" w:asciiTheme="minorHAnsi" w:hAnsiTheme="minorHAnsi" w:cs="Calibri"/>
                <w:b/>
                <w:color w:val="auto"/>
              </w:rPr>
              <w:t>185</w:t>
            </w:r>
            <w:r w:rsidRPr="00853B5D">
              <w:rPr>
                <w:rFonts w:eastAsia="Times New Roman" w:asciiTheme="minorHAnsi" w:hAnsiTheme="minorHAnsi" w:cs="Calibri"/>
                <w:b/>
                <w:color w:val="auto"/>
              </w:rPr>
              <w:t>/202</w:t>
            </w:r>
            <w:r w:rsidRPr="00853B5D" w:rsidR="00D7536E">
              <w:rPr>
                <w:rFonts w:eastAsia="Times New Roman" w:asciiTheme="minorHAnsi" w:hAnsiTheme="minorHAnsi" w:cs="Calibri"/>
                <w:b/>
                <w:color w:val="auto"/>
              </w:rPr>
              <w:t>2</w:t>
            </w:r>
          </w:p>
        </w:tc>
      </w:tr>
      <w:tr w:rsidTr="000368DD">
        <w:tblPrEx>
          <w:tblW w:w="8613" w:type="dxa"/>
          <w:tblLook w:val="04A0"/>
        </w:tblPrEx>
        <w:tc>
          <w:tcPr>
            <w:tcW w:w="4077" w:type="dxa"/>
          </w:tcPr>
          <w:p w:rsidR="008F09A7" w:rsidRPr="00853B5D" w:rsidP="008F09A7">
            <w:pPr>
              <w:pStyle w:val="Default"/>
              <w:tabs>
                <w:tab w:val="left" w:pos="2055"/>
              </w:tabs>
              <w:spacing w:after="120"/>
              <w:jc w:val="both"/>
              <w:rPr>
                <w:rFonts w:asciiTheme="minorHAnsi" w:eastAsiaTheme="minorHAnsi" w:hAnsiTheme="minorHAnsi" w:cs="ArialMT"/>
                <w:b/>
                <w:i/>
                <w:color w:val="auto"/>
                <w:lang w:eastAsia="en-US"/>
              </w:rPr>
            </w:pPr>
          </w:p>
          <w:p w:rsidR="008F09A7" w:rsidRPr="00853B5D" w:rsidP="008F09A7">
            <w:pPr>
              <w:pStyle w:val="Default"/>
              <w:tabs>
                <w:tab w:val="left" w:pos="2055"/>
              </w:tabs>
              <w:spacing w:after="120"/>
              <w:jc w:val="both"/>
              <w:rPr>
                <w:rFonts w:asciiTheme="minorHAnsi" w:eastAsiaTheme="minorHAnsi" w:hAnsiTheme="minorHAnsi" w:cs="ArialMT"/>
                <w:i/>
                <w:color w:val="auto"/>
                <w:lang w:eastAsia="en-US"/>
              </w:rPr>
            </w:pPr>
            <w:r w:rsidRPr="00853B5D">
              <w:rPr>
                <w:rFonts w:asciiTheme="minorHAnsi" w:eastAsiaTheme="minorHAnsi" w:hAnsiTheme="minorHAnsi" w:cs="ArialMT"/>
                <w:b/>
                <w:i/>
                <w:color w:val="auto"/>
                <w:lang w:eastAsia="en-US"/>
              </w:rPr>
              <w:t>Art. 188.</w:t>
            </w:r>
            <w:r w:rsidRPr="00853B5D">
              <w:rPr>
                <w:rFonts w:asciiTheme="minorHAnsi" w:eastAsiaTheme="minorHAnsi" w:hAnsiTheme="minorHAnsi" w:cs="ArialMT"/>
                <w:i/>
                <w:color w:val="auto"/>
                <w:lang w:eastAsia="en-US"/>
              </w:rPr>
              <w:t xml:space="preserve"> O valor da OOAUS, a ser pago pelo interessado, corresponderá ao seguinte racional em função da Unidade Fiscal do Município de Valinhos (UFMV) e da área do imóvel atingida pela OOAUS:</w:t>
            </w:r>
          </w:p>
          <w:p w:rsidR="008F09A7" w:rsidRPr="00853B5D" w:rsidP="008F09A7">
            <w:pPr>
              <w:pStyle w:val="Default"/>
              <w:tabs>
                <w:tab w:val="left" w:pos="2055"/>
              </w:tabs>
              <w:spacing w:after="120"/>
              <w:jc w:val="both"/>
              <w:rPr>
                <w:rFonts w:asciiTheme="minorHAnsi" w:eastAsiaTheme="minorHAnsi" w:hAnsiTheme="minorHAnsi" w:cs="ArialMT"/>
                <w:i/>
                <w:color w:val="auto"/>
                <w:lang w:eastAsia="en-US"/>
              </w:rPr>
            </w:pPr>
            <w:r w:rsidRPr="00853B5D">
              <w:rPr>
                <w:rFonts w:asciiTheme="minorHAnsi" w:eastAsiaTheme="minorHAnsi" w:hAnsiTheme="minorHAnsi" w:cs="ArialMT"/>
                <w:i/>
                <w:color w:val="auto"/>
                <w:lang w:eastAsia="en-US"/>
              </w:rPr>
              <w:t xml:space="preserve">I - 0,06 UFMV/m2 para ocupações com fins </w:t>
            </w:r>
            <w:r w:rsidRPr="00853B5D">
              <w:rPr>
                <w:rFonts w:asciiTheme="minorHAnsi" w:eastAsiaTheme="minorHAnsi" w:hAnsiTheme="minorHAnsi" w:cs="ArialMT"/>
                <w:i/>
                <w:color w:val="auto"/>
                <w:lang w:eastAsia="en-US"/>
              </w:rPr>
              <w:t>residenciais e misto</w:t>
            </w:r>
            <w:r w:rsidRPr="00853B5D">
              <w:rPr>
                <w:rFonts w:asciiTheme="minorHAnsi" w:eastAsiaTheme="minorHAnsi" w:hAnsiTheme="minorHAnsi" w:cs="ArialMT"/>
                <w:i/>
                <w:color w:val="auto"/>
                <w:lang w:eastAsia="en-US"/>
              </w:rPr>
              <w:t>; e</w:t>
            </w:r>
          </w:p>
          <w:p w:rsidR="000368DD" w:rsidRPr="00853B5D" w:rsidP="008F09A7">
            <w:pPr>
              <w:pStyle w:val="Default"/>
              <w:tabs>
                <w:tab w:val="left" w:pos="2055"/>
              </w:tabs>
              <w:spacing w:after="120"/>
              <w:jc w:val="both"/>
              <w:rPr>
                <w:rFonts w:asciiTheme="minorHAnsi" w:eastAsiaTheme="minorHAnsi" w:hAnsiTheme="minorHAnsi" w:cs="ArialMT"/>
                <w:i/>
                <w:color w:val="auto"/>
                <w:lang w:eastAsia="en-US"/>
              </w:rPr>
            </w:pPr>
            <w:r w:rsidRPr="00853B5D">
              <w:rPr>
                <w:rFonts w:asciiTheme="minorHAnsi" w:eastAsiaTheme="minorHAnsi" w:hAnsiTheme="minorHAnsi" w:cs="ArialMT"/>
                <w:i/>
                <w:color w:val="auto"/>
                <w:lang w:eastAsia="en-US"/>
              </w:rPr>
              <w:t>II - 0,02 UFMV/m2 para ocupações com fins não residenciais;</w:t>
            </w:r>
          </w:p>
          <w:p w:rsidR="008F09A7" w:rsidRPr="00853B5D" w:rsidP="00473A76">
            <w:pPr>
              <w:pStyle w:val="Default"/>
              <w:tabs>
                <w:tab w:val="left" w:pos="2055"/>
              </w:tabs>
              <w:jc w:val="both"/>
              <w:rPr>
                <w:rFonts w:asciiTheme="minorHAnsi" w:eastAsiaTheme="minorHAnsi" w:hAnsiTheme="minorHAnsi" w:cs="ArialMT"/>
                <w:b/>
                <w:i/>
                <w:color w:val="auto"/>
                <w:sz w:val="12"/>
                <w:szCs w:val="12"/>
                <w:lang w:eastAsia="en-US"/>
              </w:rPr>
            </w:pPr>
          </w:p>
          <w:p w:rsidR="008F09A7" w:rsidRPr="00853B5D" w:rsidP="00473A76">
            <w:pPr>
              <w:pStyle w:val="Default"/>
              <w:tabs>
                <w:tab w:val="left" w:pos="2055"/>
              </w:tabs>
              <w:jc w:val="both"/>
              <w:rPr>
                <w:rFonts w:eastAsia="Times New Roman" w:asciiTheme="minorHAnsi" w:hAnsiTheme="minorHAnsi" w:cs="Calibri"/>
                <w:color w:val="auto"/>
              </w:rPr>
            </w:pPr>
            <w:r w:rsidRPr="00853B5D">
              <w:rPr>
                <w:rFonts w:asciiTheme="minorHAnsi" w:eastAsiaTheme="minorHAnsi" w:hAnsiTheme="minorHAnsi" w:cs="ArialMT"/>
                <w:b/>
                <w:i/>
                <w:color w:val="auto"/>
                <w:lang w:eastAsia="en-US"/>
              </w:rPr>
              <w:t>Parágrafo único.</w:t>
            </w:r>
            <w:r w:rsidRPr="00853B5D">
              <w:rPr>
                <w:rFonts w:asciiTheme="minorHAnsi" w:eastAsiaTheme="minorHAnsi" w:hAnsiTheme="minorHAnsi" w:cs="ArialMT"/>
                <w:i/>
                <w:color w:val="auto"/>
                <w:lang w:eastAsia="en-US"/>
              </w:rPr>
              <w:t xml:space="preserve"> </w:t>
            </w:r>
            <w:r w:rsidRPr="00853B5D">
              <w:rPr>
                <w:rFonts w:asciiTheme="minorHAnsi" w:eastAsiaTheme="minorHAnsi" w:hAnsiTheme="minorHAnsi" w:cs="ArialMT"/>
                <w:b/>
                <w:i/>
                <w:color w:val="auto"/>
                <w:lang w:eastAsia="en-US"/>
              </w:rPr>
              <w:t>O valor da OOAUS poderá ser isentado dos empreendimentos não residenciais</w:t>
            </w:r>
            <w:r w:rsidRPr="00853B5D">
              <w:rPr>
                <w:rFonts w:asciiTheme="minorHAnsi" w:eastAsiaTheme="minorHAnsi" w:hAnsiTheme="minorHAnsi" w:cs="ArialMT"/>
                <w:i/>
                <w:color w:val="auto"/>
                <w:lang w:eastAsia="en-US"/>
              </w:rPr>
              <w:t xml:space="preserve">, conforme critérios e regramentos do Plano Municipal de Desenvolvimento Econômico, a ser instituído por Lei </w:t>
            </w:r>
            <w:r w:rsidRPr="00853B5D">
              <w:rPr>
                <w:rFonts w:asciiTheme="minorHAnsi" w:eastAsiaTheme="minorHAnsi" w:hAnsiTheme="minorHAnsi" w:cs="ArialMT"/>
                <w:i/>
                <w:color w:val="auto"/>
                <w:lang w:eastAsia="en-US"/>
              </w:rPr>
              <w:t>especifica</w:t>
            </w:r>
            <w:r w:rsidRPr="00853B5D">
              <w:rPr>
                <w:rFonts w:asciiTheme="minorHAnsi" w:eastAsiaTheme="minorHAnsi" w:hAnsiTheme="minorHAnsi" w:cs="ArialMT"/>
                <w:i/>
                <w:color w:val="auto"/>
                <w:lang w:eastAsia="en-US"/>
              </w:rPr>
              <w:t>.</w:t>
            </w:r>
          </w:p>
        </w:tc>
        <w:tc>
          <w:tcPr>
            <w:tcW w:w="4536" w:type="dxa"/>
          </w:tcPr>
          <w:p w:rsidR="00E05B40" w:rsidRPr="00853B5D" w:rsidP="008F09A7">
            <w:pPr>
              <w:autoSpaceDE w:val="0"/>
              <w:autoSpaceDN w:val="0"/>
              <w:adjustRightInd w:val="0"/>
              <w:jc w:val="both"/>
              <w:rPr>
                <w:rFonts w:asciiTheme="minorHAnsi" w:eastAsiaTheme="minorHAnsi" w:hAnsiTheme="minorHAnsi" w:cs="ArialMT"/>
                <w:szCs w:val="24"/>
                <w:lang w:eastAsia="en-US"/>
              </w:rPr>
            </w:pPr>
          </w:p>
          <w:p w:rsidR="00E05B40" w:rsidRPr="00853B5D" w:rsidP="008F09A7">
            <w:pPr>
              <w:autoSpaceDE w:val="0"/>
              <w:autoSpaceDN w:val="0"/>
              <w:adjustRightInd w:val="0"/>
              <w:jc w:val="both"/>
              <w:rPr>
                <w:rFonts w:asciiTheme="minorHAnsi" w:eastAsiaTheme="minorHAnsi" w:hAnsiTheme="minorHAnsi" w:cs="ArialMT"/>
                <w:szCs w:val="24"/>
                <w:lang w:eastAsia="en-US"/>
              </w:rPr>
            </w:pPr>
          </w:p>
          <w:p w:rsidR="008F09A7" w:rsidRPr="00853B5D" w:rsidP="008F09A7">
            <w:pPr>
              <w:autoSpaceDE w:val="0"/>
              <w:autoSpaceDN w:val="0"/>
              <w:adjustRightInd w:val="0"/>
              <w:jc w:val="both"/>
              <w:rPr>
                <w:rFonts w:asciiTheme="minorHAnsi" w:eastAsiaTheme="minorHAnsi" w:hAnsiTheme="minorHAnsi" w:cs="ArialMT"/>
                <w:szCs w:val="24"/>
                <w:lang w:eastAsia="en-US"/>
              </w:rPr>
            </w:pPr>
            <w:r w:rsidRPr="00853B5D">
              <w:rPr>
                <w:rFonts w:asciiTheme="minorHAnsi" w:eastAsiaTheme="minorHAnsi" w:hAnsiTheme="minorHAnsi" w:cs="ArialMT"/>
                <w:szCs w:val="24"/>
                <w:lang w:eastAsia="en-US"/>
              </w:rPr>
              <w:t>Art. 1° É alterado o parágrafo único, renumerando-o para §1º, e inclui os §§ 2º e 3º ao Art. 188 do Projeto de Lei 185/2022, com a seguinte redação:</w:t>
            </w:r>
          </w:p>
          <w:p w:rsidR="008F09A7" w:rsidRPr="00853B5D" w:rsidP="008F09A7">
            <w:pPr>
              <w:autoSpaceDE w:val="0"/>
              <w:autoSpaceDN w:val="0"/>
              <w:adjustRightInd w:val="0"/>
              <w:jc w:val="both"/>
              <w:rPr>
                <w:rFonts w:asciiTheme="minorHAnsi" w:eastAsiaTheme="minorHAnsi" w:hAnsiTheme="minorHAnsi" w:cs="ArialMT"/>
                <w:szCs w:val="24"/>
                <w:lang w:eastAsia="en-US"/>
              </w:rPr>
            </w:pPr>
          </w:p>
          <w:p w:rsidR="008F09A7" w:rsidRPr="00853B5D" w:rsidP="008F09A7">
            <w:pPr>
              <w:autoSpaceDE w:val="0"/>
              <w:autoSpaceDN w:val="0"/>
              <w:adjustRightInd w:val="0"/>
              <w:ind w:left="318"/>
              <w:jc w:val="both"/>
              <w:rPr>
                <w:rFonts w:asciiTheme="minorHAnsi" w:eastAsiaTheme="minorHAnsi" w:hAnsiTheme="minorHAnsi" w:cs="ArialMT"/>
                <w:i/>
                <w:szCs w:val="24"/>
                <w:lang w:eastAsia="en-US"/>
              </w:rPr>
            </w:pPr>
            <w:r w:rsidRPr="00853B5D">
              <w:rPr>
                <w:rFonts w:asciiTheme="minorHAnsi" w:eastAsiaTheme="minorHAnsi" w:hAnsiTheme="minorHAnsi" w:cs="ArialMT"/>
                <w:b/>
                <w:i/>
                <w:szCs w:val="24"/>
                <w:lang w:eastAsia="en-US"/>
              </w:rPr>
              <w:t>Art. 188</w:t>
            </w:r>
            <w:r w:rsidRPr="00853B5D">
              <w:rPr>
                <w:rFonts w:asciiTheme="minorHAnsi" w:eastAsiaTheme="minorHAnsi" w:hAnsiTheme="minorHAnsi" w:cs="ArialMT"/>
                <w:i/>
                <w:szCs w:val="24"/>
                <w:lang w:eastAsia="en-US"/>
              </w:rPr>
              <w:t xml:space="preserve"> […]</w:t>
            </w:r>
          </w:p>
          <w:p w:rsidR="008F09A7" w:rsidRPr="00853B5D" w:rsidP="008F09A7">
            <w:pPr>
              <w:autoSpaceDE w:val="0"/>
              <w:autoSpaceDN w:val="0"/>
              <w:adjustRightInd w:val="0"/>
              <w:ind w:left="318"/>
              <w:jc w:val="both"/>
              <w:rPr>
                <w:rFonts w:asciiTheme="minorHAnsi" w:eastAsiaTheme="minorHAnsi" w:hAnsiTheme="minorHAnsi" w:cs="ArialMT"/>
                <w:i/>
                <w:szCs w:val="24"/>
                <w:lang w:eastAsia="en-US"/>
              </w:rPr>
            </w:pPr>
          </w:p>
          <w:p w:rsidR="00E05B40" w:rsidRPr="00853B5D" w:rsidP="008F09A7">
            <w:pPr>
              <w:autoSpaceDE w:val="0"/>
              <w:autoSpaceDN w:val="0"/>
              <w:adjustRightInd w:val="0"/>
              <w:ind w:left="318"/>
              <w:jc w:val="both"/>
              <w:rPr>
                <w:rFonts w:asciiTheme="minorHAnsi" w:eastAsiaTheme="minorHAnsi" w:hAnsiTheme="minorHAnsi" w:cs="ArialMT"/>
                <w:b/>
                <w:i/>
                <w:szCs w:val="24"/>
                <w:lang w:eastAsia="en-US"/>
              </w:rPr>
            </w:pPr>
          </w:p>
          <w:p w:rsidR="00E05B40" w:rsidRPr="00853B5D" w:rsidP="008F09A7">
            <w:pPr>
              <w:autoSpaceDE w:val="0"/>
              <w:autoSpaceDN w:val="0"/>
              <w:adjustRightInd w:val="0"/>
              <w:ind w:left="318"/>
              <w:jc w:val="both"/>
              <w:rPr>
                <w:rFonts w:asciiTheme="minorHAnsi" w:eastAsiaTheme="minorHAnsi" w:hAnsiTheme="minorHAnsi" w:cs="ArialMT"/>
                <w:b/>
                <w:i/>
                <w:szCs w:val="24"/>
                <w:lang w:eastAsia="en-US"/>
              </w:rPr>
            </w:pPr>
          </w:p>
          <w:p w:rsidR="00E05B40" w:rsidRPr="00853B5D" w:rsidP="008F09A7">
            <w:pPr>
              <w:autoSpaceDE w:val="0"/>
              <w:autoSpaceDN w:val="0"/>
              <w:adjustRightInd w:val="0"/>
              <w:ind w:left="318"/>
              <w:jc w:val="both"/>
              <w:rPr>
                <w:rFonts w:asciiTheme="minorHAnsi" w:eastAsiaTheme="minorHAnsi" w:hAnsiTheme="minorHAnsi" w:cs="ArialMT"/>
                <w:b/>
                <w:i/>
                <w:szCs w:val="24"/>
                <w:lang w:eastAsia="en-US"/>
              </w:rPr>
            </w:pPr>
          </w:p>
          <w:p w:rsidR="00E05B40" w:rsidRPr="00853B5D" w:rsidP="008F09A7">
            <w:pPr>
              <w:autoSpaceDE w:val="0"/>
              <w:autoSpaceDN w:val="0"/>
              <w:adjustRightInd w:val="0"/>
              <w:ind w:left="318"/>
              <w:jc w:val="both"/>
              <w:rPr>
                <w:rFonts w:asciiTheme="minorHAnsi" w:eastAsiaTheme="minorHAnsi" w:hAnsiTheme="minorHAnsi" w:cs="ArialMT"/>
                <w:b/>
                <w:i/>
                <w:szCs w:val="24"/>
                <w:lang w:eastAsia="en-US"/>
              </w:rPr>
            </w:pPr>
          </w:p>
          <w:p w:rsidR="008F09A7" w:rsidRPr="00853B5D" w:rsidP="008F09A7">
            <w:pPr>
              <w:autoSpaceDE w:val="0"/>
              <w:autoSpaceDN w:val="0"/>
              <w:adjustRightInd w:val="0"/>
              <w:ind w:left="318"/>
              <w:jc w:val="both"/>
              <w:rPr>
                <w:rFonts w:asciiTheme="minorHAnsi" w:eastAsiaTheme="minorHAnsi" w:hAnsiTheme="minorHAnsi" w:cs="ArialMT"/>
                <w:i/>
                <w:szCs w:val="24"/>
                <w:lang w:eastAsia="en-US"/>
              </w:rPr>
            </w:pPr>
            <w:r w:rsidRPr="00853B5D">
              <w:rPr>
                <w:rFonts w:asciiTheme="minorHAnsi" w:eastAsiaTheme="minorHAnsi" w:hAnsiTheme="minorHAnsi" w:cs="ArialMT"/>
                <w:b/>
                <w:i/>
                <w:szCs w:val="24"/>
                <w:lang w:eastAsia="en-US"/>
              </w:rPr>
              <w:t>§1° O valor da OOAUS será isento para</w:t>
            </w:r>
            <w:r w:rsidRPr="00853B5D" w:rsidR="00244AB2">
              <w:rPr>
                <w:rFonts w:asciiTheme="minorHAnsi" w:eastAsiaTheme="minorHAnsi" w:hAnsiTheme="minorHAnsi" w:cs="ArialMT"/>
                <w:b/>
                <w:i/>
                <w:szCs w:val="24"/>
                <w:lang w:eastAsia="en-US"/>
              </w:rPr>
              <w:t xml:space="preserve"> </w:t>
            </w:r>
            <w:r w:rsidRPr="00853B5D">
              <w:rPr>
                <w:rFonts w:asciiTheme="minorHAnsi" w:eastAsiaTheme="minorHAnsi" w:hAnsiTheme="minorHAnsi" w:cs="ArialMT"/>
                <w:b/>
                <w:i/>
                <w:szCs w:val="24"/>
                <w:lang w:eastAsia="en-US"/>
              </w:rPr>
              <w:t xml:space="preserve">empreendimentos não residenciais </w:t>
            </w:r>
            <w:r w:rsidRPr="00853B5D">
              <w:rPr>
                <w:rFonts w:asciiTheme="minorHAnsi" w:eastAsiaTheme="minorHAnsi" w:hAnsiTheme="minorHAnsi" w:cs="ArialMT"/>
                <w:b/>
                <w:i/>
                <w:szCs w:val="24"/>
                <w:lang w:eastAsia="en-US"/>
              </w:rPr>
              <w:t>nR2</w:t>
            </w:r>
            <w:r w:rsidRPr="00853B5D">
              <w:rPr>
                <w:rFonts w:asciiTheme="minorHAnsi" w:eastAsiaTheme="minorHAnsi" w:hAnsiTheme="minorHAnsi" w:cs="ArialMT"/>
                <w:b/>
                <w:i/>
                <w:szCs w:val="24"/>
                <w:lang w:eastAsia="en-US"/>
              </w:rPr>
              <w:t xml:space="preserve">, nR3 e nR4, </w:t>
            </w:r>
            <w:r w:rsidRPr="00853B5D">
              <w:rPr>
                <w:rFonts w:asciiTheme="minorHAnsi" w:eastAsiaTheme="minorHAnsi" w:hAnsiTheme="minorHAnsi" w:cs="ArialMT"/>
                <w:i/>
                <w:szCs w:val="24"/>
                <w:lang w:eastAsia="en-US"/>
              </w:rPr>
              <w:t>conforme critérios e regramentos do Plano Municipal de Desenvolvimento Econômico, a ser instituído por Lei específica.</w:t>
            </w:r>
          </w:p>
          <w:p w:rsidR="008F09A7" w:rsidRPr="00853B5D" w:rsidP="008F09A7">
            <w:pPr>
              <w:autoSpaceDE w:val="0"/>
              <w:autoSpaceDN w:val="0"/>
              <w:adjustRightInd w:val="0"/>
              <w:ind w:left="318"/>
              <w:jc w:val="both"/>
              <w:rPr>
                <w:rFonts w:asciiTheme="minorHAnsi" w:eastAsiaTheme="minorHAnsi" w:hAnsiTheme="minorHAnsi" w:cs="ArialMT"/>
                <w:i/>
                <w:szCs w:val="24"/>
                <w:lang w:eastAsia="en-US"/>
              </w:rPr>
            </w:pPr>
          </w:p>
          <w:p w:rsidR="008F09A7" w:rsidRPr="00853B5D" w:rsidP="008F09A7">
            <w:pPr>
              <w:autoSpaceDE w:val="0"/>
              <w:autoSpaceDN w:val="0"/>
              <w:adjustRightInd w:val="0"/>
              <w:ind w:left="318"/>
              <w:jc w:val="both"/>
              <w:rPr>
                <w:rFonts w:asciiTheme="minorHAnsi" w:eastAsiaTheme="minorHAnsi" w:hAnsiTheme="minorHAnsi" w:cs="ArialMT"/>
                <w:i/>
                <w:szCs w:val="24"/>
                <w:lang w:eastAsia="en-US"/>
              </w:rPr>
            </w:pPr>
            <w:r w:rsidRPr="00853B5D">
              <w:rPr>
                <w:rFonts w:asciiTheme="minorHAnsi" w:eastAsiaTheme="minorHAnsi" w:hAnsiTheme="minorHAnsi" w:cs="ArialMT"/>
                <w:b/>
                <w:i/>
                <w:szCs w:val="24"/>
                <w:lang w:eastAsia="en-US"/>
              </w:rPr>
              <w:t>§ 2º.</w:t>
            </w:r>
            <w:r w:rsidRPr="00853B5D">
              <w:rPr>
                <w:rFonts w:asciiTheme="minorHAnsi" w:eastAsiaTheme="minorHAnsi" w:hAnsiTheme="minorHAnsi" w:cs="ArialMT"/>
                <w:i/>
                <w:szCs w:val="24"/>
                <w:lang w:eastAsia="en-US"/>
              </w:rPr>
              <w:t xml:space="preserve"> Imóveis cuja OOAUS tenha sido paga com base no inciso II do caput, caso sofram posterior alteração de sua ocupação para fins </w:t>
            </w:r>
            <w:r w:rsidRPr="00853B5D">
              <w:rPr>
                <w:rFonts w:asciiTheme="minorHAnsi" w:eastAsiaTheme="minorHAnsi" w:hAnsiTheme="minorHAnsi" w:cs="ArialMT"/>
                <w:i/>
                <w:szCs w:val="24"/>
                <w:lang w:eastAsia="en-US"/>
              </w:rPr>
              <w:t>residenciais ou misto</w:t>
            </w:r>
            <w:r w:rsidRPr="00853B5D">
              <w:rPr>
                <w:rFonts w:asciiTheme="minorHAnsi" w:eastAsiaTheme="minorHAnsi" w:hAnsiTheme="minorHAnsi" w:cs="ArialMT"/>
                <w:i/>
                <w:szCs w:val="24"/>
                <w:lang w:eastAsia="en-US"/>
              </w:rPr>
              <w:t>, devem recolher a diferença entre os racionais em função da Unidade Fiscal do Município de Valinhos (UFMV) vigente à época da alteração.</w:t>
            </w:r>
          </w:p>
          <w:p w:rsidR="008F09A7" w:rsidRPr="00853B5D" w:rsidP="008F09A7">
            <w:pPr>
              <w:autoSpaceDE w:val="0"/>
              <w:autoSpaceDN w:val="0"/>
              <w:adjustRightInd w:val="0"/>
              <w:ind w:left="318"/>
              <w:jc w:val="both"/>
              <w:rPr>
                <w:rFonts w:asciiTheme="minorHAnsi" w:eastAsiaTheme="minorHAnsi" w:hAnsiTheme="minorHAnsi" w:cs="ArialMT"/>
                <w:i/>
                <w:szCs w:val="24"/>
                <w:lang w:eastAsia="en-US"/>
              </w:rPr>
            </w:pPr>
          </w:p>
          <w:p w:rsidR="008F09A7" w:rsidRPr="00853B5D" w:rsidP="008F09A7">
            <w:pPr>
              <w:autoSpaceDE w:val="0"/>
              <w:autoSpaceDN w:val="0"/>
              <w:adjustRightInd w:val="0"/>
              <w:ind w:left="318"/>
              <w:jc w:val="both"/>
              <w:rPr>
                <w:rFonts w:asciiTheme="minorHAnsi" w:hAnsiTheme="minorHAnsi" w:cs="Calibri"/>
                <w:b/>
              </w:rPr>
            </w:pPr>
            <w:r w:rsidRPr="00853B5D">
              <w:rPr>
                <w:rFonts w:asciiTheme="minorHAnsi" w:eastAsiaTheme="minorHAnsi" w:hAnsiTheme="minorHAnsi" w:cs="ArialMT"/>
                <w:b/>
                <w:i/>
                <w:szCs w:val="24"/>
                <w:lang w:eastAsia="en-US"/>
              </w:rPr>
              <w:t>§ 3º.</w:t>
            </w:r>
            <w:r w:rsidRPr="00853B5D">
              <w:rPr>
                <w:rFonts w:asciiTheme="minorHAnsi" w:eastAsiaTheme="minorHAnsi" w:hAnsiTheme="minorHAnsi" w:cs="ArialMT"/>
                <w:i/>
                <w:szCs w:val="24"/>
                <w:lang w:eastAsia="en-US"/>
              </w:rPr>
              <w:t xml:space="preserve"> A concessão da OOAUS para ocupações com fins </w:t>
            </w:r>
            <w:r w:rsidRPr="00853B5D">
              <w:rPr>
                <w:rFonts w:asciiTheme="minorHAnsi" w:eastAsiaTheme="minorHAnsi" w:hAnsiTheme="minorHAnsi" w:cs="ArialMT"/>
                <w:i/>
                <w:szCs w:val="24"/>
                <w:lang w:eastAsia="en-US"/>
              </w:rPr>
              <w:t>residenciais e misto em áreas de expansão urbana localizadas na Macrozona de Desenvolvimento Orientado (MDO) 1, 2 e 3</w:t>
            </w:r>
            <w:r w:rsidRPr="00853B5D">
              <w:rPr>
                <w:rFonts w:asciiTheme="minorHAnsi" w:eastAsiaTheme="minorHAnsi" w:hAnsiTheme="minorHAnsi" w:cs="ArialMT"/>
                <w:i/>
                <w:szCs w:val="24"/>
                <w:lang w:eastAsia="en-US"/>
              </w:rPr>
              <w:t xml:space="preserve"> fica condicionada à implantação concomitante de ocupações com fins não residenciais, objetivando fomentar, atrair e fixar indústrias e novos empreendimentos no Município</w:t>
            </w:r>
            <w:r w:rsidRPr="00853B5D">
              <w:rPr>
                <w:rFonts w:asciiTheme="minorHAnsi" w:eastAsiaTheme="minorHAnsi" w:hAnsiTheme="minorHAnsi" w:cs="ArialMT"/>
                <w:szCs w:val="24"/>
                <w:lang w:eastAsia="en-US"/>
              </w:rPr>
              <w:t>.</w:t>
            </w:r>
          </w:p>
        </w:tc>
      </w:tr>
    </w:tbl>
    <w:p w:rsidR="00473A76" w:rsidRPr="00853B5D" w:rsidP="0023693B">
      <w:pPr>
        <w:pStyle w:val="Default"/>
        <w:spacing w:after="240" w:line="360" w:lineRule="auto"/>
        <w:ind w:firstLine="2268"/>
        <w:jc w:val="both"/>
        <w:rPr>
          <w:rFonts w:ascii="Calibri" w:hAnsi="Calibri" w:cs="Calibri"/>
          <w:i/>
          <w:color w:val="auto"/>
          <w:sz w:val="12"/>
          <w:szCs w:val="12"/>
        </w:rPr>
      </w:pPr>
    </w:p>
    <w:p w:rsidR="001962C1" w:rsidRPr="00853B5D" w:rsidP="00A779B8">
      <w:pPr>
        <w:pStyle w:val="Default"/>
        <w:spacing w:after="240" w:line="360" w:lineRule="auto"/>
        <w:ind w:firstLine="2268"/>
        <w:jc w:val="both"/>
        <w:rPr>
          <w:rFonts w:ascii="Calibri" w:hAnsi="Calibri" w:cs="Calibri"/>
          <w:color w:val="auto"/>
        </w:rPr>
      </w:pPr>
      <w:r w:rsidRPr="00853B5D">
        <w:rPr>
          <w:rFonts w:ascii="Calibri" w:hAnsi="Calibri" w:cs="Calibri"/>
          <w:color w:val="auto"/>
        </w:rPr>
        <w:t>Consta da justificativa do projeto:</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MT"/>
          <w:i/>
          <w:sz w:val="22"/>
          <w:szCs w:val="22"/>
          <w:lang w:eastAsia="en-US"/>
        </w:rPr>
      </w:pPr>
      <w:r w:rsidRPr="00853B5D">
        <w:rPr>
          <w:rFonts w:asciiTheme="minorHAnsi" w:eastAsiaTheme="minorHAnsi" w:hAnsiTheme="minorHAnsi" w:cs="ArialMT"/>
          <w:i/>
          <w:sz w:val="22"/>
          <w:szCs w:val="22"/>
          <w:lang w:eastAsia="en-US"/>
        </w:rPr>
        <w:t>Entendendo a importância e em consonância com a Carta</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MT"/>
          <w:i/>
          <w:sz w:val="22"/>
          <w:szCs w:val="22"/>
          <w:lang w:eastAsia="en-US"/>
        </w:rPr>
      </w:pPr>
      <w:r w:rsidRPr="00853B5D">
        <w:rPr>
          <w:rFonts w:asciiTheme="minorHAnsi" w:eastAsiaTheme="minorHAnsi" w:hAnsiTheme="minorHAnsi" w:cs="ArialMT"/>
          <w:i/>
          <w:sz w:val="22"/>
          <w:szCs w:val="22"/>
          <w:lang w:eastAsia="en-US"/>
        </w:rPr>
        <w:t>Aberta apresentada pela AEVAL, Associação dos Empresários de Valinhos, à Comissão de sistematização dos Projetos de Lei 185/2022 e 186/2022 conforme trechos:</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ADMINISTRAÇÃO</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“24. Elaborar uma política mais agressiva para atração de novas empresas e indústrias para o município</w:t>
      </w:r>
      <w:r w:rsidRPr="00853B5D">
        <w:rPr>
          <w:rFonts w:asciiTheme="minorHAnsi" w:eastAsiaTheme="minorHAnsi" w:hAnsiTheme="minorHAnsi" w:cs="Arial-ItalicMT"/>
          <w:i/>
          <w:iCs/>
          <w:sz w:val="22"/>
          <w:szCs w:val="22"/>
          <w:lang w:eastAsia="en-US"/>
        </w:rPr>
        <w:t>…….</w:t>
      </w:r>
      <w:r w:rsidRPr="00853B5D">
        <w:rPr>
          <w:rFonts w:asciiTheme="minorHAnsi" w:eastAsiaTheme="minorHAnsi" w:hAnsiTheme="minorHAnsi" w:cs="Arial-ItalicMT"/>
          <w:i/>
          <w:iCs/>
          <w:sz w:val="22"/>
          <w:szCs w:val="22"/>
          <w:lang w:eastAsia="en-US"/>
        </w:rPr>
        <w:t>”</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E</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“37. Realizar um estudo de reavaliação do zoneamento para adequação das empresas instaladas, bem como, viabilizar a implantação de Parque tecnológico empresarial.</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DESENVOLVIMENTO ECONÔMICO</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1. Polo industrial/ logístico/ tecnológico</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“Criação de um polo industrial/ logístico/ tecnológico, para atrair mais investimentos ao município, em função da excelente posição geográfica de Valinhos, seja em função da malha viária, proximidade de Viracopos e com a proximidade de um polo universitário/pesquisas (UNICAMP, PUC, IAC, ITAL) dentre outros.”</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A fim de viabilizar e incentivar a abertura de novas áreas</w:t>
      </w:r>
    </w:p>
    <w:p w:rsidR="008F09A7" w:rsidRPr="00853B5D" w:rsidP="008F09A7">
      <w:pPr>
        <w:autoSpaceDE w:val="0"/>
        <w:autoSpaceDN w:val="0"/>
        <w:adjustRightInd w:val="0"/>
        <w:spacing w:after="0" w:line="240" w:lineRule="auto"/>
        <w:ind w:left="2835"/>
        <w:jc w:val="both"/>
        <w:rPr>
          <w:rFonts w:asciiTheme="minorHAnsi" w:eastAsiaTheme="minorHAnsi" w:hAnsiTheme="minorHAnsi" w:cs="Arial-ItalicMT"/>
          <w:i/>
          <w:iCs/>
          <w:sz w:val="22"/>
          <w:szCs w:val="22"/>
          <w:lang w:eastAsia="en-US"/>
        </w:rPr>
      </w:pPr>
      <w:r w:rsidRPr="00853B5D">
        <w:rPr>
          <w:rFonts w:asciiTheme="minorHAnsi" w:eastAsiaTheme="minorHAnsi" w:hAnsiTheme="minorHAnsi" w:cs="Arial-ItalicMT"/>
          <w:i/>
          <w:iCs/>
          <w:sz w:val="22"/>
          <w:szCs w:val="22"/>
          <w:lang w:eastAsia="en-US"/>
        </w:rPr>
        <w:t>industriais</w:t>
      </w:r>
      <w:r w:rsidRPr="00853B5D">
        <w:rPr>
          <w:rFonts w:asciiTheme="minorHAnsi" w:eastAsiaTheme="minorHAnsi" w:hAnsiTheme="minorHAnsi" w:cs="Arial-ItalicMT"/>
          <w:i/>
          <w:iCs/>
          <w:sz w:val="22"/>
          <w:szCs w:val="22"/>
          <w:lang w:eastAsia="en-US"/>
        </w:rPr>
        <w:t>, a MDO 4 contará com isenção da OOAUS desde que a alteração de uso do solo seja para empreendimentos industriais.”</w:t>
      </w:r>
    </w:p>
    <w:p w:rsidR="008F09A7" w:rsidRPr="00853B5D" w:rsidP="008F09A7">
      <w:pPr>
        <w:autoSpaceDE w:val="0"/>
        <w:autoSpaceDN w:val="0"/>
        <w:adjustRightInd w:val="0"/>
        <w:spacing w:after="0" w:line="240" w:lineRule="auto"/>
        <w:ind w:left="2835"/>
        <w:jc w:val="both"/>
        <w:rPr>
          <w:rFonts w:asciiTheme="minorHAnsi" w:hAnsiTheme="minorHAnsi" w:cs="Calibri"/>
          <w:i/>
        </w:rPr>
      </w:pPr>
    </w:p>
    <w:p w:rsidR="00A779B8" w:rsidRPr="00853B5D" w:rsidP="00A779B8">
      <w:pPr>
        <w:pStyle w:val="Default"/>
        <w:spacing w:after="240" w:line="360" w:lineRule="auto"/>
        <w:ind w:firstLine="2268"/>
        <w:jc w:val="both"/>
        <w:rPr>
          <w:rFonts w:ascii="Calibri" w:hAnsi="Calibri" w:cs="Calibri"/>
          <w:color w:val="auto"/>
        </w:rPr>
      </w:pPr>
      <w:r w:rsidRPr="00853B5D">
        <w:rPr>
          <w:rFonts w:ascii="Calibri" w:hAnsi="Calibri" w:cs="Calibri"/>
          <w:i/>
          <w:color w:val="auto"/>
        </w:rPr>
        <w:t>Ab initio</w:t>
      </w:r>
      <w:r w:rsidRPr="00853B5D">
        <w:rPr>
          <w:rFonts w:ascii="Calibri" w:hAnsi="Calibri" w:cs="Calibri"/>
          <w:color w:val="auto"/>
        </w:rPr>
        <w:t>, cumpre destacar a competência regimental da Comissão de Justiça e Redação, estabelecida no artigo 38.</w:t>
      </w:r>
    </w:p>
    <w:p w:rsidR="00A779B8" w:rsidRPr="00853B5D" w:rsidP="00A36A7A">
      <w:pPr>
        <w:spacing w:after="120" w:line="360" w:lineRule="auto"/>
        <w:ind w:firstLine="2268"/>
        <w:jc w:val="both"/>
        <w:rPr>
          <w:rFonts w:ascii="Calibri" w:hAnsi="Calibri" w:cs="Calibri"/>
        </w:rPr>
      </w:pPr>
      <w:r w:rsidRPr="00853B5D">
        <w:rPr>
          <w:rFonts w:ascii="Calibri" w:hAnsi="Calibri" w:cs="Calibri"/>
          <w:szCs w:val="24"/>
        </w:rPr>
        <w:t>Outrossim</w:t>
      </w:r>
      <w:r w:rsidRPr="00853B5D">
        <w:rPr>
          <w:rFonts w:ascii="Calibri" w:hAnsi="Calibri" w:cs="Calibri"/>
          <w:szCs w:val="24"/>
        </w:rPr>
        <w:t xml:space="preserve">, ressalta-se que a opinião jurídica exarada neste parecer </w:t>
      </w:r>
      <w:r w:rsidRPr="00853B5D">
        <w:rPr>
          <w:rFonts w:ascii="Calibri" w:hAnsi="Calibri" w:cs="Calibri"/>
          <w:b/>
          <w:szCs w:val="24"/>
        </w:rPr>
        <w:t>não tem força vinculante,</w:t>
      </w:r>
      <w:r w:rsidRPr="00853B5D" w:rsidR="00A36A7A">
        <w:rPr>
          <w:rFonts w:ascii="Calibri" w:hAnsi="Calibri" w:cs="Calibri"/>
          <w:szCs w:val="24"/>
        </w:rPr>
        <w:t xml:space="preserve"> sendo meramente opinativa</w:t>
      </w:r>
      <w:r>
        <w:rPr>
          <w:rStyle w:val="FootnoteReference"/>
          <w:rFonts w:ascii="Calibri" w:hAnsi="Calibri" w:cs="Calibri"/>
        </w:rPr>
        <w:footnoteReference w:id="2"/>
      </w:r>
      <w:r w:rsidRPr="00853B5D" w:rsidR="00DF22E1">
        <w:rPr>
          <w:rFonts w:ascii="Calibri" w:hAnsi="Calibri" w:cs="Calibri"/>
        </w:rPr>
        <w:t xml:space="preserve"> </w:t>
      </w:r>
      <w:r w:rsidRPr="00853B5D">
        <w:rPr>
          <w:rFonts w:ascii="Calibri" w:hAnsi="Calibri" w:cs="Calibri"/>
          <w:szCs w:val="24"/>
        </w:rPr>
        <w:t xml:space="preserve"> não fundamentando decisão proferida pelas Comissões e/ou nobres vereadores.</w:t>
      </w:r>
      <w:r w:rsidRPr="00853B5D" w:rsidR="00A36A7A">
        <w:rPr>
          <w:rFonts w:ascii="Calibri" w:hAnsi="Calibri" w:cs="Calibri"/>
          <w:szCs w:val="24"/>
        </w:rPr>
        <w:t xml:space="preserve"> </w:t>
      </w:r>
    </w:p>
    <w:p w:rsidR="00A779B8" w:rsidRPr="00853B5D" w:rsidP="00A779B8">
      <w:pPr>
        <w:tabs>
          <w:tab w:val="left" w:pos="1701"/>
        </w:tabs>
        <w:spacing w:after="240" w:line="360" w:lineRule="auto"/>
        <w:ind w:firstLine="2268"/>
        <w:jc w:val="both"/>
        <w:rPr>
          <w:rFonts w:ascii="Calibri" w:eastAsia="Calibri" w:hAnsi="Calibri" w:cs="Calibri"/>
          <w:szCs w:val="24"/>
        </w:rPr>
      </w:pPr>
      <w:r w:rsidRPr="00853B5D">
        <w:rPr>
          <w:rFonts w:ascii="Calibri" w:eastAsia="Calibri" w:hAnsi="Calibri" w:cs="Calibri"/>
          <w:szCs w:val="24"/>
        </w:rPr>
        <w:t>Desta feita, considerando os aspectos jurídicos</w:t>
      </w:r>
      <w:r w:rsidRPr="00853B5D" w:rsidR="001604ED">
        <w:rPr>
          <w:rFonts w:ascii="Calibri" w:eastAsia="Calibri" w:hAnsi="Calibri" w:cs="Calibri"/>
          <w:szCs w:val="24"/>
        </w:rPr>
        <w:t xml:space="preserve"> passamos para</w:t>
      </w:r>
      <w:r w:rsidRPr="00853B5D">
        <w:rPr>
          <w:rFonts w:ascii="Calibri" w:eastAsia="Calibri" w:hAnsi="Calibri" w:cs="Calibri"/>
          <w:szCs w:val="24"/>
        </w:rPr>
        <w:t xml:space="preserve"> análise técnica do projeto em epígrafe solicitado.</w:t>
      </w:r>
    </w:p>
    <w:p w:rsidR="00A779B8" w:rsidRPr="00853B5D" w:rsidP="00A779B8">
      <w:pPr>
        <w:spacing w:before="240" w:after="240" w:line="360" w:lineRule="auto"/>
        <w:ind w:firstLine="2268"/>
        <w:jc w:val="both"/>
        <w:rPr>
          <w:rFonts w:ascii="Calibri" w:hAnsi="Calibri" w:cs="Calibri"/>
          <w:szCs w:val="24"/>
        </w:rPr>
      </w:pPr>
      <w:r w:rsidRPr="00853B5D">
        <w:rPr>
          <w:rFonts w:ascii="Calibri" w:hAnsi="Calibri" w:cs="Calibri"/>
          <w:szCs w:val="24"/>
        </w:rPr>
        <w:t>No que tange aos projetos de emendas o Regimento Interno desta Casa de Leis assim estabelece:</w:t>
      </w:r>
    </w:p>
    <w:p w:rsidR="00A779B8" w:rsidRPr="00853B5D" w:rsidP="00026560">
      <w:pPr>
        <w:autoSpaceDE w:val="0"/>
        <w:autoSpaceDN w:val="0"/>
        <w:adjustRightInd w:val="0"/>
        <w:spacing w:after="120"/>
        <w:ind w:left="2835"/>
        <w:jc w:val="both"/>
        <w:rPr>
          <w:rFonts w:ascii="Calibri" w:hAnsi="Calibri" w:cs="Calibri"/>
          <w:i/>
          <w:sz w:val="22"/>
          <w:szCs w:val="22"/>
          <w:u w:val="single"/>
        </w:rPr>
      </w:pPr>
      <w:r w:rsidRPr="00853B5D">
        <w:rPr>
          <w:rFonts w:ascii="Calibri" w:hAnsi="Calibri" w:cs="Calibri"/>
          <w:i/>
          <w:sz w:val="22"/>
          <w:szCs w:val="22"/>
        </w:rPr>
        <w:t xml:space="preserve">Art. 140. </w:t>
      </w:r>
      <w:r w:rsidRPr="00853B5D">
        <w:rPr>
          <w:rFonts w:ascii="Calibri" w:hAnsi="Calibri" w:cs="Calibri"/>
          <w:b/>
          <w:i/>
          <w:sz w:val="22"/>
          <w:szCs w:val="22"/>
          <w:u w:val="single"/>
        </w:rPr>
        <w:t>Emenda é a correção apresentada a um dispositivo de projeto de lei ou de resolução.</w:t>
      </w:r>
      <w:r w:rsidRPr="00853B5D">
        <w:rPr>
          <w:rFonts w:ascii="Calibri" w:hAnsi="Calibri" w:cs="Calibri"/>
          <w:i/>
          <w:sz w:val="22"/>
          <w:szCs w:val="22"/>
          <w:u w:val="single"/>
        </w:rPr>
        <w:t xml:space="preserve"> </w:t>
      </w:r>
    </w:p>
    <w:p w:rsidR="00A779B8" w:rsidRPr="00853B5D" w:rsidP="00026560">
      <w:pPr>
        <w:autoSpaceDE w:val="0"/>
        <w:autoSpaceDN w:val="0"/>
        <w:adjustRightInd w:val="0"/>
        <w:spacing w:after="120"/>
        <w:ind w:left="2835"/>
        <w:jc w:val="both"/>
        <w:rPr>
          <w:rFonts w:ascii="Calibri" w:hAnsi="Calibri" w:cs="Calibri"/>
          <w:i/>
          <w:sz w:val="22"/>
          <w:szCs w:val="22"/>
        </w:rPr>
      </w:pPr>
      <w:r w:rsidRPr="00853B5D">
        <w:rPr>
          <w:rFonts w:ascii="Calibri" w:hAnsi="Calibri" w:cs="Calibri"/>
          <w:i/>
          <w:sz w:val="22"/>
          <w:szCs w:val="22"/>
        </w:rPr>
        <w:t xml:space="preserve">§ 1º. Emenda supressiva é a que manda suprimir, em parte ou no todo, o artigo do projeto. </w:t>
      </w:r>
    </w:p>
    <w:p w:rsidR="00A779B8" w:rsidRPr="00853B5D" w:rsidP="00026560">
      <w:pPr>
        <w:autoSpaceDE w:val="0"/>
        <w:autoSpaceDN w:val="0"/>
        <w:adjustRightInd w:val="0"/>
        <w:spacing w:after="120"/>
        <w:ind w:left="2835"/>
        <w:jc w:val="both"/>
        <w:rPr>
          <w:rFonts w:ascii="Calibri" w:hAnsi="Calibri" w:cs="Calibri"/>
          <w:i/>
          <w:sz w:val="22"/>
          <w:szCs w:val="22"/>
        </w:rPr>
      </w:pPr>
      <w:r w:rsidRPr="00853B5D">
        <w:rPr>
          <w:rFonts w:ascii="Calibri" w:hAnsi="Calibri" w:cs="Calibri"/>
          <w:i/>
          <w:sz w:val="22"/>
          <w:szCs w:val="22"/>
        </w:rPr>
        <w:t xml:space="preserve">§ 2º. Emenda substitutiva é a que deve ser colocada no lugar do artigo. </w:t>
      </w:r>
    </w:p>
    <w:p w:rsidR="00A779B8" w:rsidRPr="00853B5D" w:rsidP="00026560">
      <w:pPr>
        <w:autoSpaceDE w:val="0"/>
        <w:autoSpaceDN w:val="0"/>
        <w:adjustRightInd w:val="0"/>
        <w:spacing w:after="120"/>
        <w:ind w:left="2835"/>
        <w:jc w:val="both"/>
        <w:rPr>
          <w:rFonts w:ascii="Calibri" w:hAnsi="Calibri" w:cs="Calibri"/>
          <w:b/>
          <w:i/>
          <w:sz w:val="22"/>
          <w:szCs w:val="22"/>
        </w:rPr>
      </w:pPr>
      <w:r w:rsidRPr="00853B5D">
        <w:rPr>
          <w:rFonts w:ascii="Calibri" w:hAnsi="Calibri" w:cs="Calibri"/>
          <w:i/>
          <w:sz w:val="22"/>
          <w:szCs w:val="22"/>
        </w:rPr>
        <w:t>§ 3º. Emenda aditiva é a que deve ser acrescentada aos termos do artigo</w:t>
      </w:r>
      <w:r w:rsidRPr="00853B5D">
        <w:rPr>
          <w:rFonts w:ascii="Calibri" w:hAnsi="Calibri" w:cs="Calibri"/>
          <w:b/>
          <w:i/>
          <w:sz w:val="22"/>
          <w:szCs w:val="22"/>
        </w:rPr>
        <w:t xml:space="preserve">. </w:t>
      </w:r>
    </w:p>
    <w:p w:rsidR="00A779B8" w:rsidRPr="00853B5D" w:rsidP="00026560">
      <w:pPr>
        <w:autoSpaceDE w:val="0"/>
        <w:autoSpaceDN w:val="0"/>
        <w:adjustRightInd w:val="0"/>
        <w:spacing w:after="120"/>
        <w:ind w:left="2835"/>
        <w:jc w:val="both"/>
        <w:rPr>
          <w:rFonts w:ascii="Calibri" w:hAnsi="Calibri" w:cs="Calibri"/>
          <w:i/>
          <w:sz w:val="22"/>
          <w:szCs w:val="22"/>
        </w:rPr>
      </w:pPr>
      <w:r w:rsidRPr="00853B5D">
        <w:rPr>
          <w:rFonts w:ascii="Calibri" w:hAnsi="Calibri" w:cs="Calibri"/>
          <w:i/>
          <w:sz w:val="22"/>
          <w:szCs w:val="22"/>
        </w:rPr>
        <w:t xml:space="preserve">§ 4º. Emenda modificativa é a que se refere apenas à redação do artigo, sem alterar a sua substância. </w:t>
      </w:r>
    </w:p>
    <w:p w:rsidR="00A779B8" w:rsidRPr="00853B5D" w:rsidP="00026560">
      <w:pPr>
        <w:autoSpaceDE w:val="0"/>
        <w:autoSpaceDN w:val="0"/>
        <w:adjustRightInd w:val="0"/>
        <w:spacing w:after="120"/>
        <w:ind w:left="2835"/>
        <w:jc w:val="both"/>
        <w:rPr>
          <w:rFonts w:ascii="Calibri" w:hAnsi="Calibri" w:cs="Calibri"/>
          <w:i/>
          <w:sz w:val="22"/>
          <w:szCs w:val="22"/>
        </w:rPr>
      </w:pPr>
      <w:r w:rsidRPr="00853B5D">
        <w:rPr>
          <w:rFonts w:ascii="Calibri" w:hAnsi="Calibri" w:cs="Calibri"/>
          <w:i/>
          <w:sz w:val="22"/>
          <w:szCs w:val="22"/>
        </w:rPr>
        <w:t xml:space="preserve">§ 5º. A emenda apresentada à outra emenda denomina-se subemenda. </w:t>
      </w:r>
    </w:p>
    <w:p w:rsidR="00A779B8" w:rsidRPr="00853B5D" w:rsidP="00026560">
      <w:pPr>
        <w:autoSpaceDE w:val="0"/>
        <w:autoSpaceDN w:val="0"/>
        <w:adjustRightInd w:val="0"/>
        <w:spacing w:after="120"/>
        <w:ind w:left="2835"/>
        <w:jc w:val="both"/>
        <w:rPr>
          <w:rFonts w:ascii="Calibri" w:hAnsi="Calibri" w:cs="Calibri"/>
          <w:b/>
          <w:i/>
          <w:sz w:val="22"/>
          <w:szCs w:val="22"/>
        </w:rPr>
      </w:pPr>
      <w:r w:rsidRPr="00853B5D">
        <w:rPr>
          <w:rFonts w:ascii="Calibri" w:hAnsi="Calibri" w:cs="Calibri"/>
          <w:i/>
          <w:sz w:val="22"/>
          <w:szCs w:val="22"/>
        </w:rPr>
        <w:t xml:space="preserve">Art. 141. </w:t>
      </w:r>
      <w:r w:rsidRPr="00853B5D">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853B5D" w:rsidP="00026560">
      <w:pPr>
        <w:autoSpaceDE w:val="0"/>
        <w:autoSpaceDN w:val="0"/>
        <w:adjustRightInd w:val="0"/>
        <w:spacing w:after="120"/>
        <w:ind w:left="2835"/>
        <w:jc w:val="both"/>
        <w:rPr>
          <w:rFonts w:ascii="Calibri" w:hAnsi="Calibri" w:cs="Calibri"/>
          <w:i/>
          <w:sz w:val="22"/>
          <w:szCs w:val="22"/>
        </w:rPr>
      </w:pPr>
      <w:r w:rsidRPr="00853B5D">
        <w:rPr>
          <w:rFonts w:ascii="Calibri" w:hAnsi="Calibri" w:cs="Calibri"/>
          <w:i/>
          <w:sz w:val="22"/>
          <w:szCs w:val="22"/>
        </w:rPr>
        <w:t xml:space="preserve">§ 1º. O autor do projeto que receber substitutivo ou </w:t>
      </w:r>
      <w:r w:rsidRPr="00853B5D">
        <w:rPr>
          <w:rFonts w:ascii="Calibri" w:hAnsi="Calibri" w:cs="Calibri"/>
          <w:i/>
          <w:sz w:val="22"/>
          <w:szCs w:val="22"/>
        </w:rPr>
        <w:t>emenda estranhos</w:t>
      </w:r>
      <w:r w:rsidRPr="00853B5D">
        <w:rPr>
          <w:rFonts w:ascii="Calibri" w:hAnsi="Calibri" w:cs="Calibri"/>
          <w:i/>
          <w:sz w:val="22"/>
          <w:szCs w:val="22"/>
        </w:rPr>
        <w:t xml:space="preserve"> ao seu objetivo terá o direito de reclamar contra a sua admissão, competindo ao Presidente decidir sobre a reclamação. </w:t>
      </w:r>
    </w:p>
    <w:p w:rsidR="00A779B8" w:rsidRPr="00853B5D" w:rsidP="00026560">
      <w:pPr>
        <w:autoSpaceDE w:val="0"/>
        <w:autoSpaceDN w:val="0"/>
        <w:adjustRightInd w:val="0"/>
        <w:spacing w:after="120"/>
        <w:ind w:left="2835"/>
        <w:jc w:val="both"/>
        <w:rPr>
          <w:rFonts w:ascii="Calibri" w:hAnsi="Calibri" w:cs="Calibri"/>
          <w:i/>
          <w:sz w:val="22"/>
          <w:szCs w:val="22"/>
        </w:rPr>
      </w:pPr>
      <w:r w:rsidRPr="00853B5D">
        <w:rPr>
          <w:rFonts w:ascii="Calibri" w:hAnsi="Calibri" w:cs="Calibri"/>
          <w:i/>
          <w:sz w:val="22"/>
          <w:szCs w:val="22"/>
        </w:rPr>
        <w:t>§ 2º. Da decisão do Presidente caberá recurso ao Plenário, a ser proposto pelo autor do projeto ou do substitutivo ou emenda.</w:t>
      </w:r>
    </w:p>
    <w:p w:rsidR="00026560" w:rsidRPr="00853B5D" w:rsidP="00026560">
      <w:pPr>
        <w:autoSpaceDE w:val="0"/>
        <w:autoSpaceDN w:val="0"/>
        <w:adjustRightInd w:val="0"/>
        <w:spacing w:before="240" w:after="240" w:line="360" w:lineRule="auto"/>
        <w:ind w:firstLine="2268"/>
        <w:jc w:val="both"/>
        <w:rPr>
          <w:rFonts w:ascii="Calibri" w:hAnsi="Calibri" w:cs="Calibri"/>
        </w:rPr>
      </w:pPr>
      <w:r w:rsidRPr="00853B5D">
        <w:rPr>
          <w:rFonts w:ascii="Calibri" w:hAnsi="Calibri" w:cs="Calibri"/>
          <w:szCs w:val="24"/>
        </w:rPr>
        <w:t xml:space="preserve">Destarte, verifica-se que o projeto de emenda atende aos dispositivos do Regimento Interno da Câmara, </w:t>
      </w:r>
      <w:r w:rsidRPr="00853B5D" w:rsidR="00E86B5F">
        <w:rPr>
          <w:rFonts w:ascii="Calibri" w:hAnsi="Calibri" w:eastAsiaTheme="minorHAnsi" w:cs="Calibri"/>
          <w:bCs/>
          <w:lang w:eastAsia="en-US"/>
        </w:rPr>
        <w:t>tratando-se de emenda que tem relação direta com a matéria da proposição principal,</w:t>
      </w:r>
      <w:r w:rsidRPr="00853B5D" w:rsidR="00E86B5F">
        <w:rPr>
          <w:rFonts w:ascii="Calibri" w:hAnsi="Calibri" w:cs="Calibri"/>
        </w:rPr>
        <w:t xml:space="preserve"> não havendo óbice na sua tramitação.</w:t>
      </w:r>
    </w:p>
    <w:p w:rsidR="00E86B5F" w:rsidRPr="00853B5D"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853B5D">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853B5D">
        <w:rPr>
          <w:rFonts w:ascii="Calibri" w:hAnsi="Calibri" w:eastAsiaTheme="minorHAnsi" w:cs="Calibri"/>
          <w:b/>
          <w:szCs w:val="24"/>
          <w:u w:val="single"/>
          <w:lang w:eastAsia="en-US"/>
        </w:rPr>
        <w:t>desde que guardem pertinência temática com o projeto</w:t>
      </w:r>
      <w:r w:rsidRPr="00853B5D">
        <w:rPr>
          <w:rFonts w:ascii="Calibri" w:hAnsi="Calibri" w:eastAsiaTheme="minorHAnsi" w:cs="Calibri"/>
          <w:b/>
          <w:szCs w:val="24"/>
          <w:lang w:eastAsia="en-US"/>
        </w:rPr>
        <w:t xml:space="preserve"> </w:t>
      </w:r>
      <w:r w:rsidRPr="00853B5D">
        <w:rPr>
          <w:rFonts w:ascii="Calibri" w:hAnsi="Calibri" w:eastAsiaTheme="minorHAnsi" w:cs="Calibri"/>
          <w:b/>
          <w:szCs w:val="24"/>
          <w:u w:val="single"/>
          <w:lang w:eastAsia="en-US"/>
        </w:rPr>
        <w:t xml:space="preserve">e não </w:t>
      </w:r>
      <w:r w:rsidRPr="00853B5D">
        <w:rPr>
          <w:rFonts w:ascii="Calibri" w:hAnsi="Calibri" w:eastAsiaTheme="minorHAnsi" w:cs="Calibri"/>
          <w:b/>
          <w:szCs w:val="24"/>
          <w:u w:val="single"/>
          <w:lang w:eastAsia="en-US"/>
        </w:rPr>
        <w:t>importem</w:t>
      </w:r>
      <w:r w:rsidRPr="00853B5D">
        <w:rPr>
          <w:rFonts w:ascii="Calibri" w:hAnsi="Calibri" w:eastAsiaTheme="minorHAnsi" w:cs="Calibri"/>
          <w:b/>
          <w:szCs w:val="24"/>
          <w:u w:val="single"/>
          <w:lang w:eastAsia="en-US"/>
        </w:rPr>
        <w:t xml:space="preserve"> em aumento de despesas</w:t>
      </w:r>
      <w:r w:rsidRPr="00853B5D" w:rsidR="000368DD">
        <w:rPr>
          <w:rFonts w:ascii="Calibri" w:hAnsi="Calibri" w:eastAsiaTheme="minorHAnsi" w:cs="Calibri"/>
          <w:b/>
          <w:szCs w:val="24"/>
          <w:u w:val="single"/>
          <w:lang w:eastAsia="en-US"/>
        </w:rPr>
        <w:t xml:space="preserve">, </w:t>
      </w:r>
      <w:r w:rsidRPr="00853B5D" w:rsidR="000368DD">
        <w:rPr>
          <w:rFonts w:ascii="Calibri" w:hAnsi="Calibri" w:eastAsiaTheme="minorHAnsi" w:cs="Calibri"/>
          <w:szCs w:val="24"/>
          <w:lang w:eastAsia="en-US"/>
        </w:rPr>
        <w:t>o que desde já se observa na emenda em análise</w:t>
      </w:r>
      <w:r w:rsidRPr="00853B5D">
        <w:rPr>
          <w:rFonts w:ascii="Calibri" w:hAnsi="Calibri" w:eastAsiaTheme="minorHAnsi" w:cs="Calibri"/>
          <w:szCs w:val="24"/>
          <w:lang w:eastAsia="en-US"/>
        </w:rPr>
        <w:t>:</w:t>
      </w:r>
    </w:p>
    <w:p w:rsidR="00E86B5F" w:rsidRPr="00853B5D"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853B5D">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853B5D"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853B5D">
        <w:rPr>
          <w:rFonts w:ascii="Calibri" w:hAnsi="Calibri" w:eastAsiaTheme="minorHAnsi" w:cs="Calibri"/>
          <w:i/>
          <w:sz w:val="22"/>
          <w:szCs w:val="22"/>
          <w:lang w:eastAsia="en-US"/>
        </w:rPr>
        <w:t xml:space="preserve">1. </w:t>
      </w:r>
      <w:r w:rsidRPr="00853B5D">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853B5D"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853B5D">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853B5D"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853B5D">
        <w:rPr>
          <w:rFonts w:ascii="Calibri" w:hAnsi="Calibri" w:eastAsiaTheme="minorHAnsi" w:cs="Calibri"/>
          <w:i/>
          <w:sz w:val="22"/>
          <w:szCs w:val="22"/>
          <w:lang w:eastAsia="en-US"/>
        </w:rPr>
        <w:t>3. Ação direta de inconstitucionalidade julgada improcedente.</w:t>
      </w:r>
    </w:p>
    <w:p w:rsidR="00E86B5F" w:rsidRPr="00853B5D" w:rsidP="000E2AF4">
      <w:pPr>
        <w:shd w:val="clear" w:color="auto" w:fill="FFFFFF"/>
        <w:spacing w:before="120" w:after="120"/>
        <w:ind w:left="2835"/>
        <w:jc w:val="both"/>
        <w:rPr>
          <w:rFonts w:ascii="Calibri" w:hAnsi="Calibri" w:cs="Calibri"/>
          <w:i/>
        </w:rPr>
      </w:pPr>
      <w:r w:rsidRPr="00853B5D">
        <w:rPr>
          <w:rFonts w:ascii="Calibri" w:hAnsi="Calibri" w:cs="Calibri"/>
          <w:i/>
        </w:rPr>
        <w:t>(STF. ADI 2583 RS. Plenário, 01.08.2011</w:t>
      </w:r>
      <w:r w:rsidRPr="00853B5D">
        <w:rPr>
          <w:rFonts w:ascii="Calibri" w:hAnsi="Calibri" w:cs="Calibri"/>
          <w:i/>
        </w:rPr>
        <w:t>)</w:t>
      </w:r>
    </w:p>
    <w:p w:rsidR="00E86B5F" w:rsidRPr="00853B5D" w:rsidP="00E86B5F">
      <w:pPr>
        <w:shd w:val="clear" w:color="auto" w:fill="FFFFFF"/>
        <w:ind w:left="2268"/>
        <w:jc w:val="both"/>
        <w:rPr>
          <w:rFonts w:ascii="Calibri" w:hAnsi="Calibri" w:cs="Calibri"/>
          <w:i/>
          <w:sz w:val="12"/>
          <w:szCs w:val="12"/>
        </w:rPr>
      </w:pPr>
    </w:p>
    <w:p w:rsidR="00E86B5F" w:rsidRPr="00853B5D" w:rsidP="00B2546C">
      <w:pPr>
        <w:spacing w:after="0" w:line="360" w:lineRule="auto"/>
        <w:ind w:firstLine="2268"/>
        <w:jc w:val="both"/>
        <w:rPr>
          <w:rFonts w:ascii="Calibri" w:hAnsi="Calibri" w:cs="Calibri"/>
          <w:szCs w:val="24"/>
        </w:rPr>
      </w:pPr>
      <w:r w:rsidRPr="00853B5D">
        <w:rPr>
          <w:rFonts w:ascii="Calibri" w:hAnsi="Calibri" w:cs="Calibri"/>
          <w:szCs w:val="24"/>
        </w:rPr>
        <w:t>No mesmo sentido o Tribunal de Justiça do Estado de São Paulo:</w:t>
      </w:r>
    </w:p>
    <w:p w:rsidR="00E86B5F" w:rsidRPr="00853B5D" w:rsidP="00B2546C">
      <w:pPr>
        <w:spacing w:after="0" w:line="240" w:lineRule="auto"/>
        <w:ind w:left="2835"/>
        <w:jc w:val="both"/>
        <w:rPr>
          <w:rFonts w:ascii="Calibri" w:hAnsi="Calibri" w:cs="Calibri"/>
          <w:i/>
          <w:sz w:val="22"/>
          <w:szCs w:val="22"/>
        </w:rPr>
      </w:pPr>
      <w:r w:rsidRPr="00853B5D">
        <w:rPr>
          <w:rFonts w:ascii="Calibri" w:hAnsi="Calibri" w:cs="Calibri"/>
          <w:i/>
          <w:sz w:val="22"/>
          <w:szCs w:val="22"/>
        </w:rPr>
        <w:t xml:space="preserve">PARÂMETRO DE CONSTITUCIONALIDADE. Compatibilidade entre a norma </w:t>
      </w:r>
      <w:r w:rsidRPr="00853B5D">
        <w:rPr>
          <w:rFonts w:ascii="Calibri" w:hAnsi="Calibri" w:cs="Calibri"/>
          <w:i/>
          <w:sz w:val="22"/>
          <w:szCs w:val="22"/>
        </w:rPr>
        <w:t>impugnada e dispositivos da Lei Orgânica Municipal e do Regimento Interno da Câmara</w:t>
      </w:r>
      <w:r w:rsidRPr="00853B5D">
        <w:rPr>
          <w:rFonts w:ascii="Calibri" w:hAnsi="Calibri" w:cs="Calibri"/>
          <w:i/>
          <w:sz w:val="22"/>
          <w:szCs w:val="22"/>
        </w:rPr>
        <w:t xml:space="preserve">. Inadmissibilidade. Aplicação dos artigos 125, § 2º, da CF, e 74, </w:t>
      </w:r>
      <w:r w:rsidRPr="00853B5D">
        <w:rPr>
          <w:rFonts w:ascii="Calibri" w:hAnsi="Calibri" w:cs="Calibri"/>
          <w:i/>
          <w:sz w:val="22"/>
          <w:szCs w:val="22"/>
        </w:rPr>
        <w:t>VI</w:t>
      </w:r>
      <w:r w:rsidRPr="00853B5D">
        <w:rPr>
          <w:rFonts w:ascii="Calibri" w:hAnsi="Calibri" w:cs="Calibri"/>
          <w:i/>
          <w:sz w:val="22"/>
          <w:szCs w:val="22"/>
        </w:rPr>
        <w:t xml:space="preserve">, da CE. Precedentes. Não conheço da ação quanto aos parâmetros apontados LOM e Regimento Interno da Câmara. </w:t>
      </w:r>
    </w:p>
    <w:p w:rsidR="00E86B5F" w:rsidRPr="00853B5D" w:rsidP="00B2546C">
      <w:pPr>
        <w:spacing w:after="120" w:line="240" w:lineRule="auto"/>
        <w:ind w:left="2835"/>
        <w:jc w:val="both"/>
        <w:rPr>
          <w:rFonts w:ascii="Calibri" w:hAnsi="Calibri" w:cs="Calibri"/>
          <w:i/>
          <w:sz w:val="22"/>
          <w:szCs w:val="22"/>
        </w:rPr>
      </w:pPr>
      <w:r w:rsidRPr="00853B5D">
        <w:rPr>
          <w:rFonts w:ascii="Calibri" w:hAnsi="Calibri" w:cs="Calibri"/>
          <w:i/>
          <w:sz w:val="22"/>
          <w:szCs w:val="22"/>
        </w:rPr>
        <w:t xml:space="preserve">AÇÃO DIRETA DE INCONSTITUCIONALIDADE Art. 1º da LC nº 2.064, de 04.03.20, do Município de </w:t>
      </w:r>
      <w:r w:rsidRPr="00853B5D">
        <w:rPr>
          <w:rFonts w:ascii="Calibri" w:hAnsi="Calibri" w:cs="Calibri"/>
          <w:i/>
          <w:sz w:val="22"/>
          <w:szCs w:val="22"/>
        </w:rPr>
        <w:t>Icém</w:t>
      </w:r>
      <w:r w:rsidRPr="00853B5D">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853B5D">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853B5D">
        <w:rPr>
          <w:rFonts w:ascii="Calibri" w:hAnsi="Calibri" w:cs="Calibri"/>
          <w:b/>
          <w:i/>
          <w:sz w:val="22"/>
          <w:szCs w:val="22"/>
        </w:rPr>
        <w:t>ii</w:t>
      </w:r>
      <w:r w:rsidRPr="00853B5D">
        <w:rPr>
          <w:rFonts w:ascii="Calibri" w:hAnsi="Calibri" w:cs="Calibri"/>
          <w:b/>
          <w:i/>
          <w:sz w:val="22"/>
          <w:szCs w:val="22"/>
        </w:rPr>
        <w:t>) não acarretem aumento de despesa.</w:t>
      </w:r>
      <w:r w:rsidRPr="00853B5D">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853B5D">
        <w:rPr>
          <w:rFonts w:ascii="Calibri" w:hAnsi="Calibri" w:cs="Calibri"/>
          <w:i/>
          <w:sz w:val="22"/>
          <w:szCs w:val="22"/>
        </w:rPr>
        <w:t>são</w:t>
      </w:r>
      <w:r w:rsidRPr="00853B5D">
        <w:rPr>
          <w:rFonts w:ascii="Calibri" w:hAnsi="Calibri" w:cs="Calibri"/>
          <w:i/>
          <w:sz w:val="22"/>
          <w:szCs w:val="22"/>
        </w:rPr>
        <w:t xml:space="preserve"> decorrência lógica do teor da emenda. Princípio da isonomia. Ausente </w:t>
      </w:r>
      <w:r w:rsidRPr="00853B5D">
        <w:rPr>
          <w:rFonts w:ascii="Calibri" w:hAnsi="Calibri" w:cs="Calibri"/>
          <w:i/>
          <w:sz w:val="22"/>
          <w:szCs w:val="22"/>
        </w:rPr>
        <w:t>a</w:t>
      </w:r>
      <w:r w:rsidRPr="00853B5D">
        <w:rPr>
          <w:rFonts w:ascii="Calibri" w:hAnsi="Calibri" w:cs="Calibri"/>
          <w:i/>
          <w:sz w:val="22"/>
          <w:szCs w:val="22"/>
        </w:rPr>
        <w:t xml:space="preserve"> apontada violação. Restrição do aumento salarial aos servidores efetivos se encontra dentro </w:t>
      </w:r>
      <w:r w:rsidRPr="00853B5D">
        <w:rPr>
          <w:rFonts w:ascii="Calibri" w:hAnsi="Calibri" w:cs="Calibri"/>
          <w:i/>
          <w:sz w:val="22"/>
          <w:szCs w:val="22"/>
        </w:rPr>
        <w:t xml:space="preserve">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853B5D">
        <w:rPr>
          <w:rFonts w:ascii="Calibri" w:hAnsi="Calibri" w:cs="Calibri"/>
          <w:i/>
          <w:sz w:val="22"/>
          <w:szCs w:val="22"/>
        </w:rPr>
        <w:t>Eg</w:t>
      </w:r>
      <w:r w:rsidRPr="00853B5D">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853B5D" w:rsidR="00026560">
        <w:rPr>
          <w:rFonts w:ascii="Calibri" w:hAnsi="Calibri" w:cs="Calibri"/>
          <w:i/>
          <w:sz w:val="22"/>
          <w:szCs w:val="22"/>
        </w:rPr>
        <w:t xml:space="preserve"> </w:t>
      </w:r>
      <w:r w:rsidRPr="00853B5D">
        <w:rPr>
          <w:rFonts w:ascii="Calibri" w:hAnsi="Calibri" w:cs="Calibri"/>
          <w:i/>
          <w:sz w:val="22"/>
          <w:szCs w:val="22"/>
        </w:rPr>
        <w:t>(TJSP. Adin nº 2044212-77.2020.8.26.0000. Rel. Des. Evaristo dos Santos. Data de Julgamento: 12/08/2020</w:t>
      </w:r>
      <w:r w:rsidRPr="00853B5D">
        <w:rPr>
          <w:rFonts w:ascii="Calibri" w:hAnsi="Calibri" w:cs="Calibri"/>
          <w:i/>
          <w:sz w:val="22"/>
          <w:szCs w:val="22"/>
        </w:rPr>
        <w:t>)</w:t>
      </w:r>
    </w:p>
    <w:p w:rsidR="002E56D2" w:rsidRPr="00853B5D" w:rsidP="002E56D2">
      <w:pPr>
        <w:pStyle w:val="BodyText"/>
        <w:spacing w:after="240" w:line="360" w:lineRule="auto"/>
        <w:ind w:firstLine="2268"/>
        <w:jc w:val="both"/>
        <w:rPr>
          <w:rFonts w:ascii="Calibri" w:hAnsi="Calibri" w:cs="Calibri"/>
          <w:szCs w:val="24"/>
        </w:rPr>
      </w:pPr>
      <w:r w:rsidRPr="00853B5D">
        <w:rPr>
          <w:rFonts w:ascii="Calibri" w:hAnsi="Calibri" w:cs="Calibri"/>
          <w:szCs w:val="24"/>
        </w:rPr>
        <w:t>Noutro giro, cumpre ressaltar que no Parecer Técnico</w:t>
      </w:r>
      <w:r>
        <w:rPr>
          <w:rStyle w:val="FootnoteReference"/>
          <w:rFonts w:ascii="Calibri" w:hAnsi="Calibri" w:cs="Calibri"/>
          <w:szCs w:val="24"/>
        </w:rPr>
        <w:footnoteReference w:id="3"/>
      </w:r>
      <w:r w:rsidRPr="00853B5D">
        <w:rPr>
          <w:rFonts w:ascii="Calibri" w:hAnsi="Calibri" w:cs="Calibri"/>
          <w:szCs w:val="24"/>
        </w:rPr>
        <w:t xml:space="preserve"> do CAEX – Centro de Apoio Operacional à Execução, exarado nos autos do Procedimento Administrativo de Acompanhamento nº 62.0466.0432/2019-3,</w:t>
      </w:r>
      <w:r w:rsidRPr="00853B5D" w:rsidR="0057373C">
        <w:rPr>
          <w:rFonts w:ascii="Calibri" w:hAnsi="Calibri" w:cs="Calibri"/>
          <w:szCs w:val="24"/>
        </w:rPr>
        <w:t xml:space="preserve"> constaram</w:t>
      </w:r>
      <w:r w:rsidRPr="00853B5D">
        <w:rPr>
          <w:rFonts w:ascii="Calibri" w:hAnsi="Calibri" w:cs="Calibri"/>
          <w:szCs w:val="24"/>
        </w:rPr>
        <w:t xml:space="preserve"> a</w:t>
      </w:r>
      <w:r w:rsidRPr="00853B5D" w:rsidR="0057373C">
        <w:rPr>
          <w:rFonts w:ascii="Calibri" w:hAnsi="Calibri" w:cs="Calibri"/>
          <w:szCs w:val="24"/>
        </w:rPr>
        <w:t>s</w:t>
      </w:r>
      <w:r w:rsidRPr="00853B5D">
        <w:rPr>
          <w:rFonts w:ascii="Calibri" w:hAnsi="Calibri" w:cs="Calibri"/>
          <w:szCs w:val="24"/>
        </w:rPr>
        <w:t xml:space="preserve"> seguinte</w:t>
      </w:r>
      <w:r w:rsidRPr="00853B5D" w:rsidR="0057373C">
        <w:rPr>
          <w:rFonts w:ascii="Calibri" w:hAnsi="Calibri" w:cs="Calibri"/>
          <w:szCs w:val="24"/>
        </w:rPr>
        <w:t>s</w:t>
      </w:r>
      <w:r w:rsidRPr="00853B5D">
        <w:rPr>
          <w:rFonts w:ascii="Calibri" w:hAnsi="Calibri" w:cs="Calibri"/>
          <w:szCs w:val="24"/>
        </w:rPr>
        <w:t xml:space="preserve"> ponderaç</w:t>
      </w:r>
      <w:r w:rsidRPr="00853B5D" w:rsidR="0057373C">
        <w:rPr>
          <w:rFonts w:ascii="Calibri" w:hAnsi="Calibri" w:cs="Calibri"/>
          <w:szCs w:val="24"/>
        </w:rPr>
        <w:t>ões</w:t>
      </w:r>
      <w:r w:rsidRPr="00853B5D">
        <w:rPr>
          <w:rFonts w:ascii="Calibri" w:hAnsi="Calibri" w:cs="Calibri"/>
          <w:szCs w:val="24"/>
        </w:rPr>
        <w:t xml:space="preserve"> acerca d</w:t>
      </w:r>
      <w:r w:rsidRPr="00853B5D" w:rsidR="0057373C">
        <w:rPr>
          <w:rFonts w:ascii="Calibri" w:hAnsi="Calibri" w:cs="Calibri"/>
          <w:szCs w:val="24"/>
        </w:rPr>
        <w:t>a</w:t>
      </w:r>
      <w:r w:rsidRPr="00853B5D">
        <w:rPr>
          <w:rFonts w:ascii="Calibri" w:hAnsi="Calibri" w:cs="Calibri"/>
          <w:szCs w:val="24"/>
        </w:rPr>
        <w:t xml:space="preserve"> </w:t>
      </w:r>
      <w:r w:rsidRPr="00853B5D" w:rsidR="0057373C">
        <w:rPr>
          <w:rFonts w:ascii="Calibri" w:hAnsi="Calibri" w:cs="Calibri"/>
          <w:szCs w:val="24"/>
        </w:rPr>
        <w:t>Macrozona de Desenvolvimento Orientado (MDO):</w:t>
      </w:r>
    </w:p>
    <w:p w:rsidR="00083A08" w:rsidRPr="00853B5D" w:rsidP="0057373C">
      <w:pPr>
        <w:pStyle w:val="BodyText"/>
        <w:spacing w:line="240" w:lineRule="auto"/>
        <w:ind w:left="2835"/>
        <w:jc w:val="both"/>
        <w:rPr>
          <w:rFonts w:asciiTheme="minorHAnsi" w:hAnsiTheme="minorHAnsi"/>
          <w:i/>
          <w:sz w:val="22"/>
          <w:szCs w:val="22"/>
        </w:rPr>
      </w:pPr>
      <w:r w:rsidRPr="00853B5D">
        <w:rPr>
          <w:rFonts w:asciiTheme="minorHAnsi" w:hAnsiTheme="minorHAnsi"/>
          <w:i/>
          <w:sz w:val="22"/>
          <w:szCs w:val="22"/>
        </w:rPr>
        <w:t>4. RETROCESSOS URBANÍSTICOS E AMBIENTAIS</w:t>
      </w:r>
    </w:p>
    <w:p w:rsidR="00083A08" w:rsidRPr="00853B5D" w:rsidP="0057373C">
      <w:pPr>
        <w:pStyle w:val="BodyText"/>
        <w:spacing w:line="240" w:lineRule="auto"/>
        <w:ind w:left="2835"/>
        <w:jc w:val="both"/>
        <w:rPr>
          <w:rFonts w:asciiTheme="minorHAnsi" w:hAnsiTheme="minorHAnsi"/>
          <w:i/>
          <w:sz w:val="22"/>
          <w:szCs w:val="22"/>
        </w:rPr>
      </w:pPr>
      <w:r w:rsidRPr="00853B5D">
        <w:rPr>
          <w:rFonts w:asciiTheme="minorHAnsi" w:hAnsiTheme="minorHAnsi"/>
          <w:i/>
          <w:sz w:val="22"/>
          <w:szCs w:val="22"/>
        </w:rPr>
        <w:t>[...]</w:t>
      </w:r>
    </w:p>
    <w:p w:rsidR="00083A08" w:rsidRPr="00853B5D" w:rsidP="0057373C">
      <w:pPr>
        <w:pStyle w:val="BodyText"/>
        <w:spacing w:line="240" w:lineRule="auto"/>
        <w:ind w:left="2835"/>
        <w:jc w:val="both"/>
        <w:rPr>
          <w:rFonts w:asciiTheme="minorHAnsi" w:hAnsiTheme="minorHAnsi"/>
          <w:i/>
          <w:sz w:val="22"/>
          <w:szCs w:val="22"/>
        </w:rPr>
      </w:pPr>
      <w:r w:rsidRPr="00853B5D">
        <w:rPr>
          <w:rFonts w:asciiTheme="minorHAnsi" w:hAnsiTheme="minorHAnsi"/>
          <w:i/>
          <w:sz w:val="22"/>
          <w:szCs w:val="22"/>
        </w:rPr>
        <w:t>4.2. MACROZONA DE DESENVOLVIMENTO ORIENTADO (MDO)</w:t>
      </w:r>
    </w:p>
    <w:p w:rsidR="0057373C" w:rsidRPr="00853B5D" w:rsidP="0057373C">
      <w:pPr>
        <w:pStyle w:val="BodyText"/>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O artigo 44 da minuta do Plano Diretor define a MDO como Macrozona de expansão urbana. Cabe analisar a inserção de </w:t>
      </w:r>
      <w:r w:rsidRPr="00853B5D">
        <w:rPr>
          <w:rFonts w:asciiTheme="minorHAnsi" w:hAnsiTheme="minorHAnsi"/>
          <w:i/>
          <w:sz w:val="22"/>
          <w:szCs w:val="22"/>
        </w:rPr>
        <w:t>3</w:t>
      </w:r>
      <w:r w:rsidRPr="00853B5D">
        <w:rPr>
          <w:rFonts w:asciiTheme="minorHAnsi" w:hAnsiTheme="minorHAnsi"/>
          <w:i/>
          <w:sz w:val="22"/>
          <w:szCs w:val="22"/>
        </w:rPr>
        <w:t xml:space="preserve"> regiões na MDO, distantes da malha urbana consolidada e circundadas em vermelho na Figura 11.</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w:t>
      </w:r>
      <w:r w:rsidRPr="00853B5D">
        <w:rPr>
          <w:rFonts w:asciiTheme="minorHAnsi" w:hAnsiTheme="minorHAnsi"/>
          <w:i/>
          <w:sz w:val="22"/>
          <w:szCs w:val="22"/>
        </w:rPr>
        <w:t>)</w:t>
      </w:r>
      <w:r w:rsidRPr="00853B5D">
        <w:rPr>
          <w:rFonts w:asciiTheme="minorHAnsi" w:hAnsiTheme="minorHAnsi"/>
          <w:i/>
          <w:sz w:val="22"/>
          <w:szCs w:val="22"/>
        </w:rPr>
        <w:tab/>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A criação da MDO </w:t>
      </w:r>
      <w:r w:rsidRPr="00853B5D">
        <w:rPr>
          <w:rFonts w:asciiTheme="minorHAnsi" w:hAnsiTheme="minorHAnsi"/>
          <w:i/>
          <w:sz w:val="22"/>
          <w:szCs w:val="22"/>
        </w:rPr>
        <w:t>2</w:t>
      </w:r>
      <w:r w:rsidRPr="00853B5D">
        <w:rPr>
          <w:rFonts w:asciiTheme="minorHAnsi" w:hAnsiTheme="minorHAnsi"/>
          <w:i/>
          <w:sz w:val="22"/>
          <w:szCs w:val="22"/>
        </w:rPr>
        <w:t xml:space="preserve"> na divisa com Campinas (Figura 12), além de induzir a expansão urbana para locais distantes da cidade </w:t>
      </w:r>
      <w:r w:rsidRPr="00853B5D">
        <w:rPr>
          <w:rFonts w:asciiTheme="minorHAnsi" w:hAnsiTheme="minorHAnsi"/>
          <w:i/>
          <w:sz w:val="22"/>
          <w:szCs w:val="22"/>
        </w:rPr>
        <w:t>infraestruturada</w:t>
      </w:r>
      <w:r w:rsidRPr="00853B5D">
        <w:rPr>
          <w:rFonts w:asciiTheme="minorHAnsi" w:hAnsiTheme="minorHAnsi"/>
          <w:i/>
          <w:sz w:val="22"/>
          <w:szCs w:val="22"/>
        </w:rPr>
        <w:t>, é possivelmente guiada a partir de interesses pontuais. A referida área se situa ao redor do condomínio de alto padrão Green Golf, que possui acesso apenas pelo município de Campinas, através do bairro Gramado, também de alto padrão.</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O mesmo vale para a criação da MDO </w:t>
      </w:r>
      <w:r w:rsidRPr="00853B5D">
        <w:rPr>
          <w:rFonts w:asciiTheme="minorHAnsi" w:hAnsiTheme="minorHAnsi"/>
          <w:i/>
          <w:sz w:val="22"/>
          <w:szCs w:val="22"/>
        </w:rPr>
        <w:t>3</w:t>
      </w:r>
      <w:r w:rsidRPr="00853B5D">
        <w:rPr>
          <w:rFonts w:asciiTheme="minorHAnsi" w:hAnsiTheme="minorHAnsi"/>
          <w:i/>
          <w:sz w:val="22"/>
          <w:szCs w:val="22"/>
        </w:rPr>
        <w:t xml:space="preserve"> na divisa com Vinhedo (Figura 13), em área que também possui um condomínio isolado e com acesso apenas pelo município de Vinhedo. A área que estava classificada como Macrozona de Proteção de Mananciais (MPM) foi transformada em MDO </w:t>
      </w:r>
      <w:r w:rsidRPr="00853B5D">
        <w:rPr>
          <w:rFonts w:asciiTheme="minorHAnsi" w:hAnsiTheme="minorHAnsi"/>
          <w:i/>
          <w:sz w:val="22"/>
          <w:szCs w:val="22"/>
        </w:rPr>
        <w:t>3</w:t>
      </w:r>
      <w:r w:rsidRPr="00853B5D">
        <w:rPr>
          <w:rFonts w:asciiTheme="minorHAnsi" w:hAnsiTheme="minorHAnsi"/>
          <w:i/>
          <w:sz w:val="22"/>
          <w:szCs w:val="22"/>
        </w:rPr>
        <w:t>. Trata-se de uma região com presença de manchas de vegetação e cursos d´água.</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A expansão urbana nessa área do município vai beneficiar apenas os proprietários atuais dessas terras, com a grande valorização do preço da terra, que será propiciada pela transformação de uso rural para urbano. Além disso, serão demandados grandes investimentos em infraestrutura urbana, sejam públicos ou privados, o que valorizará também um conjunto de áreas em seu entorno e na ligação destes novos perímetros com a mancha urbana.</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A reclassificação deste trecho do município em MDO </w:t>
      </w:r>
      <w:r w:rsidRPr="00853B5D">
        <w:rPr>
          <w:rFonts w:asciiTheme="minorHAnsi" w:hAnsiTheme="minorHAnsi"/>
          <w:i/>
          <w:sz w:val="22"/>
          <w:szCs w:val="22"/>
        </w:rPr>
        <w:t>3</w:t>
      </w:r>
      <w:r w:rsidRPr="00853B5D">
        <w:rPr>
          <w:rFonts w:asciiTheme="minorHAnsi" w:hAnsiTheme="minorHAnsi"/>
          <w:i/>
          <w:sz w:val="22"/>
          <w:szCs w:val="22"/>
        </w:rPr>
        <w:t xml:space="preserve"> vai transformar uma área de conservação dos recursos hídricos (MPM), que tem como objetivo “proteger os recursos naturais e os mananciais superficiais de abastecimento de água” em expansão urbana, sem as necessárias considerações sobre as restrições do território em relação às características ambientais como conservação e recuperação da vegetação, fragilidades quanto aos recursos hídricos e a necessidade de sua preservação. A localização desta MDO </w:t>
      </w:r>
      <w:r w:rsidRPr="00853B5D">
        <w:rPr>
          <w:rFonts w:asciiTheme="minorHAnsi" w:hAnsiTheme="minorHAnsi"/>
          <w:i/>
          <w:sz w:val="22"/>
          <w:szCs w:val="22"/>
        </w:rPr>
        <w:t>3</w:t>
      </w:r>
      <w:r w:rsidRPr="00853B5D">
        <w:rPr>
          <w:rFonts w:asciiTheme="minorHAnsi" w:hAnsiTheme="minorHAnsi"/>
          <w:i/>
          <w:sz w:val="22"/>
          <w:szCs w:val="22"/>
        </w:rPr>
        <w:t xml:space="preserve"> na divisa entre Valinhos e Vinhedo (Figura 14) vai favorecer a </w:t>
      </w:r>
      <w:r w:rsidRPr="00853B5D">
        <w:rPr>
          <w:rFonts w:asciiTheme="minorHAnsi" w:hAnsiTheme="minorHAnsi"/>
          <w:i/>
          <w:sz w:val="22"/>
          <w:szCs w:val="22"/>
        </w:rPr>
        <w:t>conurbação</w:t>
      </w:r>
      <w:r w:rsidRPr="00853B5D">
        <w:rPr>
          <w:rFonts w:asciiTheme="minorHAnsi" w:hAnsiTheme="minorHAnsi"/>
          <w:i/>
          <w:sz w:val="22"/>
          <w:szCs w:val="22"/>
        </w:rPr>
        <w:t xml:space="preserve"> urbana, enquanto a MPM tem como uma de suas medidas urbanísticas previstas para o objetivo de proteger os recursos naturais e os mananciais superficiais de abastecimento de água: Controlar a expansão dos núcleos urbanos existentes, notadamente nas proximidades da divisa com Vinhedo2</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Tendo em vista ao exposto, esta alteração deve ser analisada com atenção, além do fato preocupante de se possibilitar a </w:t>
      </w:r>
      <w:r w:rsidRPr="00853B5D">
        <w:rPr>
          <w:rFonts w:asciiTheme="minorHAnsi" w:hAnsiTheme="minorHAnsi"/>
          <w:i/>
          <w:sz w:val="22"/>
          <w:szCs w:val="22"/>
        </w:rPr>
        <w:t>conurbação</w:t>
      </w:r>
      <w:r w:rsidRPr="00853B5D">
        <w:rPr>
          <w:rFonts w:asciiTheme="minorHAnsi" w:hAnsiTheme="minorHAnsi"/>
          <w:i/>
          <w:sz w:val="22"/>
          <w:szCs w:val="22"/>
        </w:rPr>
        <w:t xml:space="preserve"> entre municípios sem o estabelecimento de uma zona de amortecimento, ou os chamados cinturões verdes, entre manchas urbanas, tanto para a preservação ambiental como para a produção de alimentos.</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A criação da MDO </w:t>
      </w:r>
      <w:r w:rsidRPr="00853B5D">
        <w:rPr>
          <w:rFonts w:asciiTheme="minorHAnsi" w:hAnsiTheme="minorHAnsi"/>
          <w:i/>
          <w:sz w:val="22"/>
          <w:szCs w:val="22"/>
        </w:rPr>
        <w:t>3</w:t>
      </w:r>
      <w:r w:rsidRPr="00853B5D">
        <w:rPr>
          <w:rFonts w:asciiTheme="minorHAnsi" w:hAnsiTheme="minorHAnsi"/>
          <w:i/>
          <w:sz w:val="22"/>
          <w:szCs w:val="22"/>
        </w:rPr>
        <w:t xml:space="preserve"> na divisa com Itatiba (Figura 15) também está distante da mancha urbana consolidada e, como dito anteriormente, se trata de uma região com caráter turístico, de difícil circulação e que possui remanescentes de vegetação e demais recursos naturais. Do ponto de vista do planejamento </w:t>
      </w:r>
      <w:r w:rsidRPr="00853B5D">
        <w:rPr>
          <w:rFonts w:asciiTheme="minorHAnsi" w:hAnsiTheme="minorHAnsi"/>
          <w:i/>
          <w:sz w:val="22"/>
          <w:szCs w:val="22"/>
        </w:rPr>
        <w:t xml:space="preserve">urbano, deve-se destacar que nesta região há presença apenas de bairros pouco densos e distantes, aspectos que desfavorecem a expansão urbana nesta direção, </w:t>
      </w:r>
      <w:r w:rsidRPr="00853B5D">
        <w:rPr>
          <w:rFonts w:asciiTheme="minorHAnsi" w:hAnsiTheme="minorHAnsi"/>
          <w:i/>
          <w:sz w:val="22"/>
          <w:szCs w:val="22"/>
        </w:rPr>
        <w:t>sob riscos</w:t>
      </w:r>
      <w:r w:rsidRPr="00853B5D">
        <w:rPr>
          <w:rFonts w:asciiTheme="minorHAnsi" w:hAnsiTheme="minorHAnsi"/>
          <w:i/>
          <w:sz w:val="22"/>
          <w:szCs w:val="22"/>
        </w:rPr>
        <w:t xml:space="preserve"> de graves </w:t>
      </w:r>
      <w:r w:rsidRPr="00853B5D">
        <w:rPr>
          <w:rFonts w:asciiTheme="minorHAnsi" w:hAnsiTheme="minorHAnsi"/>
          <w:i/>
          <w:sz w:val="22"/>
          <w:szCs w:val="22"/>
        </w:rPr>
        <w:t>deseconomias</w:t>
      </w:r>
      <w:r w:rsidRPr="00853B5D">
        <w:rPr>
          <w:rFonts w:asciiTheme="minorHAnsi" w:hAnsiTheme="minorHAnsi"/>
          <w:i/>
          <w:sz w:val="22"/>
          <w:szCs w:val="22"/>
        </w:rPr>
        <w:t xml:space="preserve"> urbanas precipitadas por vazios urbanos.</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As consequências imediatas desse modelo de expansão urbana disperso têm claramente se </w:t>
      </w:r>
      <w:r w:rsidRPr="00853B5D">
        <w:rPr>
          <w:rFonts w:asciiTheme="minorHAnsi" w:hAnsiTheme="minorHAnsi"/>
          <w:i/>
          <w:sz w:val="22"/>
          <w:szCs w:val="22"/>
        </w:rPr>
        <w:t>pronunciado</w:t>
      </w:r>
      <w:r w:rsidRPr="00853B5D">
        <w:rPr>
          <w:rFonts w:asciiTheme="minorHAnsi" w:hAnsiTheme="minorHAnsi"/>
          <w:i/>
          <w:sz w:val="22"/>
          <w:szCs w:val="22"/>
        </w:rPr>
        <w:t>:</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 Insuficiência da infraestrutura de saneamento básico para suprir de forma equitativa todo o tecido urbano;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 mobilidade urbana deficiente, com grande dependência dos veículos individuais;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 deficiência nos serviços urbanos e na distribuição dos equipamentos comunitários;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 comprometimento dos mananciais hídricos; • diminuição das áreas vegetadas; </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 baixo aproveitamento do solo urbanizado com ocupação de baixa densidade; dentre </w:t>
      </w:r>
      <w:r w:rsidRPr="00853B5D">
        <w:rPr>
          <w:rFonts w:asciiTheme="minorHAnsi" w:hAnsiTheme="minorHAnsi"/>
          <w:i/>
          <w:sz w:val="22"/>
          <w:szCs w:val="22"/>
        </w:rPr>
        <w:t>outros</w:t>
      </w:r>
    </w:p>
    <w:p w:rsidR="0057373C" w:rsidRPr="00853B5D" w:rsidP="0057373C">
      <w:pPr>
        <w:pStyle w:val="BodyText"/>
        <w:tabs>
          <w:tab w:val="left" w:pos="1230"/>
        </w:tabs>
        <w:spacing w:line="240" w:lineRule="auto"/>
        <w:ind w:left="2835"/>
        <w:jc w:val="both"/>
        <w:rPr>
          <w:rFonts w:asciiTheme="minorHAnsi" w:hAnsiTheme="minorHAnsi"/>
          <w:b/>
          <w:i/>
          <w:sz w:val="22"/>
          <w:szCs w:val="22"/>
        </w:rPr>
      </w:pPr>
      <w:r w:rsidRPr="00853B5D">
        <w:rPr>
          <w:rFonts w:asciiTheme="minorHAnsi" w:hAnsiTheme="minorHAnsi"/>
          <w:b/>
          <w:i/>
          <w:sz w:val="22"/>
          <w:szCs w:val="22"/>
        </w:rPr>
        <w:t>Não obstante esse cenário, a proposta enunciada para a revisão do plano diretor no tocante ao Macrozoneamento é de permanência da expansão urbana sobre áreas de produção rural e de preservação ambiental e de mananciais, com a inclusão das Macrozonas de Desenvolvimento Orientado (MDO) sem que se apresentem justificativas plausíveis para este consumo do território.</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w:t>
      </w:r>
    </w:p>
    <w:p w:rsidR="0057373C" w:rsidRPr="00853B5D" w:rsidP="0057373C">
      <w:pPr>
        <w:pStyle w:val="BodyText"/>
        <w:tabs>
          <w:tab w:val="left" w:pos="1230"/>
        </w:tabs>
        <w:spacing w:line="240" w:lineRule="auto"/>
        <w:ind w:left="2835"/>
        <w:jc w:val="both"/>
        <w:rPr>
          <w:rFonts w:asciiTheme="minorHAnsi" w:hAnsiTheme="minorHAnsi"/>
          <w:b/>
          <w:i/>
          <w:sz w:val="22"/>
          <w:szCs w:val="22"/>
        </w:rPr>
      </w:pPr>
      <w:r w:rsidRPr="00853B5D">
        <w:rPr>
          <w:rFonts w:asciiTheme="minorHAnsi" w:hAnsiTheme="minorHAnsi"/>
          <w:b/>
          <w:i/>
          <w:sz w:val="22"/>
          <w:szCs w:val="22"/>
        </w:rPr>
        <w:t>No caso de Valinhos, está previsto instrumento que serviria supostamente para recuperação da valorização imobiliária apropriada pelos proprietários de terras na passagem do uso rural para o urbano (a outorga onerosa da alteração de uso, art. 44 da minuta</w:t>
      </w:r>
      <w:r w:rsidRPr="00853B5D">
        <w:rPr>
          <w:rFonts w:asciiTheme="minorHAnsi" w:hAnsiTheme="minorHAnsi"/>
          <w:b/>
          <w:i/>
          <w:sz w:val="22"/>
          <w:szCs w:val="22"/>
        </w:rPr>
        <w:t>)</w:t>
      </w:r>
    </w:p>
    <w:p w:rsidR="0057373C" w:rsidRPr="00853B5D" w:rsidP="0057373C">
      <w:pPr>
        <w:pStyle w:val="BodyText"/>
        <w:tabs>
          <w:tab w:val="left" w:pos="1230"/>
        </w:tabs>
        <w:spacing w:line="240" w:lineRule="auto"/>
        <w:ind w:left="2835"/>
        <w:jc w:val="both"/>
        <w:rPr>
          <w:rFonts w:asciiTheme="minorHAnsi" w:hAnsiTheme="minorHAnsi"/>
          <w:b/>
          <w:i/>
          <w:sz w:val="22"/>
          <w:szCs w:val="22"/>
        </w:rPr>
      </w:pPr>
      <w:r w:rsidRPr="00853B5D">
        <w:rPr>
          <w:rFonts w:asciiTheme="minorHAnsi" w:hAnsiTheme="minorHAnsi"/>
          <w:b/>
          <w:i/>
          <w:sz w:val="22"/>
          <w:szCs w:val="22"/>
        </w:rPr>
        <w:t>No entanto, considerando-se a extensão das áreas de expansão urbana, a proposição do instrumento não está articulada a necessidade de se evitar crescimento descontínuo da mancha urbana, que onera o conjunto da cidade em decorrência da necessidade de implantação de infraestruturas urbanas.</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Enfim, o plano diretor, enquanto instrumento básico da política de desenvolvimento e expansão urbana deve prever a aplicação de instrumentos de indução do desenvolvimento urbano, de financiamento da política urbana, de regularização </w:t>
      </w:r>
      <w:r w:rsidRPr="00853B5D">
        <w:rPr>
          <w:rFonts w:asciiTheme="minorHAnsi" w:hAnsiTheme="minorHAnsi"/>
          <w:i/>
          <w:sz w:val="22"/>
          <w:szCs w:val="22"/>
        </w:rPr>
        <w:t xml:space="preserve">fundiária e de democratização da gestão urbana – de forma a explicitar as opções e os caminhos para se promover um desenvolvimento justo e sustentável.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b/>
          <w:i/>
          <w:sz w:val="22"/>
          <w:szCs w:val="22"/>
        </w:rPr>
        <w:t xml:space="preserve">Na atual proposta de revisão do plano diretor, a Prefeitura continua propondo áreas de expansão urbana (Macrozonas de Desenvolvimento orientado – </w:t>
      </w:r>
      <w:r w:rsidRPr="00853B5D">
        <w:rPr>
          <w:rFonts w:asciiTheme="minorHAnsi" w:hAnsiTheme="minorHAnsi"/>
          <w:b/>
          <w:i/>
          <w:sz w:val="22"/>
          <w:szCs w:val="22"/>
        </w:rPr>
        <w:t>MDO’s</w:t>
      </w:r>
      <w:r w:rsidRPr="00853B5D">
        <w:rPr>
          <w:rFonts w:asciiTheme="minorHAnsi" w:hAnsiTheme="minorHAnsi"/>
          <w:b/>
          <w:i/>
          <w:sz w:val="22"/>
          <w:szCs w:val="22"/>
        </w:rPr>
        <w:t xml:space="preserve">) em locais afastados do tecido urbano consolidado, além da grande valorização do preço da terra, que será propiciada pela transformação de uso rural para urbano, serão </w:t>
      </w:r>
      <w:r w:rsidRPr="00853B5D">
        <w:rPr>
          <w:rFonts w:asciiTheme="minorHAnsi" w:hAnsiTheme="minorHAnsi"/>
          <w:b/>
          <w:i/>
          <w:sz w:val="22"/>
          <w:szCs w:val="22"/>
        </w:rPr>
        <w:t>demandados</w:t>
      </w:r>
      <w:r w:rsidRPr="00853B5D">
        <w:rPr>
          <w:rFonts w:asciiTheme="minorHAnsi" w:hAnsiTheme="minorHAnsi"/>
          <w:b/>
          <w:i/>
          <w:sz w:val="22"/>
          <w:szCs w:val="22"/>
        </w:rPr>
        <w:t xml:space="preserve"> grandes investimentos em infraestrutura urbana, sejam públicos ou privados, o que valorizará também um conjunto de áreas em seu entorno e na ligação destes novos perímetros com a mancha urbana.</w:t>
      </w:r>
      <w:r w:rsidRPr="00853B5D">
        <w:rPr>
          <w:rFonts w:asciiTheme="minorHAnsi" w:hAnsiTheme="minorHAnsi"/>
          <w:i/>
          <w:sz w:val="22"/>
          <w:szCs w:val="22"/>
        </w:rPr>
        <w:t xml:space="preserve">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Verifica-se também uma tendência de conversão de áreas rurais em áreas urbanas, sem contar com os devidos diagnósticos e avaliações prévios em relação ao tema e sem atentar, entre outros aspectos, para os passivos ambientais históricos no que tange ao atendimento da legislação ambiental.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A expansão das áreas urbanas reduzirá progressivamente as áreas rurais, vegetadas e permeáveis do município. Além disso, a ameaça de degradação ambiental dos remanescentes florestais nativos ainda existentes também tenderá a permanecer latente, uma vez que tais áreas terão de conviver com a perspectiva de um mosaico de usos possíveis, de forma incerta. As áreas de expansão urbana apresentam múltiplas possibilidades de uso e ocupação. </w:t>
      </w:r>
    </w:p>
    <w:p w:rsidR="0057373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Assim, a expansão urbana sem estudos devidos, e sem as devidas considerações sobre as restrições do território, em relação às características ambientais como conservação e recuperação da vegetação, fragilidades quanto aos recursos hídricos e a necessidade de sua preservação, colocam, em conjunto, o planejamento em um caminho que ameaça a qualidade ambiental e a sociedade em geral.</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b/>
          <w:i/>
          <w:sz w:val="22"/>
          <w:szCs w:val="22"/>
          <w:u w:val="single"/>
        </w:rPr>
        <w:t xml:space="preserve">Além disso, muitas manifestações da população nas audiências públicas e oficinas foram contra a criação das </w:t>
      </w:r>
      <w:r w:rsidRPr="00853B5D">
        <w:rPr>
          <w:rFonts w:asciiTheme="minorHAnsi" w:hAnsiTheme="minorHAnsi"/>
          <w:b/>
          <w:i/>
          <w:sz w:val="22"/>
          <w:szCs w:val="22"/>
          <w:u w:val="single"/>
        </w:rPr>
        <w:t>MDO´s</w:t>
      </w:r>
      <w:r w:rsidRPr="00853B5D">
        <w:rPr>
          <w:rFonts w:asciiTheme="minorHAnsi" w:hAnsiTheme="minorHAnsi"/>
          <w:b/>
          <w:i/>
          <w:sz w:val="22"/>
          <w:szCs w:val="22"/>
          <w:u w:val="single"/>
        </w:rPr>
        <w:t xml:space="preserve">, visto que a possibilidade de transformar seu uso para urbano com pagamento da Outorga Onerosa de Alteração do Uso do Solo (OOAUS) cria a possibilidade </w:t>
      </w:r>
      <w:r w:rsidRPr="00853B5D">
        <w:rPr>
          <w:rFonts w:asciiTheme="minorHAnsi" w:hAnsiTheme="minorHAnsi"/>
          <w:b/>
          <w:i/>
          <w:sz w:val="22"/>
          <w:szCs w:val="22"/>
          <w:u w:val="single"/>
        </w:rPr>
        <w:t>do interesse econômico subjugar</w:t>
      </w:r>
      <w:r w:rsidRPr="00853B5D">
        <w:rPr>
          <w:rFonts w:asciiTheme="minorHAnsi" w:hAnsiTheme="minorHAnsi"/>
          <w:b/>
          <w:i/>
          <w:sz w:val="22"/>
          <w:szCs w:val="22"/>
          <w:u w:val="single"/>
        </w:rPr>
        <w:t xml:space="preserve"> os interesses da comunidade, dando aos empreendedores o controle da expansão urbana do município</w:t>
      </w:r>
      <w:r w:rsidRPr="00853B5D">
        <w:rPr>
          <w:rFonts w:asciiTheme="minorHAnsi" w:hAnsiTheme="minorHAnsi"/>
          <w:i/>
          <w:sz w:val="22"/>
          <w:szCs w:val="22"/>
        </w:rPr>
        <w:t>.</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 Independente das críticas da sociedade, as </w:t>
      </w:r>
      <w:r w:rsidRPr="00853B5D">
        <w:rPr>
          <w:rFonts w:asciiTheme="minorHAnsi" w:hAnsiTheme="minorHAnsi"/>
          <w:i/>
          <w:sz w:val="22"/>
          <w:szCs w:val="22"/>
        </w:rPr>
        <w:t>MDO´s</w:t>
      </w:r>
      <w:r w:rsidRPr="00853B5D">
        <w:rPr>
          <w:rFonts w:asciiTheme="minorHAnsi" w:hAnsiTheme="minorHAnsi"/>
          <w:i/>
          <w:sz w:val="22"/>
          <w:szCs w:val="22"/>
        </w:rPr>
        <w:t xml:space="preserve"> foram mantidas e espalhadas ao longo do território municipal, tendo possibilidade de uso claramente urbano, com adensamento populacional e impermeabilização do solo, visando interesses específicos de empresários e loteadores.</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Theme="minorHAnsi" w:hAnsiTheme="minorHAnsi"/>
          <w:i/>
          <w:sz w:val="22"/>
          <w:szCs w:val="22"/>
        </w:rPr>
        <w:t xml:space="preserve"> Cabe observar que na minuta do plano diretor em seu artigo </w:t>
      </w:r>
      <w:r w:rsidRPr="00853B5D">
        <w:rPr>
          <w:rFonts w:asciiTheme="minorHAnsi" w:hAnsiTheme="minorHAnsi"/>
          <w:i/>
          <w:sz w:val="22"/>
          <w:szCs w:val="22"/>
        </w:rPr>
        <w:t>6</w:t>
      </w:r>
      <w:r w:rsidRPr="00853B5D">
        <w:rPr>
          <w:rFonts w:asciiTheme="minorHAnsi" w:hAnsiTheme="minorHAnsi"/>
          <w:i/>
          <w:sz w:val="22"/>
          <w:szCs w:val="22"/>
        </w:rPr>
        <w:t xml:space="preserve">, que estabelece os objetivos gerais da política urbana de Valinhos e do plano diretor Municipal de Valinhos, há um conflito com a proposta de macrozoneamento, quanto a expansão urbana, que deveria refletir no espaço os objetivos do plano diretor. Dentre os objetivos podemos citar: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Symbol" w:hAnsi="Symbol"/>
          <w:i/>
          <w:sz w:val="22"/>
          <w:szCs w:val="22"/>
        </w:rPr>
        <w:sym w:font="Symbol" w:char="F0B7"/>
      </w:r>
      <w:r w:rsidRPr="00853B5D">
        <w:rPr>
          <w:rFonts w:asciiTheme="minorHAnsi" w:hAnsiTheme="minorHAnsi"/>
          <w:i/>
          <w:sz w:val="22"/>
          <w:szCs w:val="22"/>
        </w:rPr>
        <w:t xml:space="preserve"> A compatibilização do uso e ocupação do solo com a proteção do meio ambiente natural e construído, propiciando melhores condições de acesso </w:t>
      </w:r>
      <w:r w:rsidRPr="00853B5D">
        <w:rPr>
          <w:rFonts w:asciiTheme="minorHAnsi" w:hAnsiTheme="minorHAnsi"/>
          <w:i/>
          <w:sz w:val="22"/>
          <w:szCs w:val="22"/>
        </w:rPr>
        <w:t>à</w:t>
      </w:r>
      <w:r w:rsidRPr="00853B5D">
        <w:rPr>
          <w:rFonts w:asciiTheme="minorHAnsi" w:hAnsiTheme="minorHAnsi"/>
          <w:i/>
          <w:sz w:val="22"/>
          <w:szCs w:val="22"/>
        </w:rPr>
        <w:t xml:space="preserve"> terra e à mobilidade;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Symbol" w:hAnsi="Symbol"/>
          <w:i/>
          <w:sz w:val="22"/>
          <w:szCs w:val="22"/>
        </w:rPr>
        <w:sym w:font="Symbol" w:char="F0B7"/>
      </w:r>
      <w:r w:rsidRPr="00853B5D">
        <w:rPr>
          <w:rFonts w:asciiTheme="minorHAnsi" w:hAnsiTheme="minorHAnsi"/>
          <w:i/>
          <w:sz w:val="22"/>
          <w:szCs w:val="22"/>
        </w:rPr>
        <w:t xml:space="preserve"> </w:t>
      </w:r>
      <w:r w:rsidRPr="00853B5D">
        <w:rPr>
          <w:rFonts w:asciiTheme="minorHAnsi" w:hAnsiTheme="minorHAnsi"/>
          <w:i/>
          <w:sz w:val="22"/>
          <w:szCs w:val="22"/>
        </w:rPr>
        <w:t>a</w:t>
      </w:r>
      <w:r w:rsidRPr="00853B5D">
        <w:rPr>
          <w:rFonts w:asciiTheme="minorHAnsi" w:hAnsiTheme="minorHAnsi"/>
          <w:i/>
          <w:sz w:val="22"/>
          <w:szCs w:val="22"/>
        </w:rPr>
        <w:t xml:space="preserve"> ocupação do território a partir da infraestrutura disponível; </w:t>
      </w:r>
    </w:p>
    <w:p w:rsidR="00B2546C" w:rsidRPr="00853B5D" w:rsidP="0057373C">
      <w:pPr>
        <w:pStyle w:val="BodyText"/>
        <w:tabs>
          <w:tab w:val="left" w:pos="1230"/>
        </w:tabs>
        <w:spacing w:line="240" w:lineRule="auto"/>
        <w:ind w:left="2835"/>
        <w:jc w:val="both"/>
        <w:rPr>
          <w:rFonts w:asciiTheme="minorHAnsi" w:hAnsiTheme="minorHAnsi"/>
          <w:i/>
          <w:sz w:val="22"/>
          <w:szCs w:val="22"/>
        </w:rPr>
      </w:pPr>
      <w:r w:rsidRPr="00853B5D">
        <w:rPr>
          <w:rFonts w:ascii="Symbol" w:hAnsi="Symbol"/>
          <w:i/>
          <w:sz w:val="22"/>
          <w:szCs w:val="22"/>
        </w:rPr>
        <w:sym w:font="Symbol" w:char="F0B7"/>
      </w:r>
      <w:r w:rsidRPr="00853B5D">
        <w:rPr>
          <w:rFonts w:asciiTheme="minorHAnsi" w:hAnsiTheme="minorHAnsi"/>
          <w:i/>
          <w:sz w:val="22"/>
          <w:szCs w:val="22"/>
        </w:rPr>
        <w:t xml:space="preserve"> </w:t>
      </w:r>
      <w:r w:rsidRPr="00853B5D">
        <w:rPr>
          <w:rFonts w:asciiTheme="minorHAnsi" w:hAnsiTheme="minorHAnsi"/>
          <w:i/>
          <w:sz w:val="22"/>
          <w:szCs w:val="22"/>
        </w:rPr>
        <w:t>e</w:t>
      </w:r>
      <w:r w:rsidRPr="00853B5D">
        <w:rPr>
          <w:rFonts w:asciiTheme="minorHAnsi" w:hAnsiTheme="minorHAnsi"/>
          <w:i/>
          <w:sz w:val="22"/>
          <w:szCs w:val="22"/>
        </w:rPr>
        <w:t xml:space="preserve"> a racionalização do uso e parcelamento do solo, restringindo ou incentivando a ocupação de áreas, conforme critérios geográficos geológicos, a capacitação da infraestrutura instalada e o dimensionamento do sistema viário, evitando custos elevados por sobrecarga ou ociosidade. </w:t>
      </w:r>
    </w:p>
    <w:p w:rsidR="0057373C" w:rsidRPr="00853B5D" w:rsidP="0057373C">
      <w:pPr>
        <w:pStyle w:val="BodyText"/>
        <w:tabs>
          <w:tab w:val="left" w:pos="1230"/>
        </w:tabs>
        <w:spacing w:line="240" w:lineRule="auto"/>
        <w:ind w:left="2835"/>
        <w:jc w:val="both"/>
        <w:rPr>
          <w:rFonts w:asciiTheme="minorHAnsi" w:hAnsiTheme="minorHAnsi"/>
          <w:b/>
          <w:i/>
          <w:sz w:val="22"/>
          <w:szCs w:val="22"/>
          <w:u w:val="single"/>
        </w:rPr>
      </w:pPr>
      <w:r w:rsidRPr="00853B5D">
        <w:rPr>
          <w:rFonts w:asciiTheme="minorHAnsi" w:hAnsiTheme="minorHAnsi"/>
          <w:b/>
          <w:i/>
          <w:sz w:val="22"/>
          <w:szCs w:val="22"/>
          <w:u w:val="single"/>
        </w:rPr>
        <w:t>O aumento da arrecadação municipal com impostos e com o pagamento da Outorga Onerosa de Alteração do Uso do Solo são as justificativas da Câmara para a expansão urbana proposta.</w:t>
      </w:r>
    </w:p>
    <w:p w:rsidR="0057373C" w:rsidRPr="00853B5D" w:rsidP="0057373C">
      <w:pPr>
        <w:pStyle w:val="BodyText"/>
        <w:tabs>
          <w:tab w:val="left" w:pos="1230"/>
        </w:tabs>
        <w:spacing w:line="240" w:lineRule="auto"/>
        <w:ind w:left="2835"/>
        <w:jc w:val="both"/>
        <w:rPr>
          <w:rFonts w:asciiTheme="minorHAnsi" w:hAnsiTheme="minorHAnsi" w:cs="Calibri"/>
          <w:i/>
          <w:sz w:val="22"/>
          <w:szCs w:val="22"/>
        </w:rPr>
      </w:pPr>
      <w:r w:rsidRPr="00853B5D">
        <w:rPr>
          <w:rFonts w:asciiTheme="minorHAnsi" w:hAnsiTheme="minorHAnsi"/>
          <w:i/>
          <w:sz w:val="22"/>
          <w:szCs w:val="22"/>
        </w:rPr>
        <w:t>No entanto, justificativas orçamentárias não podem fundamentar o ordenamento territorial municipal, que deve objetivar o desenvolvimento das funções sociais da cidade, a garantia do bem-estar dos habitantes e o direito a cidades sustentáveis (nos termos da Constituição Federal e Estatuto da Cidade). Ademais, não constam estudos técnicos que justifiquem a necessidade de todas essas áreas de expansão urbana, principalmente as localizadas nos limites municipais, que sofrem pressões do mercado imobiliário. Tampouco estudos econômicos que afirmem que os valores arrecadados com o pagamento da Outorga Onerosa de Alteração do Uso do Solo serão suficientes para a instalação de toda a infraestrutura urbana necessária nestas áreas de expansão urbana.</w:t>
      </w:r>
    </w:p>
    <w:p w:rsidR="001962C1" w:rsidRPr="00853B5D" w:rsidP="00074468">
      <w:pPr>
        <w:pStyle w:val="BodyText"/>
        <w:spacing w:after="240" w:line="360" w:lineRule="auto"/>
        <w:ind w:firstLine="2268"/>
        <w:jc w:val="both"/>
        <w:rPr>
          <w:rFonts w:ascii="Calibri" w:hAnsi="Calibri" w:cs="Calibri"/>
          <w:szCs w:val="24"/>
        </w:rPr>
      </w:pPr>
      <w:r w:rsidRPr="00853B5D">
        <w:rPr>
          <w:rFonts w:ascii="Calibri" w:hAnsi="Calibri" w:cs="Calibri"/>
          <w:szCs w:val="24"/>
        </w:rPr>
        <w:t xml:space="preserve">Por fim, quanto ao aspecto gramatical e lógico </w:t>
      </w:r>
      <w:r w:rsidRPr="00853B5D">
        <w:rPr>
          <w:rFonts w:ascii="Calibri" w:hAnsi="Calibri" w:cs="Calibri"/>
          <w:szCs w:val="24"/>
        </w:rPr>
        <w:t>o projeto atende aos</w:t>
      </w:r>
      <w:r w:rsidRPr="00853B5D">
        <w:rPr>
          <w:rFonts w:ascii="Calibri" w:hAnsi="Calibri" w:cs="Calibri"/>
          <w:szCs w:val="24"/>
        </w:rPr>
        <w:t xml:space="preserve"> preceitos da Lei Complementar nº 95 de 1998 que dispõe sobre a elaboração, redação, alt</w:t>
      </w:r>
      <w:r w:rsidRPr="00853B5D">
        <w:rPr>
          <w:rFonts w:ascii="Calibri" w:hAnsi="Calibri" w:cs="Calibri"/>
          <w:szCs w:val="24"/>
        </w:rPr>
        <w:t>eração e consolidação das leis.</w:t>
      </w:r>
    </w:p>
    <w:p w:rsidR="00F50ADA" w:rsidRPr="00853B5D" w:rsidP="00074468">
      <w:pPr>
        <w:pStyle w:val="BodyText"/>
        <w:spacing w:after="240" w:line="360" w:lineRule="auto"/>
        <w:ind w:firstLine="2268"/>
        <w:jc w:val="both"/>
        <w:rPr>
          <w:rFonts w:ascii="Calibri" w:hAnsi="Calibri" w:cs="Calibri"/>
          <w:bCs/>
          <w:snapToGrid w:val="0"/>
          <w:szCs w:val="26"/>
        </w:rPr>
      </w:pPr>
      <w:r w:rsidRPr="00853B5D">
        <w:rPr>
          <w:rFonts w:ascii="Calibri" w:hAnsi="Calibri" w:cs="Calibri"/>
          <w:szCs w:val="24"/>
        </w:rPr>
        <w:t xml:space="preserve">Ante o exposto, </w:t>
      </w:r>
      <w:r w:rsidRPr="00853B5D" w:rsidR="00083A08">
        <w:rPr>
          <w:rFonts w:ascii="Calibri" w:hAnsi="Calibri" w:cs="Calibri"/>
          <w:szCs w:val="24"/>
        </w:rPr>
        <w:t>conforme entendimento do órgão técnico do D. MP/SP</w:t>
      </w:r>
      <w:r w:rsidRPr="00853B5D" w:rsidR="00D74F67">
        <w:rPr>
          <w:rFonts w:ascii="Calibri" w:hAnsi="Calibri" w:cs="Calibri"/>
          <w:szCs w:val="24"/>
        </w:rPr>
        <w:t xml:space="preserve"> (CAEX)</w:t>
      </w:r>
      <w:r w:rsidRPr="00853B5D" w:rsidR="00083A08">
        <w:rPr>
          <w:rFonts w:ascii="Calibri" w:hAnsi="Calibri" w:cs="Calibri"/>
          <w:szCs w:val="24"/>
        </w:rPr>
        <w:t xml:space="preserve">, as alterações relativas às </w:t>
      </w:r>
      <w:r w:rsidRPr="00853B5D" w:rsidR="00083A08">
        <w:rPr>
          <w:rFonts w:ascii="Calibri" w:hAnsi="Calibri" w:cs="Calibri"/>
          <w:szCs w:val="24"/>
        </w:rPr>
        <w:t>MDOs</w:t>
      </w:r>
      <w:r w:rsidRPr="00853B5D" w:rsidR="00083A08">
        <w:rPr>
          <w:rFonts w:ascii="Calibri" w:hAnsi="Calibri" w:cs="Calibri"/>
          <w:szCs w:val="24"/>
        </w:rPr>
        <w:t xml:space="preserve"> representam possível retrocesso ambiental</w:t>
      </w:r>
      <w:r w:rsidRPr="00853B5D" w:rsidR="001962C1">
        <w:rPr>
          <w:rFonts w:ascii="Calibri" w:hAnsi="Calibri" w:cs="Calibri"/>
          <w:szCs w:val="24"/>
        </w:rPr>
        <w:t>.</w:t>
      </w:r>
      <w:r w:rsidRPr="00853B5D">
        <w:rPr>
          <w:rFonts w:ascii="Calibri" w:hAnsi="Calibri" w:cs="Calibri"/>
          <w:szCs w:val="24"/>
        </w:rPr>
        <w:t xml:space="preserve"> </w:t>
      </w:r>
      <w:r w:rsidRPr="00853B5D" w:rsidR="00A779B8">
        <w:rPr>
          <w:rFonts w:ascii="Calibri" w:hAnsi="Calibri" w:cs="Calibri"/>
          <w:szCs w:val="24"/>
        </w:rPr>
        <w:t>Sobre o mérito, ma</w:t>
      </w:r>
      <w:bookmarkStart w:id="0" w:name="_GoBack"/>
      <w:bookmarkEnd w:id="0"/>
      <w:r w:rsidRPr="00853B5D" w:rsidR="00A779B8">
        <w:rPr>
          <w:rFonts w:ascii="Calibri" w:hAnsi="Calibri" w:cs="Calibri"/>
          <w:szCs w:val="24"/>
        </w:rPr>
        <w:t>nifestar-se-á o Soberano Plenário.</w:t>
      </w:r>
    </w:p>
    <w:p w:rsidR="00F50ADA" w:rsidRPr="00853B5D" w:rsidP="00026560">
      <w:pPr>
        <w:autoSpaceDE w:val="0"/>
        <w:autoSpaceDN w:val="0"/>
        <w:adjustRightInd w:val="0"/>
        <w:spacing w:before="120" w:after="120" w:line="360" w:lineRule="auto"/>
        <w:ind w:firstLine="2268"/>
        <w:jc w:val="both"/>
        <w:rPr>
          <w:rFonts w:ascii="Calibri" w:hAnsi="Calibri" w:cs="Calibri"/>
          <w:szCs w:val="24"/>
        </w:rPr>
      </w:pPr>
      <w:r w:rsidRPr="00853B5D">
        <w:rPr>
          <w:rFonts w:ascii="Calibri" w:hAnsi="Calibri" w:cs="Calibri"/>
          <w:szCs w:val="24"/>
        </w:rPr>
        <w:t>É o parecer, a superior consideração.</w:t>
      </w:r>
    </w:p>
    <w:p w:rsidR="00A779B8" w:rsidRPr="00853B5D" w:rsidP="00026560">
      <w:pPr>
        <w:autoSpaceDE w:val="0"/>
        <w:autoSpaceDN w:val="0"/>
        <w:adjustRightInd w:val="0"/>
        <w:spacing w:before="120" w:after="120" w:line="360" w:lineRule="auto"/>
        <w:ind w:firstLine="2268"/>
        <w:jc w:val="both"/>
        <w:rPr>
          <w:rFonts w:ascii="Calibri" w:hAnsi="Calibri" w:cs="Calibri"/>
          <w:szCs w:val="24"/>
        </w:rPr>
      </w:pPr>
      <w:r w:rsidRPr="00853B5D">
        <w:rPr>
          <w:rFonts w:ascii="Calibri" w:hAnsi="Calibri" w:cs="Calibri"/>
          <w:szCs w:val="24"/>
        </w:rPr>
        <w:t xml:space="preserve">Procuradoria, </w:t>
      </w:r>
      <w:r w:rsidRPr="00853B5D" w:rsidR="00853B5D">
        <w:rPr>
          <w:rFonts w:ascii="Calibri" w:hAnsi="Calibri" w:cs="Calibri"/>
          <w:szCs w:val="24"/>
        </w:rPr>
        <w:t>16</w:t>
      </w:r>
      <w:r w:rsidRPr="00853B5D">
        <w:rPr>
          <w:rFonts w:ascii="Calibri" w:hAnsi="Calibri" w:cs="Calibri"/>
          <w:szCs w:val="24"/>
        </w:rPr>
        <w:t xml:space="preserve"> de </w:t>
      </w:r>
      <w:r w:rsidRPr="00853B5D" w:rsidR="00D7536E">
        <w:rPr>
          <w:rFonts w:ascii="Calibri" w:hAnsi="Calibri" w:cs="Calibri"/>
          <w:szCs w:val="24"/>
        </w:rPr>
        <w:t>novembro</w:t>
      </w:r>
      <w:r w:rsidRPr="00853B5D">
        <w:rPr>
          <w:rFonts w:ascii="Calibri" w:hAnsi="Calibri" w:cs="Calibri"/>
          <w:szCs w:val="24"/>
        </w:rPr>
        <w:t xml:space="preserve"> de 202</w:t>
      </w:r>
      <w:r w:rsidRPr="00853B5D" w:rsidR="000368DD">
        <w:rPr>
          <w:rFonts w:ascii="Calibri" w:hAnsi="Calibri" w:cs="Calibri"/>
          <w:szCs w:val="24"/>
        </w:rPr>
        <w:t>3</w:t>
      </w:r>
      <w:r w:rsidRPr="00853B5D">
        <w:rPr>
          <w:rFonts w:ascii="Calibri" w:hAnsi="Calibri" w:cs="Calibri"/>
          <w:szCs w:val="24"/>
        </w:rPr>
        <w:t>.</w:t>
      </w:r>
    </w:p>
    <w:p w:rsidR="008F09A7" w:rsidRPr="00853B5D" w:rsidP="00026560">
      <w:pPr>
        <w:autoSpaceDE w:val="0"/>
        <w:autoSpaceDN w:val="0"/>
        <w:adjustRightInd w:val="0"/>
        <w:spacing w:before="120" w:after="120" w:line="360" w:lineRule="auto"/>
        <w:ind w:firstLine="2268"/>
        <w:jc w:val="both"/>
        <w:rPr>
          <w:rFonts w:ascii="Calibri" w:hAnsi="Calibri" w:cs="Calibri"/>
          <w:szCs w:val="24"/>
        </w:rPr>
      </w:pPr>
    </w:p>
    <w:p w:rsidR="00766226" w:rsidRPr="00853B5D" w:rsidP="00F50ADA">
      <w:pPr>
        <w:pStyle w:val="BodyText"/>
        <w:spacing w:after="0" w:line="240" w:lineRule="auto"/>
        <w:jc w:val="center"/>
        <w:rPr>
          <w:rFonts w:ascii="Calibri" w:hAnsi="Calibri" w:cs="Calibri"/>
        </w:rPr>
      </w:pPr>
    </w:p>
    <w:p w:rsidR="00D7536E" w:rsidRPr="00853B5D" w:rsidP="00D7536E">
      <w:pPr>
        <w:tabs>
          <w:tab w:val="left" w:pos="2880"/>
        </w:tabs>
        <w:spacing w:after="0" w:line="240" w:lineRule="auto"/>
        <w:rPr>
          <w:rFonts w:asciiTheme="minorHAnsi" w:hAnsiTheme="minorHAnsi" w:cstheme="minorHAnsi"/>
          <w:b/>
          <w:szCs w:val="24"/>
        </w:rPr>
      </w:pPr>
      <w:r w:rsidRPr="00853B5D">
        <w:rPr>
          <w:rFonts w:asciiTheme="minorHAnsi" w:hAnsiTheme="minorHAnsi" w:cstheme="minorHAnsi"/>
          <w:b/>
          <w:szCs w:val="24"/>
        </w:rPr>
        <w:t>Rosemeire de Souza Cardoso Barbosa                                 Tiago Fadel Malghosian</w:t>
      </w:r>
    </w:p>
    <w:p w:rsidR="00D7536E" w:rsidRPr="00853B5D" w:rsidP="00D7536E">
      <w:pPr>
        <w:tabs>
          <w:tab w:val="left" w:pos="2880"/>
        </w:tabs>
        <w:spacing w:after="0" w:line="240" w:lineRule="auto"/>
        <w:jc w:val="center"/>
        <w:rPr>
          <w:rFonts w:asciiTheme="minorHAnsi" w:hAnsiTheme="minorHAnsi" w:cstheme="minorHAnsi"/>
          <w:b/>
          <w:szCs w:val="24"/>
        </w:rPr>
      </w:pPr>
      <w:r w:rsidRPr="00853B5D">
        <w:rPr>
          <w:rFonts w:asciiTheme="minorHAnsi" w:hAnsiTheme="minorHAnsi" w:cstheme="minorHAnsi"/>
          <w:b/>
          <w:szCs w:val="24"/>
        </w:rPr>
        <w:t>Procuradora – OAB/SP 308.298                               Procurador- OAB/SP 319.159</w:t>
      </w:r>
    </w:p>
    <w:p w:rsidR="00D7536E" w:rsidRPr="00853B5D" w:rsidP="00D7536E">
      <w:pPr>
        <w:pStyle w:val="BodyText"/>
        <w:spacing w:after="0" w:line="240" w:lineRule="auto"/>
        <w:jc w:val="center"/>
        <w:rPr>
          <w:rFonts w:ascii="Calibri" w:hAnsi="Calibri" w:cs="Calibri"/>
        </w:rPr>
      </w:pPr>
      <w:r w:rsidRPr="00853B5D">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853B5D">
              <w:rPr>
                <w:b/>
                <w:bCs/>
                <w:noProof/>
                <w:sz w:val="18"/>
                <w:szCs w:val="18"/>
              </w:rPr>
              <w:t>11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853B5D">
              <w:rPr>
                <w:b/>
                <w:bCs/>
                <w:noProof/>
                <w:sz w:val="18"/>
                <w:szCs w:val="18"/>
              </w:rPr>
              <w:t>11</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 w:id="3">
    <w:p w:rsidR="002E56D2" w:rsidP="002E56D2">
      <w:pPr>
        <w:pStyle w:val="FootnoteText"/>
      </w:pPr>
      <w:r>
        <w:rPr>
          <w:rStyle w:val="FootnoteReference"/>
        </w:rPr>
        <w:footnoteRef/>
      </w:r>
      <w:r>
        <w:t xml:space="preserve"> </w:t>
      </w:r>
      <w:hyperlink r:id="rId1" w:history="1">
        <w:r w:rsidRPr="004856DF">
          <w:rPr>
            <w:rStyle w:val="Hyperlink"/>
          </w:rPr>
          <w:t>https://www.camaravalinhos.sp.gov.br/content/relatorio/plano_diretor/Parecer%20CAEX.pdf</w:t>
        </w:r>
      </w:hyperlink>
    </w:p>
    <w:p w:rsidR="002E56D2" w:rsidP="002E56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1278156528"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467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4872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8590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83A08"/>
    <w:rsid w:val="000E2AF4"/>
    <w:rsid w:val="000F259D"/>
    <w:rsid w:val="001604ED"/>
    <w:rsid w:val="001672D5"/>
    <w:rsid w:val="001962C1"/>
    <w:rsid w:val="00200A82"/>
    <w:rsid w:val="0020224C"/>
    <w:rsid w:val="0023693B"/>
    <w:rsid w:val="00244AB2"/>
    <w:rsid w:val="002E56D2"/>
    <w:rsid w:val="00336C41"/>
    <w:rsid w:val="003A49AF"/>
    <w:rsid w:val="00407238"/>
    <w:rsid w:val="00435E91"/>
    <w:rsid w:val="00473A76"/>
    <w:rsid w:val="004856DF"/>
    <w:rsid w:val="0050575A"/>
    <w:rsid w:val="00540656"/>
    <w:rsid w:val="005723D1"/>
    <w:rsid w:val="0057373C"/>
    <w:rsid w:val="005933F2"/>
    <w:rsid w:val="005E6247"/>
    <w:rsid w:val="00621D83"/>
    <w:rsid w:val="00646BC4"/>
    <w:rsid w:val="006F2E14"/>
    <w:rsid w:val="0071039A"/>
    <w:rsid w:val="00766226"/>
    <w:rsid w:val="00797A32"/>
    <w:rsid w:val="00853B5D"/>
    <w:rsid w:val="0089277F"/>
    <w:rsid w:val="008E128F"/>
    <w:rsid w:val="008F09A7"/>
    <w:rsid w:val="009550F0"/>
    <w:rsid w:val="009A07D0"/>
    <w:rsid w:val="00A36A7A"/>
    <w:rsid w:val="00A56E27"/>
    <w:rsid w:val="00A779B8"/>
    <w:rsid w:val="00A87ED2"/>
    <w:rsid w:val="00A94458"/>
    <w:rsid w:val="00AD055D"/>
    <w:rsid w:val="00B2546C"/>
    <w:rsid w:val="00B33EC1"/>
    <w:rsid w:val="00B62E93"/>
    <w:rsid w:val="00BC5BCF"/>
    <w:rsid w:val="00BD58B4"/>
    <w:rsid w:val="00C669D7"/>
    <w:rsid w:val="00CA0155"/>
    <w:rsid w:val="00D204C8"/>
    <w:rsid w:val="00D34B79"/>
    <w:rsid w:val="00D36CDA"/>
    <w:rsid w:val="00D6369B"/>
    <w:rsid w:val="00D74F67"/>
    <w:rsid w:val="00D7536E"/>
    <w:rsid w:val="00D75ECD"/>
    <w:rsid w:val="00DF22E1"/>
    <w:rsid w:val="00E05B40"/>
    <w:rsid w:val="00E32D22"/>
    <w:rsid w:val="00E86B5F"/>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 w:type="character" w:styleId="Hyperlink">
    <w:name w:val="Hyperlink"/>
    <w:basedOn w:val="DefaultParagraphFont"/>
    <w:uiPriority w:val="99"/>
    <w:unhideWhenUsed/>
    <w:rsid w:val="002E5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amaravalinhos.sp.gov.br/content/relatorio/plano_diretor/Parecer%20CAEX.pdf"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EE795-16D0-4801-B137-972A4EE2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11</Pages>
  <Words>2941</Words>
  <Characters>15886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17</cp:revision>
  <dcterms:created xsi:type="dcterms:W3CDTF">2023-10-31T14:44:00Z</dcterms:created>
  <dcterms:modified xsi:type="dcterms:W3CDTF">2023-11-16T17:06:00Z</dcterms:modified>
</cp:coreProperties>
</file>