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D54F2" w:rsidRPr="009321BF" w:rsidP="005D54F2">
      <w:pPr>
        <w:pStyle w:val="Default"/>
        <w:jc w:val="both"/>
        <w:rPr>
          <w:rFonts w:ascii="Calibri" w:hAnsi="Calibri" w:cs="Calibri"/>
          <w:b/>
          <w:color w:val="auto"/>
        </w:rPr>
      </w:pPr>
      <w:r w:rsidRPr="009321BF">
        <w:rPr>
          <w:rFonts w:ascii="Calibri" w:hAnsi="Calibri" w:cs="Calibri"/>
          <w:b/>
          <w:color w:val="auto"/>
        </w:rPr>
        <w:t xml:space="preserve">Parecer Jurídico nº </w:t>
      </w:r>
      <w:r w:rsidRPr="009321BF" w:rsidR="009321BF">
        <w:rPr>
          <w:rFonts w:ascii="Calibri" w:hAnsi="Calibri" w:cs="Calibri"/>
          <w:b/>
          <w:color w:val="auto"/>
        </w:rPr>
        <w:t>407</w:t>
      </w:r>
      <w:r w:rsidRPr="009321BF" w:rsidR="004E7FA7">
        <w:rPr>
          <w:rFonts w:ascii="Calibri" w:hAnsi="Calibri" w:cs="Calibri"/>
          <w:b/>
          <w:color w:val="auto"/>
        </w:rPr>
        <w:t>/2023</w:t>
      </w:r>
      <w:r w:rsidRPr="009321BF">
        <w:rPr>
          <w:rFonts w:ascii="Calibri" w:hAnsi="Calibri" w:cs="Calibri"/>
          <w:b/>
          <w:color w:val="auto"/>
        </w:rPr>
        <w:t>.</w:t>
      </w:r>
    </w:p>
    <w:p w:rsidR="004421CB" w:rsidRPr="002337C6" w:rsidP="00065CFC">
      <w:pPr>
        <w:pStyle w:val="Default"/>
        <w:tabs>
          <w:tab w:val="left" w:pos="1276"/>
        </w:tabs>
        <w:jc w:val="both"/>
        <w:rPr>
          <w:rFonts w:ascii="Calibri" w:hAnsi="Calibri" w:cs="Calibri"/>
          <w:b/>
          <w:bCs/>
        </w:rPr>
      </w:pPr>
      <w:r w:rsidRPr="002337C6">
        <w:rPr>
          <w:rFonts w:ascii="Calibri" w:hAnsi="Calibri" w:cs="Calibri"/>
          <w:b/>
          <w:bCs/>
        </w:rPr>
        <w:t xml:space="preserve">Assunto: Projeto de Lei nº </w:t>
      </w:r>
      <w:r w:rsidR="00065CFC">
        <w:rPr>
          <w:rFonts w:ascii="Calibri" w:hAnsi="Calibri" w:cs="Calibri"/>
          <w:b/>
          <w:bCs/>
        </w:rPr>
        <w:t>1</w:t>
      </w:r>
      <w:r w:rsidR="004E7FA7">
        <w:rPr>
          <w:rFonts w:ascii="Calibri" w:hAnsi="Calibri" w:cs="Calibri"/>
          <w:b/>
          <w:bCs/>
        </w:rPr>
        <w:t>63</w:t>
      </w:r>
      <w:r w:rsidRPr="002337C6">
        <w:rPr>
          <w:rFonts w:ascii="Calibri" w:hAnsi="Calibri" w:cs="Calibri"/>
          <w:b/>
          <w:bCs/>
        </w:rPr>
        <w:t>/202</w:t>
      </w:r>
      <w:r w:rsidR="004E7FA7">
        <w:rPr>
          <w:rFonts w:ascii="Calibri" w:hAnsi="Calibri" w:cs="Calibri"/>
          <w:b/>
          <w:bCs/>
        </w:rPr>
        <w:t>3</w:t>
      </w:r>
      <w:r w:rsidRPr="002337C6">
        <w:rPr>
          <w:rFonts w:ascii="Calibri" w:hAnsi="Calibri" w:cs="Calibri"/>
          <w:b/>
          <w:bCs/>
        </w:rPr>
        <w:t xml:space="preserve"> –</w:t>
      </w:r>
      <w:r w:rsidR="004E7FA7">
        <w:rPr>
          <w:rFonts w:ascii="Calibri" w:hAnsi="Calibri" w:cs="Calibri"/>
          <w:b/>
          <w:bCs/>
        </w:rPr>
        <w:t xml:space="preserve"> </w:t>
      </w:r>
      <w:r w:rsidRPr="004E7FA7" w:rsidR="004E7FA7">
        <w:rPr>
          <w:rFonts w:ascii="Calibri" w:hAnsi="Calibri" w:cs="Calibri"/>
        </w:rPr>
        <w:t>Dispõe sobre o Programa de Recuperação Fiscal – REFIS-Valinhos/2023, no âmbito da Fazenda Pública, na forma e condições que especifica</w:t>
      </w:r>
      <w:r w:rsidR="004E7FA7">
        <w:rPr>
          <w:rFonts w:ascii="Calibri" w:hAnsi="Calibri" w:cs="Calibri"/>
        </w:rPr>
        <w:t xml:space="preserve">. </w:t>
      </w:r>
      <w:r w:rsidRPr="002337C6" w:rsidR="00065CFC">
        <w:rPr>
          <w:rFonts w:ascii="Calibri" w:hAnsi="Calibri" w:cs="Calibri"/>
          <w:b/>
          <w:bCs/>
        </w:rPr>
        <w:t>Autoria da Prefeita –</w:t>
      </w:r>
      <w:r w:rsidR="00065CFC">
        <w:rPr>
          <w:rFonts w:ascii="Calibri" w:hAnsi="Calibri" w:cs="Calibri"/>
          <w:b/>
          <w:bCs/>
        </w:rPr>
        <w:t xml:space="preserve"> Mensagem nº </w:t>
      </w:r>
      <w:r w:rsidR="004E7FA7">
        <w:rPr>
          <w:rFonts w:ascii="Calibri" w:hAnsi="Calibri" w:cs="Calibri"/>
          <w:b/>
          <w:bCs/>
        </w:rPr>
        <w:t>64</w:t>
      </w:r>
      <w:r w:rsidRPr="002337C6">
        <w:rPr>
          <w:rFonts w:ascii="Calibri" w:hAnsi="Calibri" w:cs="Calibri"/>
          <w:b/>
          <w:bCs/>
        </w:rPr>
        <w:t>/202</w:t>
      </w:r>
      <w:r w:rsidR="004E7FA7">
        <w:rPr>
          <w:rFonts w:ascii="Calibri" w:hAnsi="Calibri" w:cs="Calibri"/>
          <w:b/>
          <w:bCs/>
        </w:rPr>
        <w:t>3</w:t>
      </w:r>
      <w:r w:rsidRPr="002337C6">
        <w:rPr>
          <w:rFonts w:ascii="Calibri" w:hAnsi="Calibri" w:cs="Calibri"/>
          <w:b/>
          <w:bCs/>
        </w:rPr>
        <w:t>.</w:t>
      </w:r>
    </w:p>
    <w:p w:rsidR="004421CB" w:rsidRPr="002337C6" w:rsidP="004421CB">
      <w:pPr>
        <w:pStyle w:val="Default"/>
        <w:tabs>
          <w:tab w:val="left" w:pos="1276"/>
        </w:tabs>
        <w:spacing w:after="120"/>
        <w:jc w:val="both"/>
        <w:rPr>
          <w:rFonts w:ascii="Calibri" w:hAnsi="Calibri" w:cs="Calibri"/>
          <w:b/>
        </w:rPr>
      </w:pPr>
    </w:p>
    <w:p w:rsidR="004421CB" w:rsidRPr="004E7FA7" w:rsidP="004421CB">
      <w:pPr>
        <w:pStyle w:val="Default"/>
        <w:tabs>
          <w:tab w:val="left" w:pos="1276"/>
        </w:tabs>
        <w:spacing w:after="120"/>
        <w:jc w:val="both"/>
        <w:rPr>
          <w:rFonts w:ascii="Calibri" w:hAnsi="Calibri" w:cs="Calibri"/>
          <w:b/>
          <w:sz w:val="12"/>
          <w:szCs w:val="12"/>
        </w:rPr>
      </w:pPr>
    </w:p>
    <w:p w:rsidR="004421CB" w:rsidRPr="002337C6" w:rsidP="004421CB">
      <w:pPr>
        <w:pStyle w:val="Default"/>
        <w:jc w:val="both"/>
        <w:rPr>
          <w:rFonts w:ascii="Calibri" w:hAnsi="Calibri" w:cs="Calibri"/>
          <w:b/>
          <w:i/>
        </w:rPr>
      </w:pPr>
      <w:r w:rsidRPr="002337C6">
        <w:rPr>
          <w:rFonts w:ascii="Calibri" w:hAnsi="Calibri" w:cs="Calibri"/>
          <w:b/>
          <w:i/>
        </w:rPr>
        <w:t>À Comissão de Justiça e Redação,</w:t>
      </w:r>
    </w:p>
    <w:p w:rsidR="004421CB" w:rsidRPr="002337C6" w:rsidP="004421CB">
      <w:pPr>
        <w:pStyle w:val="Default"/>
        <w:jc w:val="both"/>
        <w:rPr>
          <w:rFonts w:ascii="Calibri" w:hAnsi="Calibri" w:cs="Calibri"/>
          <w:b/>
          <w:i/>
        </w:rPr>
      </w:pPr>
      <w:r w:rsidRPr="002337C6">
        <w:rPr>
          <w:rFonts w:ascii="Calibri" w:hAnsi="Calibri" w:cs="Calibri"/>
          <w:b/>
          <w:i/>
        </w:rPr>
        <w:t xml:space="preserve">Exmo. </w:t>
      </w:r>
      <w:r w:rsidR="004E7FA7">
        <w:rPr>
          <w:rFonts w:ascii="Calibri" w:hAnsi="Calibri" w:cs="Calibri"/>
          <w:b/>
          <w:i/>
        </w:rPr>
        <w:t xml:space="preserve">Presidente </w:t>
      </w:r>
      <w:r w:rsidRPr="002337C6">
        <w:rPr>
          <w:rFonts w:ascii="Calibri" w:hAnsi="Calibri" w:cs="Calibri"/>
          <w:b/>
          <w:i/>
        </w:rPr>
        <w:t xml:space="preserve">Vereador </w:t>
      </w:r>
      <w:r w:rsidR="004E7FA7">
        <w:rPr>
          <w:rFonts w:ascii="Calibri" w:hAnsi="Calibri" w:cs="Calibri"/>
          <w:b/>
          <w:i/>
        </w:rPr>
        <w:t>Gabriel Bueno</w:t>
      </w:r>
    </w:p>
    <w:p w:rsidR="004421CB" w:rsidRPr="002337C6" w:rsidP="004421CB">
      <w:pPr>
        <w:pStyle w:val="Default"/>
        <w:jc w:val="both"/>
        <w:rPr>
          <w:rFonts w:ascii="Calibri" w:hAnsi="Calibri" w:cs="Calibri"/>
          <w:b/>
          <w:i/>
        </w:rPr>
      </w:pPr>
    </w:p>
    <w:p w:rsidR="004421CB" w:rsidRPr="002337C6" w:rsidP="004421CB">
      <w:pPr>
        <w:pStyle w:val="Default"/>
        <w:jc w:val="both"/>
        <w:rPr>
          <w:rFonts w:ascii="Calibri" w:hAnsi="Calibri" w:cs="Calibri"/>
          <w:b/>
          <w:i/>
        </w:rPr>
      </w:pPr>
    </w:p>
    <w:p w:rsidR="004421CB" w:rsidRPr="002337C6" w:rsidP="004421CB">
      <w:pPr>
        <w:pStyle w:val="Default"/>
        <w:jc w:val="both"/>
        <w:rPr>
          <w:rFonts w:ascii="Calibri" w:hAnsi="Calibri" w:cs="Calibri"/>
          <w:b/>
          <w:i/>
        </w:rPr>
      </w:pPr>
    </w:p>
    <w:p w:rsidR="004421CB" w:rsidRPr="004E7FA7" w:rsidP="004E7FA7">
      <w:pPr>
        <w:spacing w:after="240" w:line="360" w:lineRule="auto"/>
        <w:ind w:firstLine="1701"/>
        <w:jc w:val="both"/>
        <w:rPr>
          <w:rFonts w:ascii="Calibri" w:hAnsi="Calibri" w:cs="Calibri"/>
          <w:i/>
          <w:szCs w:val="24"/>
        </w:rPr>
      </w:pPr>
      <w:r w:rsidRPr="002337C6">
        <w:rPr>
          <w:rFonts w:ascii="Calibri" w:hAnsi="Calibri" w:cs="Calibri"/>
          <w:szCs w:val="24"/>
        </w:rPr>
        <w:t xml:space="preserve">Trata-se de parecer jurídico relativo ao projeto em epígrafe que </w:t>
      </w:r>
      <w:r w:rsidRPr="004E7FA7">
        <w:rPr>
          <w:rFonts w:ascii="Calibri" w:hAnsi="Calibri" w:cs="Calibri"/>
          <w:i/>
          <w:szCs w:val="24"/>
        </w:rPr>
        <w:t>“</w:t>
      </w:r>
      <w:r w:rsidRPr="004E7FA7" w:rsidR="004E7FA7">
        <w:rPr>
          <w:rFonts w:ascii="Calibri" w:hAnsi="Calibri" w:cs="Calibri"/>
          <w:i/>
          <w:szCs w:val="24"/>
        </w:rPr>
        <w:t>Dispõe sobre o Programa de Recuperação Fiscal – REFIS-Valinhos/2023, no âmbito da Fazenda Pública, na forma e condições que especifica</w:t>
      </w:r>
      <w:r w:rsidRPr="004E7FA7">
        <w:rPr>
          <w:rFonts w:ascii="Calibri" w:hAnsi="Calibri" w:cs="Calibri"/>
          <w:i/>
          <w:szCs w:val="24"/>
        </w:rPr>
        <w:t>”.</w:t>
      </w:r>
    </w:p>
    <w:p w:rsidR="004E7FA7" w:rsidRPr="004E7FA7" w:rsidP="004E7FA7">
      <w:pPr>
        <w:spacing w:after="240" w:line="360" w:lineRule="auto"/>
        <w:ind w:firstLine="1701"/>
        <w:jc w:val="both"/>
        <w:rPr>
          <w:rFonts w:ascii="Calibri" w:hAnsi="Calibri" w:cs="Calibri"/>
          <w:szCs w:val="24"/>
        </w:rPr>
      </w:pPr>
      <w:r>
        <w:rPr>
          <w:rFonts w:ascii="Calibri" w:hAnsi="Calibri" w:cs="Calibri"/>
          <w:szCs w:val="24"/>
        </w:rPr>
        <w:t xml:space="preserve">Consta da mensagem que o projeto tem por objetivo “... </w:t>
      </w:r>
      <w:r w:rsidRPr="004E7FA7">
        <w:rPr>
          <w:rFonts w:ascii="Calibri" w:hAnsi="Calibri" w:cs="Calibri"/>
          <w:i/>
          <w:szCs w:val="24"/>
        </w:rPr>
        <w:t>proporcionar oportunidade de regularização fiscal aos contribuintes em débito com a Fazenda Pública em condições especiais de pagamento</w:t>
      </w:r>
      <w:r w:rsidRPr="004E7FA7">
        <w:rPr>
          <w:rFonts w:ascii="Calibri" w:hAnsi="Calibri" w:cs="Calibri"/>
          <w:i/>
          <w:szCs w:val="24"/>
        </w:rPr>
        <w:t>, sejam</w:t>
      </w:r>
      <w:r w:rsidRPr="004E7FA7">
        <w:rPr>
          <w:rFonts w:ascii="Calibri" w:hAnsi="Calibri" w:cs="Calibri"/>
          <w:i/>
          <w:szCs w:val="24"/>
        </w:rPr>
        <w:t xml:space="preserve"> pessoas físicas ou jurídicas, de forma à vista, com desconto de até 100% dos juros e da multa de mora, dentre outras medidas, atentos às demandas da comunidade e ao maior interesse público, bem como ao disposto na Lei de Responsabilidade Fiscal</w:t>
      </w:r>
      <w:r>
        <w:rPr>
          <w:rFonts w:ascii="Calibri" w:hAnsi="Calibri" w:cs="Calibri"/>
          <w:i/>
          <w:szCs w:val="24"/>
        </w:rPr>
        <w:t>”</w:t>
      </w:r>
      <w:r w:rsidRPr="004E7FA7">
        <w:rPr>
          <w:rFonts w:ascii="Calibri" w:hAnsi="Calibri" w:cs="Calibri"/>
          <w:i/>
          <w:szCs w:val="24"/>
        </w:rPr>
        <w:t>.</w:t>
      </w:r>
    </w:p>
    <w:p w:rsidR="004421CB" w:rsidRPr="002337C6" w:rsidP="004421CB">
      <w:pPr>
        <w:tabs>
          <w:tab w:val="left" w:pos="1701"/>
        </w:tabs>
        <w:spacing w:after="120" w:line="360" w:lineRule="auto"/>
        <w:jc w:val="both"/>
        <w:rPr>
          <w:rFonts w:ascii="Calibri" w:hAnsi="Calibri" w:cs="Calibri"/>
          <w:szCs w:val="24"/>
        </w:rPr>
      </w:pPr>
      <w:r w:rsidRPr="002337C6">
        <w:rPr>
          <w:rFonts w:ascii="Calibri" w:hAnsi="Calibri" w:cs="Calibri"/>
          <w:i/>
          <w:szCs w:val="24"/>
        </w:rPr>
        <w:tab/>
        <w:t>Ab initio</w:t>
      </w:r>
      <w:r w:rsidRPr="002337C6">
        <w:rPr>
          <w:rFonts w:ascii="Calibri" w:hAnsi="Calibri" w:cs="Calibri"/>
          <w:szCs w:val="24"/>
        </w:rPr>
        <w:t>, cumpre destacar a competência regimental da Comissão de Justiça e Redação estabelecida no artigo 38.</w:t>
      </w:r>
    </w:p>
    <w:p w:rsidR="004421CB" w:rsidRPr="002337C6" w:rsidP="004421CB">
      <w:pPr>
        <w:tabs>
          <w:tab w:val="left" w:pos="1701"/>
        </w:tabs>
        <w:spacing w:after="120" w:line="360" w:lineRule="auto"/>
        <w:jc w:val="both"/>
        <w:rPr>
          <w:rFonts w:ascii="Calibri" w:hAnsi="Calibri" w:cs="Calibri"/>
          <w:color w:val="000000"/>
          <w:szCs w:val="24"/>
        </w:rPr>
      </w:pPr>
      <w:r w:rsidRPr="002337C6">
        <w:rPr>
          <w:rFonts w:ascii="Calibri" w:hAnsi="Calibri" w:cs="Calibri"/>
          <w:szCs w:val="24"/>
        </w:rPr>
        <w:tab/>
      </w:r>
      <w:r w:rsidRPr="002337C6">
        <w:rPr>
          <w:rFonts w:ascii="Calibri" w:hAnsi="Calibri" w:cs="Calibri"/>
          <w:szCs w:val="24"/>
        </w:rPr>
        <w:t>Outrossim</w:t>
      </w:r>
      <w:r w:rsidRPr="002337C6">
        <w:rPr>
          <w:rFonts w:ascii="Calibri" w:hAnsi="Calibri" w:cs="Calibri"/>
          <w:szCs w:val="24"/>
        </w:rPr>
        <w:t xml:space="preserve">, ressalta-se que a opinião jurídica exarada neste parecer </w:t>
      </w:r>
      <w:r w:rsidRPr="002337C6">
        <w:rPr>
          <w:rFonts w:ascii="Calibri" w:hAnsi="Calibri" w:cs="Calibri"/>
          <w:b/>
          <w:szCs w:val="24"/>
        </w:rPr>
        <w:t>não tem força vinculante</w:t>
      </w:r>
      <w:r w:rsidRPr="002337C6">
        <w:rPr>
          <w:rFonts w:ascii="Calibri" w:hAnsi="Calibri" w:cs="Calibri"/>
          <w:szCs w:val="24"/>
        </w:rPr>
        <w:t>, sendo meramente opinativo</w:t>
      </w:r>
      <w:r>
        <w:rPr>
          <w:rStyle w:val="FootnoteReference"/>
          <w:rFonts w:ascii="Calibri" w:hAnsi="Calibri" w:cs="Calibri"/>
          <w:szCs w:val="24"/>
        </w:rPr>
        <w:footnoteReference w:id="2"/>
      </w:r>
      <w:r w:rsidRPr="002337C6">
        <w:rPr>
          <w:rFonts w:ascii="Calibri" w:hAnsi="Calibri" w:cs="Calibri"/>
          <w:szCs w:val="24"/>
        </w:rPr>
        <w:t xml:space="preserve"> não fundamentando decisão proferida pelas Comissões e/ou nobres vereadores. </w:t>
      </w:r>
    </w:p>
    <w:p w:rsidR="004421CB" w:rsidP="004421CB">
      <w:pPr>
        <w:spacing w:before="240" w:after="240" w:line="360" w:lineRule="auto"/>
        <w:ind w:firstLine="1701"/>
        <w:jc w:val="both"/>
        <w:rPr>
          <w:rFonts w:ascii="Calibri" w:hAnsi="Calibri" w:cs="Calibri"/>
          <w:szCs w:val="24"/>
        </w:rPr>
      </w:pPr>
      <w:r w:rsidRPr="002337C6">
        <w:rPr>
          <w:rFonts w:ascii="Calibri" w:hAnsi="Calibri" w:cs="Calibri"/>
          <w:szCs w:val="24"/>
        </w:rPr>
        <w:t xml:space="preserve">Pois bem, considerando os aspectos jurídicos passamos à </w:t>
      </w:r>
      <w:r w:rsidRPr="002337C6">
        <w:rPr>
          <w:rFonts w:ascii="Calibri" w:hAnsi="Calibri" w:cs="Calibri"/>
          <w:b/>
          <w:szCs w:val="24"/>
        </w:rPr>
        <w:t>análise técnica</w:t>
      </w:r>
      <w:r w:rsidRPr="002337C6">
        <w:rPr>
          <w:rFonts w:ascii="Calibri" w:hAnsi="Calibri" w:cs="Calibri"/>
          <w:szCs w:val="24"/>
        </w:rPr>
        <w:t xml:space="preserve"> do projeto em epígrafe solicitado.</w:t>
      </w:r>
    </w:p>
    <w:p w:rsidR="004E7FA7" w:rsidRPr="004E7FA7" w:rsidP="004E7FA7">
      <w:pPr>
        <w:autoSpaceDE w:val="0"/>
        <w:autoSpaceDN w:val="0"/>
        <w:adjustRightInd w:val="0"/>
        <w:spacing w:line="360" w:lineRule="auto"/>
        <w:ind w:firstLine="1701"/>
        <w:jc w:val="both"/>
        <w:rPr>
          <w:rFonts w:eastAsia="Calibri" w:asciiTheme="minorHAnsi" w:hAnsiTheme="minorHAnsi" w:cstheme="minorHAnsi"/>
          <w:szCs w:val="24"/>
        </w:rPr>
      </w:pPr>
      <w:r w:rsidRPr="004E7FA7">
        <w:rPr>
          <w:rFonts w:eastAsia="Calibri" w:asciiTheme="minorHAnsi" w:hAnsiTheme="minorHAnsi" w:cstheme="minorHAnsi"/>
          <w:szCs w:val="24"/>
        </w:rPr>
        <w:t xml:space="preserve">Preliminarmente, quanto ao </w:t>
      </w:r>
      <w:r w:rsidRPr="004E7FA7">
        <w:rPr>
          <w:rFonts w:eastAsia="Calibri" w:asciiTheme="minorHAnsi" w:hAnsiTheme="minorHAnsi" w:cstheme="minorHAnsi"/>
          <w:szCs w:val="24"/>
          <w:u w:val="single"/>
        </w:rPr>
        <w:t>pedido de urgência</w:t>
      </w:r>
      <w:r w:rsidRPr="004E7FA7">
        <w:rPr>
          <w:rFonts w:eastAsia="Calibri" w:asciiTheme="minorHAnsi" w:hAnsiTheme="minorHAnsi" w:cstheme="minorHAnsi"/>
          <w:szCs w:val="24"/>
        </w:rPr>
        <w:t xml:space="preserve"> o Regimento Interno dispõe:</w:t>
      </w:r>
    </w:p>
    <w:p w:rsidR="004E7FA7" w:rsidRPr="004E7FA7" w:rsidP="004E7FA7">
      <w:pPr>
        <w:autoSpaceDE w:val="0"/>
        <w:autoSpaceDN w:val="0"/>
        <w:adjustRightInd w:val="0"/>
        <w:spacing w:after="0" w:line="240" w:lineRule="auto"/>
        <w:ind w:left="2268" w:hanging="1"/>
        <w:jc w:val="both"/>
        <w:rPr>
          <w:rFonts w:eastAsia="Calibri" w:asciiTheme="minorHAnsi" w:hAnsiTheme="minorHAnsi" w:cstheme="minorHAnsi"/>
          <w:b/>
          <w:i/>
          <w:sz w:val="22"/>
          <w:szCs w:val="22"/>
        </w:rPr>
      </w:pPr>
      <w:r w:rsidRPr="004E7FA7">
        <w:rPr>
          <w:rFonts w:eastAsia="Calibri" w:asciiTheme="minorHAnsi" w:hAnsiTheme="minorHAnsi" w:cstheme="minorHAnsi"/>
          <w:i/>
          <w:sz w:val="22"/>
          <w:szCs w:val="22"/>
        </w:rPr>
        <w:t xml:space="preserve">Art. 115. O </w:t>
      </w:r>
      <w:r w:rsidRPr="004E7FA7">
        <w:rPr>
          <w:rFonts w:eastAsia="Calibri" w:asciiTheme="minorHAnsi" w:hAnsiTheme="minorHAnsi" w:cstheme="minorHAnsi"/>
          <w:b/>
          <w:i/>
          <w:sz w:val="22"/>
          <w:szCs w:val="22"/>
        </w:rPr>
        <w:t>Prefeito</w:t>
      </w:r>
      <w:r w:rsidRPr="004E7FA7">
        <w:rPr>
          <w:rFonts w:eastAsia="Calibri" w:asciiTheme="minorHAnsi" w:hAnsiTheme="minorHAnsi" w:cstheme="minorHAnsi"/>
          <w:i/>
          <w:sz w:val="22"/>
          <w:szCs w:val="22"/>
        </w:rPr>
        <w:t xml:space="preserve"> </w:t>
      </w:r>
      <w:r w:rsidRPr="004E7FA7">
        <w:rPr>
          <w:rFonts w:eastAsia="Calibri" w:asciiTheme="minorHAnsi" w:hAnsiTheme="minorHAnsi" w:cstheme="minorHAnsi"/>
          <w:b/>
          <w:i/>
          <w:sz w:val="22"/>
          <w:szCs w:val="22"/>
        </w:rPr>
        <w:t>poderá solicitar regime de urgência para</w:t>
      </w:r>
      <w:r w:rsidRPr="004E7FA7">
        <w:rPr>
          <w:rFonts w:eastAsia="Calibri" w:asciiTheme="minorHAnsi" w:hAnsiTheme="minorHAnsi" w:cstheme="minorHAnsi"/>
          <w:i/>
          <w:sz w:val="22"/>
          <w:szCs w:val="22"/>
        </w:rPr>
        <w:t xml:space="preserve"> </w:t>
      </w:r>
      <w:r w:rsidRPr="004E7FA7">
        <w:rPr>
          <w:rFonts w:eastAsia="Calibri" w:asciiTheme="minorHAnsi" w:hAnsiTheme="minorHAnsi" w:cstheme="minorHAnsi"/>
          <w:b/>
          <w:i/>
          <w:sz w:val="22"/>
          <w:szCs w:val="22"/>
        </w:rPr>
        <w:t xml:space="preserve">projeto de </w:t>
      </w:r>
      <w:r w:rsidRPr="004E7FA7">
        <w:rPr>
          <w:rFonts w:eastAsia="Calibri" w:asciiTheme="minorHAnsi" w:hAnsiTheme="minorHAnsi" w:cstheme="minorHAnsi"/>
          <w:b/>
          <w:i/>
          <w:sz w:val="22"/>
          <w:szCs w:val="22"/>
        </w:rPr>
        <w:t>sua iniciativa</w:t>
      </w:r>
      <w:r w:rsidRPr="004E7FA7">
        <w:rPr>
          <w:rFonts w:eastAsia="Calibri" w:asciiTheme="minorHAnsi" w:hAnsiTheme="minorHAnsi" w:cstheme="minorHAnsi"/>
          <w:i/>
          <w:sz w:val="22"/>
          <w:szCs w:val="22"/>
        </w:rPr>
        <w:t xml:space="preserve"> </w:t>
      </w:r>
      <w:r w:rsidRPr="004E7FA7">
        <w:rPr>
          <w:rFonts w:eastAsia="Calibri" w:asciiTheme="minorHAnsi" w:hAnsiTheme="minorHAnsi" w:cstheme="minorHAnsi"/>
          <w:b/>
          <w:i/>
          <w:sz w:val="22"/>
          <w:szCs w:val="22"/>
          <w:u w:val="single"/>
        </w:rPr>
        <w:t>considerado de relevante interesse público,</w:t>
      </w:r>
      <w:r w:rsidRPr="004E7FA7">
        <w:rPr>
          <w:rFonts w:eastAsia="Calibri" w:asciiTheme="minorHAnsi" w:hAnsiTheme="minorHAnsi" w:cstheme="minorHAnsi"/>
          <w:i/>
          <w:sz w:val="22"/>
          <w:szCs w:val="22"/>
        </w:rPr>
        <w:t xml:space="preserve"> </w:t>
      </w:r>
      <w:r w:rsidRPr="004E7FA7">
        <w:rPr>
          <w:rFonts w:eastAsia="Calibri" w:asciiTheme="minorHAnsi" w:hAnsiTheme="minorHAnsi" w:cstheme="minorHAnsi"/>
          <w:b/>
          <w:i/>
          <w:sz w:val="22"/>
          <w:szCs w:val="22"/>
        </w:rPr>
        <w:t>devendo a Câmara</w:t>
      </w:r>
      <w:r w:rsidRPr="004E7FA7">
        <w:rPr>
          <w:rFonts w:eastAsia="Calibri" w:asciiTheme="minorHAnsi" w:hAnsiTheme="minorHAnsi" w:cstheme="minorHAnsi"/>
          <w:b/>
          <w:i/>
          <w:sz w:val="22"/>
          <w:szCs w:val="22"/>
        </w:rPr>
        <w:t xml:space="preserve"> apreciá-lo dentro do prazo de trinta dias.</w:t>
      </w:r>
    </w:p>
    <w:p w:rsidR="004E7FA7" w:rsidRPr="004E7FA7" w:rsidP="004E7FA7">
      <w:pPr>
        <w:autoSpaceDE w:val="0"/>
        <w:autoSpaceDN w:val="0"/>
        <w:adjustRightInd w:val="0"/>
        <w:spacing w:after="0" w:line="240" w:lineRule="auto"/>
        <w:ind w:left="2268"/>
        <w:jc w:val="both"/>
        <w:rPr>
          <w:rFonts w:eastAsia="Calibri" w:asciiTheme="minorHAnsi" w:hAnsiTheme="minorHAnsi" w:cstheme="minorHAnsi"/>
          <w:i/>
          <w:sz w:val="22"/>
          <w:szCs w:val="22"/>
        </w:rPr>
      </w:pPr>
      <w:r w:rsidRPr="004E7FA7">
        <w:rPr>
          <w:rFonts w:asciiTheme="minorHAnsi" w:hAnsiTheme="minorHAnsi"/>
          <w:i/>
          <w:sz w:val="22"/>
          <w:szCs w:val="22"/>
        </w:rPr>
        <w:t xml:space="preserve">§ </w:t>
      </w:r>
      <w:r w:rsidRPr="004E7FA7">
        <w:rPr>
          <w:rFonts w:eastAsia="Calibri" w:asciiTheme="minorHAnsi" w:hAnsiTheme="minorHAnsi" w:cstheme="minorHAnsi"/>
          <w:i/>
          <w:sz w:val="22"/>
          <w:szCs w:val="22"/>
        </w:rPr>
        <w:t xml:space="preserve">1º Se a Câmara não deliberar naquele prazo, o projeto será incluído na Ordem do Dia, sobrestando-se a deliberação quanto aos demais, até que se ultime sua votação.  </w:t>
      </w:r>
    </w:p>
    <w:p w:rsidR="004E7FA7" w:rsidRPr="004E7FA7" w:rsidP="004E7FA7">
      <w:pPr>
        <w:autoSpaceDE w:val="0"/>
        <w:autoSpaceDN w:val="0"/>
        <w:adjustRightInd w:val="0"/>
        <w:spacing w:after="0" w:line="240" w:lineRule="auto"/>
        <w:ind w:left="2268"/>
        <w:jc w:val="both"/>
        <w:rPr>
          <w:rFonts w:eastAsia="Calibri" w:asciiTheme="minorHAnsi" w:hAnsiTheme="minorHAnsi" w:cstheme="minorHAnsi"/>
          <w:i/>
          <w:sz w:val="22"/>
          <w:szCs w:val="22"/>
        </w:rPr>
      </w:pPr>
      <w:r w:rsidRPr="004E7FA7">
        <w:rPr>
          <w:rFonts w:eastAsia="Calibri" w:asciiTheme="minorHAnsi" w:hAnsiTheme="minorHAnsi" w:cstheme="minorHAnsi"/>
          <w:i/>
          <w:sz w:val="22"/>
          <w:szCs w:val="22"/>
        </w:rPr>
        <w:t xml:space="preserve">§ 2º Por exceção, não ficará sobrestado o exame do veto cujo prazo de deliberação tenha se esgotado.  </w:t>
      </w:r>
    </w:p>
    <w:p w:rsidR="004E7FA7" w:rsidRPr="004E7FA7" w:rsidP="004E7FA7">
      <w:pPr>
        <w:autoSpaceDE w:val="0"/>
        <w:autoSpaceDN w:val="0"/>
        <w:adjustRightInd w:val="0"/>
        <w:spacing w:after="0" w:line="240" w:lineRule="auto"/>
        <w:ind w:left="2268"/>
        <w:jc w:val="both"/>
        <w:rPr>
          <w:rFonts w:eastAsia="Calibri" w:asciiTheme="minorHAnsi" w:hAnsiTheme="minorHAnsi" w:cstheme="minorHAnsi"/>
          <w:i/>
          <w:sz w:val="22"/>
          <w:szCs w:val="22"/>
        </w:rPr>
      </w:pPr>
      <w:r w:rsidRPr="004E7FA7">
        <w:rPr>
          <w:rFonts w:eastAsia="Calibri" w:asciiTheme="minorHAnsi" w:hAnsiTheme="minorHAnsi" w:cstheme="minorHAnsi"/>
          <w:i/>
          <w:sz w:val="22"/>
          <w:szCs w:val="22"/>
        </w:rPr>
        <w:t xml:space="preserve">§ 3º O pedido de urgência será apreciado pela Comissão de Justiça e Redação e quando negado será submetido à votação do Plenário.  </w:t>
      </w:r>
    </w:p>
    <w:p w:rsidR="004E7FA7" w:rsidRPr="004E7FA7" w:rsidP="004E7FA7">
      <w:pPr>
        <w:autoSpaceDE w:val="0"/>
        <w:autoSpaceDN w:val="0"/>
        <w:adjustRightInd w:val="0"/>
        <w:spacing w:after="0" w:line="240" w:lineRule="auto"/>
        <w:ind w:left="2268"/>
        <w:jc w:val="both"/>
        <w:rPr>
          <w:rFonts w:eastAsia="Calibri" w:asciiTheme="minorHAnsi" w:hAnsiTheme="minorHAnsi" w:cstheme="minorHAnsi"/>
          <w:i/>
          <w:sz w:val="22"/>
          <w:szCs w:val="22"/>
        </w:rPr>
      </w:pPr>
      <w:r w:rsidRPr="004E7FA7">
        <w:rPr>
          <w:rFonts w:eastAsia="Calibri" w:asciiTheme="minorHAnsi" w:hAnsiTheme="minorHAnsi" w:cstheme="minorHAnsi"/>
          <w:i/>
          <w:sz w:val="22"/>
          <w:szCs w:val="22"/>
        </w:rPr>
        <w:t xml:space="preserve">§ 4º A Mesa poderá fixar prazo para apresentação de emendas tanto em primeira como em segunda discussão. </w:t>
      </w:r>
    </w:p>
    <w:p w:rsidR="004E7FA7" w:rsidRPr="004E7FA7" w:rsidP="004E7FA7">
      <w:pPr>
        <w:autoSpaceDE w:val="0"/>
        <w:autoSpaceDN w:val="0"/>
        <w:adjustRightInd w:val="0"/>
        <w:spacing w:after="0" w:line="240" w:lineRule="auto"/>
        <w:ind w:left="2268"/>
        <w:jc w:val="both"/>
        <w:rPr>
          <w:rFonts w:eastAsia="Calibri" w:asciiTheme="minorHAnsi" w:hAnsiTheme="minorHAnsi" w:cstheme="minorHAnsi"/>
          <w:i/>
          <w:sz w:val="22"/>
          <w:szCs w:val="22"/>
        </w:rPr>
      </w:pPr>
      <w:r w:rsidRPr="004E7FA7">
        <w:rPr>
          <w:rFonts w:eastAsia="Calibri" w:asciiTheme="minorHAnsi" w:hAnsiTheme="minorHAnsi" w:cstheme="minorHAnsi"/>
          <w:i/>
          <w:sz w:val="22"/>
          <w:szCs w:val="22"/>
        </w:rPr>
        <w:t xml:space="preserve">§ 5º Após o prazo fixado na forma do parágrafo anterior, as emendas para a segunda discussão só serão aceitas quando apresentadas pela Mesa ou assinada por pelo menos um terço dos vereadores da Câmara. </w:t>
      </w:r>
    </w:p>
    <w:p w:rsidR="004E7FA7" w:rsidRPr="004E7FA7" w:rsidP="004E7FA7">
      <w:pPr>
        <w:autoSpaceDE w:val="0"/>
        <w:autoSpaceDN w:val="0"/>
        <w:adjustRightInd w:val="0"/>
        <w:spacing w:after="0" w:line="240" w:lineRule="auto"/>
        <w:ind w:left="2268"/>
        <w:jc w:val="both"/>
        <w:rPr>
          <w:rFonts w:eastAsia="Calibri" w:asciiTheme="minorHAnsi" w:hAnsiTheme="minorHAnsi" w:cstheme="minorHAnsi"/>
          <w:b/>
          <w:i/>
          <w:sz w:val="22"/>
          <w:szCs w:val="22"/>
        </w:rPr>
      </w:pPr>
      <w:r w:rsidRPr="004E7FA7">
        <w:rPr>
          <w:rFonts w:eastAsia="Calibri" w:asciiTheme="minorHAnsi" w:hAnsiTheme="minorHAnsi" w:cstheme="minorHAnsi"/>
          <w:b/>
          <w:i/>
          <w:sz w:val="22"/>
          <w:szCs w:val="22"/>
        </w:rPr>
        <w:t>§ 6º Aos projetos de Codificação e Estatuto, artigos 121 e 122, não se aplicam o disposto no caput do artigo.</w:t>
      </w:r>
    </w:p>
    <w:p w:rsidR="004E7FA7" w:rsidRPr="004E7FA7" w:rsidP="004E7FA7">
      <w:pPr>
        <w:autoSpaceDE w:val="0"/>
        <w:autoSpaceDN w:val="0"/>
        <w:adjustRightInd w:val="0"/>
        <w:spacing w:after="240" w:line="300" w:lineRule="auto"/>
        <w:ind w:left="2835"/>
        <w:jc w:val="both"/>
        <w:rPr>
          <w:rFonts w:eastAsia="Calibri" w:asciiTheme="minorHAnsi" w:hAnsiTheme="minorHAnsi" w:cstheme="minorHAnsi"/>
          <w:i/>
          <w:sz w:val="4"/>
          <w:szCs w:val="4"/>
        </w:rPr>
      </w:pPr>
    </w:p>
    <w:p w:rsidR="004E7FA7" w:rsidRPr="004E7FA7" w:rsidP="004E7FA7">
      <w:pPr>
        <w:pStyle w:val="Default"/>
        <w:spacing w:after="300" w:line="360" w:lineRule="auto"/>
        <w:ind w:firstLine="1701"/>
        <w:jc w:val="both"/>
        <w:rPr>
          <w:rFonts w:asciiTheme="minorHAnsi" w:hAnsiTheme="minorHAnsi" w:cstheme="minorHAnsi"/>
          <w:color w:val="auto"/>
          <w:u w:val="single"/>
        </w:rPr>
      </w:pPr>
      <w:r w:rsidRPr="004E7FA7">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4421CB" w:rsidRPr="002337C6" w:rsidP="004421CB">
      <w:pPr>
        <w:tabs>
          <w:tab w:val="left" w:pos="1701"/>
        </w:tabs>
        <w:autoSpaceDE w:val="0"/>
        <w:autoSpaceDN w:val="0"/>
        <w:adjustRightInd w:val="0"/>
        <w:spacing w:line="360" w:lineRule="auto"/>
        <w:jc w:val="both"/>
        <w:rPr>
          <w:rFonts w:ascii="Calibri" w:hAnsi="Calibri" w:eastAsiaTheme="minorHAnsi" w:cs="Calibri"/>
          <w:szCs w:val="24"/>
          <w:lang w:eastAsia="en-US"/>
        </w:rPr>
      </w:pPr>
      <w:r w:rsidRPr="002337C6">
        <w:rPr>
          <w:rFonts w:ascii="Calibri" w:hAnsi="Calibri" w:cs="Calibri"/>
          <w:i/>
          <w:szCs w:val="24"/>
        </w:rPr>
        <w:tab/>
      </w:r>
      <w:r w:rsidRPr="002337C6">
        <w:rPr>
          <w:rFonts w:ascii="Calibri" w:hAnsi="Calibri" w:eastAsiaTheme="minorHAnsi" w:cs="Calibri"/>
          <w:szCs w:val="24"/>
          <w:lang w:eastAsia="en-US"/>
        </w:rPr>
        <w:t>No que tange à competência para legislar sobre direito tributário a Constituição Federal estabelece:</w:t>
      </w:r>
    </w:p>
    <w:p w:rsidR="004421CB" w:rsidRPr="002337C6" w:rsidP="004E7FA7">
      <w:pPr>
        <w:tabs>
          <w:tab w:val="left" w:pos="2268"/>
        </w:tabs>
        <w:autoSpaceDE w:val="0"/>
        <w:autoSpaceDN w:val="0"/>
        <w:adjustRightInd w:val="0"/>
        <w:spacing w:after="0" w:line="240" w:lineRule="auto"/>
        <w:ind w:left="2268"/>
        <w:jc w:val="both"/>
        <w:rPr>
          <w:rFonts w:ascii="Calibri" w:hAnsi="Calibri" w:eastAsiaTheme="minorHAnsi" w:cs="Calibri"/>
          <w:i/>
          <w:sz w:val="22"/>
          <w:szCs w:val="22"/>
          <w:shd w:val="clear" w:color="auto" w:fill="FFFFFF"/>
          <w:lang w:eastAsia="en-US"/>
        </w:rPr>
      </w:pPr>
      <w:r w:rsidRPr="002337C6">
        <w:rPr>
          <w:rFonts w:ascii="Calibri" w:hAnsi="Calibri" w:eastAsiaTheme="minorHAnsi" w:cs="Calibri"/>
          <w:sz w:val="22"/>
          <w:szCs w:val="22"/>
          <w:shd w:val="clear" w:color="auto" w:fill="FFFFFF"/>
          <w:lang w:eastAsia="en-US"/>
        </w:rPr>
        <w:t> </w:t>
      </w:r>
      <w:bookmarkStart w:id="0" w:name="art24"/>
      <w:bookmarkStart w:id="1" w:name="cfart24"/>
      <w:bookmarkEnd w:id="0"/>
      <w:bookmarkEnd w:id="1"/>
      <w:r w:rsidRPr="002337C6">
        <w:rPr>
          <w:rFonts w:ascii="Calibri" w:hAnsi="Calibri" w:eastAsiaTheme="minorHAnsi" w:cs="Calibri"/>
          <w:i/>
          <w:sz w:val="22"/>
          <w:szCs w:val="22"/>
          <w:shd w:val="clear" w:color="auto" w:fill="FFFFFF"/>
          <w:lang w:eastAsia="en-US"/>
        </w:rPr>
        <w:t xml:space="preserve">Art. 24. Compete à </w:t>
      </w:r>
      <w:r w:rsidRPr="002337C6">
        <w:rPr>
          <w:rFonts w:ascii="Calibri" w:hAnsi="Calibri" w:eastAsiaTheme="minorHAnsi" w:cs="Calibri"/>
          <w:i/>
          <w:sz w:val="22"/>
          <w:szCs w:val="22"/>
          <w:u w:val="single"/>
          <w:shd w:val="clear" w:color="auto" w:fill="FFFFFF"/>
          <w:lang w:eastAsia="en-US"/>
        </w:rPr>
        <w:t xml:space="preserve">União, aos Estados e ao Distrito Federal </w:t>
      </w:r>
      <w:r w:rsidRPr="002337C6">
        <w:rPr>
          <w:rFonts w:ascii="Calibri" w:hAnsi="Calibri" w:eastAsiaTheme="minorHAnsi" w:cs="Calibri"/>
          <w:b/>
          <w:i/>
          <w:sz w:val="22"/>
          <w:szCs w:val="22"/>
          <w:shd w:val="clear" w:color="auto" w:fill="FFFFFF"/>
          <w:lang w:eastAsia="en-US"/>
        </w:rPr>
        <w:t xml:space="preserve">legislar </w:t>
      </w:r>
      <w:r w:rsidRPr="002337C6">
        <w:rPr>
          <w:rFonts w:ascii="Calibri" w:hAnsi="Calibri" w:eastAsiaTheme="minorHAnsi" w:cs="Calibri"/>
          <w:i/>
          <w:sz w:val="22"/>
          <w:szCs w:val="22"/>
          <w:shd w:val="clear" w:color="auto" w:fill="FFFFFF"/>
          <w:lang w:eastAsia="en-US"/>
        </w:rPr>
        <w:t>concorrentemente sobre:</w:t>
      </w:r>
    </w:p>
    <w:p w:rsidR="004421CB" w:rsidRPr="002337C6" w:rsidP="004E7FA7">
      <w:pPr>
        <w:tabs>
          <w:tab w:val="left" w:pos="2268"/>
        </w:tabs>
        <w:spacing w:after="0" w:line="240" w:lineRule="auto"/>
        <w:ind w:left="2268"/>
        <w:jc w:val="both"/>
        <w:rPr>
          <w:rFonts w:ascii="Calibri" w:eastAsia="Calibri" w:hAnsi="Calibri" w:cs="Calibri"/>
          <w:i/>
          <w:sz w:val="22"/>
          <w:szCs w:val="22"/>
          <w:lang w:eastAsia="en-US"/>
        </w:rPr>
      </w:pPr>
      <w:r w:rsidRPr="002337C6">
        <w:rPr>
          <w:rFonts w:ascii="Calibri" w:eastAsia="Calibri" w:hAnsi="Calibri" w:cs="Calibri"/>
          <w:i/>
          <w:sz w:val="22"/>
          <w:szCs w:val="22"/>
          <w:lang w:eastAsia="en-US"/>
        </w:rPr>
        <w:t xml:space="preserve">I - </w:t>
      </w:r>
      <w:r w:rsidRPr="002337C6">
        <w:rPr>
          <w:rFonts w:ascii="Calibri" w:eastAsia="Calibri" w:hAnsi="Calibri" w:cs="Calibri"/>
          <w:b/>
          <w:i/>
          <w:sz w:val="22"/>
          <w:szCs w:val="22"/>
          <w:lang w:eastAsia="en-US"/>
        </w:rPr>
        <w:t>direito tributário</w:t>
      </w:r>
      <w:r w:rsidRPr="002337C6">
        <w:rPr>
          <w:rFonts w:ascii="Calibri" w:eastAsia="Calibri" w:hAnsi="Calibri" w:cs="Calibri"/>
          <w:i/>
          <w:sz w:val="22"/>
          <w:szCs w:val="22"/>
          <w:lang w:eastAsia="en-US"/>
        </w:rPr>
        <w:t xml:space="preserve">, financeiro, penitenciário, econômico e urbanístico;         (Vide Lei nº 13.874, de 2019); </w:t>
      </w:r>
    </w:p>
    <w:p w:rsidR="004421CB" w:rsidRPr="002337C6" w:rsidP="004421CB">
      <w:pPr>
        <w:spacing w:after="240" w:line="360" w:lineRule="auto"/>
        <w:ind w:firstLine="1701"/>
        <w:jc w:val="both"/>
        <w:rPr>
          <w:rFonts w:ascii="Calibri" w:hAnsi="Calibri" w:eastAsiaTheme="minorHAnsi" w:cs="Calibri"/>
          <w:szCs w:val="24"/>
          <w:lang w:eastAsia="en-US"/>
        </w:rPr>
      </w:pPr>
      <w:r w:rsidRPr="002337C6">
        <w:rPr>
          <w:rFonts w:ascii="Calibri" w:hAnsi="Calibri" w:eastAsiaTheme="minorHAnsi" w:cs="Calibri"/>
          <w:szCs w:val="24"/>
          <w:lang w:eastAsia="en-US"/>
        </w:rPr>
        <w:t>Assim, temos que o projeto em apreço versa sobre direito tributário, que constitui tema afeto à competência legislativa concorrente entre União, Estados e Distrito Federal (art. 24, II, da Constituição Federal).</w:t>
      </w:r>
    </w:p>
    <w:p w:rsidR="004421CB" w:rsidRPr="002337C6" w:rsidP="004421CB">
      <w:pPr>
        <w:spacing w:after="240" w:line="360" w:lineRule="auto"/>
        <w:ind w:firstLine="1701"/>
        <w:jc w:val="both"/>
        <w:rPr>
          <w:rFonts w:ascii="Calibri" w:hAnsi="Calibri" w:eastAsiaTheme="minorHAnsi" w:cs="Calibri"/>
          <w:szCs w:val="24"/>
          <w:lang w:eastAsia="en-US"/>
        </w:rPr>
      </w:pPr>
      <w:r w:rsidRPr="002337C6">
        <w:rPr>
          <w:rFonts w:ascii="Calibri" w:hAnsi="Calibri" w:eastAsiaTheme="minorHAnsi" w:cs="Calibri"/>
          <w:szCs w:val="24"/>
          <w:lang w:eastAsia="en-US"/>
        </w:rPr>
        <w:t>Entretanto, os Municípios detém atribuição para “</w:t>
      </w:r>
      <w:r w:rsidRPr="002337C6">
        <w:rPr>
          <w:rFonts w:ascii="Calibri" w:hAnsi="Calibri" w:eastAsiaTheme="minorHAnsi" w:cs="Calibri"/>
          <w:i/>
          <w:szCs w:val="24"/>
          <w:lang w:eastAsia="en-US"/>
        </w:rPr>
        <w:t>suplementar a legislação federal e a estadual no que couber</w:t>
      </w:r>
      <w:r w:rsidRPr="002337C6">
        <w:rPr>
          <w:rFonts w:ascii="Calibri" w:hAnsi="Calibri" w:eastAsiaTheme="minorHAnsi" w:cs="Calibri"/>
          <w:szCs w:val="24"/>
          <w:lang w:eastAsia="en-US"/>
        </w:rPr>
        <w:t xml:space="preserve">” constante do art. 30, II, da CF. Nesse aspecto, Pedro </w:t>
      </w:r>
      <w:r w:rsidRPr="002337C6">
        <w:rPr>
          <w:rFonts w:ascii="Calibri" w:hAnsi="Calibri" w:eastAsiaTheme="minorHAnsi" w:cs="Calibri"/>
          <w:szCs w:val="24"/>
          <w:lang w:eastAsia="en-US"/>
        </w:rPr>
        <w:t>Lenza</w:t>
      </w:r>
      <w:r>
        <w:rPr>
          <w:rFonts w:ascii="Calibri" w:hAnsi="Calibri" w:eastAsiaTheme="minorHAnsi" w:cs="Calibri"/>
          <w:szCs w:val="24"/>
          <w:vertAlign w:val="superscript"/>
          <w:lang w:eastAsia="en-US"/>
        </w:rPr>
        <w:footnoteReference w:id="3"/>
      </w:r>
      <w:r w:rsidRPr="002337C6">
        <w:rPr>
          <w:rFonts w:ascii="Calibri" w:hAnsi="Calibri" w:eastAsiaTheme="minorHAnsi" w:cs="Calibri"/>
          <w:szCs w:val="24"/>
          <w:lang w:eastAsia="en-US"/>
        </w:rPr>
        <w:t xml:space="preserve"> assevera: “</w:t>
      </w:r>
      <w:r w:rsidRPr="002337C6">
        <w:rPr>
          <w:rFonts w:ascii="Calibri" w:hAnsi="Calibri" w:eastAsiaTheme="minorHAnsi" w:cs="Calibri"/>
          <w:i/>
          <w:szCs w:val="24"/>
          <w:lang w:eastAsia="en-US"/>
        </w:rPr>
        <w:t>Observar ainda que tal competência se aplica, também, às matérias do art. 24, suplementando as normas gerais e específicas, juntamente com as outras que digam respeito ao peculiar interesse daquela localidade</w:t>
      </w:r>
      <w:r w:rsidRPr="002337C6">
        <w:rPr>
          <w:rFonts w:ascii="Calibri" w:hAnsi="Calibri" w:eastAsiaTheme="minorHAnsi" w:cs="Calibri"/>
          <w:szCs w:val="24"/>
          <w:lang w:eastAsia="en-US"/>
        </w:rPr>
        <w:t>”.</w:t>
      </w:r>
    </w:p>
    <w:p w:rsidR="004421CB" w:rsidRPr="002337C6" w:rsidP="004E7FA7">
      <w:pPr>
        <w:shd w:val="clear" w:color="auto" w:fill="FFFFFF"/>
        <w:spacing w:after="120" w:line="240" w:lineRule="auto"/>
        <w:ind w:left="2268"/>
        <w:jc w:val="both"/>
        <w:rPr>
          <w:rFonts w:ascii="Calibri" w:hAnsi="Calibri" w:cs="Calibri"/>
          <w:i/>
          <w:color w:val="000000"/>
          <w:sz w:val="22"/>
          <w:szCs w:val="22"/>
        </w:rPr>
      </w:pPr>
      <w:r w:rsidRPr="002337C6">
        <w:rPr>
          <w:rFonts w:ascii="Calibri" w:hAnsi="Calibri" w:cs="Calibri"/>
          <w:i/>
          <w:color w:val="000000"/>
          <w:sz w:val="22"/>
          <w:szCs w:val="22"/>
        </w:rPr>
        <w:t>Art. 30. Compete aos Municípios:</w:t>
      </w:r>
    </w:p>
    <w:p w:rsidR="004421CB" w:rsidRPr="002337C6" w:rsidP="004E7FA7">
      <w:pPr>
        <w:shd w:val="clear" w:color="auto" w:fill="FFFFFF"/>
        <w:spacing w:after="120" w:line="240" w:lineRule="auto"/>
        <w:ind w:left="2268"/>
        <w:jc w:val="both"/>
        <w:rPr>
          <w:rFonts w:ascii="Calibri" w:hAnsi="Calibri" w:cs="Calibri"/>
          <w:i/>
          <w:color w:val="000000"/>
          <w:sz w:val="22"/>
          <w:szCs w:val="22"/>
        </w:rPr>
      </w:pPr>
      <w:r w:rsidRPr="002337C6">
        <w:rPr>
          <w:rFonts w:ascii="Calibri" w:hAnsi="Calibri" w:cs="Calibri"/>
          <w:i/>
          <w:color w:val="000000"/>
          <w:sz w:val="22"/>
          <w:szCs w:val="22"/>
        </w:rPr>
        <w:t>I - legislar sobre assuntos de interesse local;</w:t>
      </w:r>
    </w:p>
    <w:p w:rsidR="004421CB" w:rsidRPr="002337C6" w:rsidP="004E7FA7">
      <w:pPr>
        <w:shd w:val="clear" w:color="auto" w:fill="FFFFFF"/>
        <w:spacing w:after="120" w:line="240" w:lineRule="auto"/>
        <w:ind w:left="2268"/>
        <w:jc w:val="both"/>
        <w:rPr>
          <w:rFonts w:ascii="Calibri" w:hAnsi="Calibri" w:cs="Calibri"/>
          <w:i/>
          <w:color w:val="000000"/>
          <w:sz w:val="22"/>
          <w:szCs w:val="22"/>
        </w:rPr>
      </w:pPr>
      <w:r w:rsidRPr="002337C6">
        <w:rPr>
          <w:rFonts w:ascii="Calibri" w:hAnsi="Calibri" w:cs="Calibri"/>
          <w:i/>
          <w:color w:val="000000"/>
          <w:sz w:val="22"/>
          <w:szCs w:val="22"/>
        </w:rPr>
        <w:t>II - suplementar a legislação federal e a estadual no que couber;</w:t>
      </w:r>
    </w:p>
    <w:p w:rsidR="004421CB" w:rsidRPr="002337C6" w:rsidP="004E7FA7">
      <w:pPr>
        <w:shd w:val="clear" w:color="auto" w:fill="FFFFFF"/>
        <w:spacing w:after="120" w:line="240" w:lineRule="auto"/>
        <w:ind w:left="2268"/>
        <w:jc w:val="both"/>
        <w:rPr>
          <w:rFonts w:ascii="Calibri" w:hAnsi="Calibri" w:cs="Calibri"/>
          <w:i/>
          <w:color w:val="000000"/>
          <w:sz w:val="22"/>
          <w:szCs w:val="22"/>
        </w:rPr>
      </w:pPr>
      <w:r w:rsidRPr="002337C6">
        <w:rPr>
          <w:rFonts w:ascii="Calibri" w:hAnsi="Calibri" w:cs="Calibri"/>
          <w:i/>
          <w:color w:val="000000"/>
          <w:sz w:val="22"/>
          <w:szCs w:val="22"/>
        </w:rPr>
        <w:t>III - instituir e arrecadar os tributos de sua competência, bem como aplicar suas rendas, sem prejuízo da obrigatoriedade de prestar contas e publicar balancetes nos prazos fixados em lei;</w:t>
      </w:r>
    </w:p>
    <w:p w:rsidR="004421CB" w:rsidRPr="002337C6" w:rsidP="004E7FA7">
      <w:pPr>
        <w:shd w:val="clear" w:color="auto" w:fill="FFFFFF"/>
        <w:spacing w:after="120" w:line="240" w:lineRule="auto"/>
        <w:ind w:left="2268"/>
        <w:jc w:val="both"/>
        <w:rPr>
          <w:rFonts w:ascii="Calibri" w:hAnsi="Calibri" w:cs="Calibri"/>
          <w:i/>
          <w:color w:val="000000"/>
          <w:sz w:val="22"/>
          <w:szCs w:val="22"/>
        </w:rPr>
      </w:pPr>
      <w:r w:rsidRPr="002337C6">
        <w:rPr>
          <w:rFonts w:ascii="Calibri" w:hAnsi="Calibri" w:cs="Calibri"/>
          <w:i/>
          <w:color w:val="000000"/>
          <w:sz w:val="22"/>
          <w:szCs w:val="22"/>
        </w:rPr>
        <w:t>[...]</w:t>
      </w:r>
    </w:p>
    <w:p w:rsidR="004421CB" w:rsidRPr="002337C6" w:rsidP="004421CB">
      <w:pPr>
        <w:spacing w:after="240" w:line="360" w:lineRule="auto"/>
        <w:ind w:firstLine="1701"/>
        <w:jc w:val="both"/>
        <w:rPr>
          <w:rFonts w:ascii="Calibri" w:hAnsi="Calibri" w:cs="Calibri"/>
          <w:szCs w:val="24"/>
        </w:rPr>
      </w:pPr>
      <w:r w:rsidRPr="002337C6">
        <w:rPr>
          <w:rFonts w:ascii="Calibri" w:hAnsi="Calibri" w:eastAsiaTheme="minorHAnsi" w:cs="Calibri"/>
          <w:szCs w:val="24"/>
          <w:lang w:eastAsia="en-US"/>
        </w:rPr>
        <w:t xml:space="preserve">Depreende-se, portanto, que ainda que o tema seja de competência concorrente e que os Municípios não estejam expressamente mencionados no </w:t>
      </w:r>
      <w:r w:rsidRPr="002337C6">
        <w:rPr>
          <w:rFonts w:ascii="Calibri" w:hAnsi="Calibri" w:eastAsiaTheme="minorHAnsi" w:cs="Calibri"/>
          <w:i/>
          <w:szCs w:val="24"/>
          <w:lang w:eastAsia="en-US"/>
        </w:rPr>
        <w:t xml:space="preserve">caput </w:t>
      </w:r>
      <w:r w:rsidRPr="002337C6">
        <w:rPr>
          <w:rFonts w:ascii="Calibri" w:hAnsi="Calibri" w:eastAsiaTheme="minorHAnsi" w:cs="Calibri"/>
          <w:szCs w:val="24"/>
          <w:lang w:eastAsia="en-US"/>
        </w:rPr>
        <w:t xml:space="preserve">do art. 24, da CF a eles é dada a atribuição de legislar suplementando a legislação federal e estadual naquilo que for de </w:t>
      </w:r>
      <w:r w:rsidRPr="002337C6">
        <w:rPr>
          <w:rFonts w:ascii="Calibri" w:hAnsi="Calibri" w:eastAsiaTheme="minorHAnsi" w:cs="Calibri"/>
          <w:b/>
          <w:szCs w:val="24"/>
          <w:lang w:eastAsia="en-US"/>
        </w:rPr>
        <w:t>interesse local</w:t>
      </w:r>
      <w:r w:rsidRPr="002337C6">
        <w:rPr>
          <w:rFonts w:ascii="Calibri" w:hAnsi="Calibri" w:eastAsiaTheme="minorHAnsi" w:cs="Calibri"/>
          <w:szCs w:val="24"/>
          <w:lang w:eastAsia="en-US"/>
        </w:rPr>
        <w:t>.</w:t>
      </w:r>
    </w:p>
    <w:p w:rsidR="004421CB" w:rsidRPr="002337C6" w:rsidP="004421CB">
      <w:pPr>
        <w:spacing w:after="120" w:line="360" w:lineRule="auto"/>
        <w:ind w:firstLine="1701"/>
        <w:jc w:val="both"/>
        <w:rPr>
          <w:rFonts w:ascii="Calibri" w:hAnsi="Calibri" w:cs="Calibri"/>
          <w:szCs w:val="24"/>
        </w:rPr>
      </w:pPr>
      <w:r w:rsidRPr="002337C6">
        <w:rPr>
          <w:rFonts w:ascii="Calibri" w:hAnsi="Calibri" w:cs="Calibri"/>
          <w:szCs w:val="24"/>
        </w:rPr>
        <w:t>No mesmo sentido a Lei Orgânica do Município de Valinhos:</w:t>
      </w:r>
    </w:p>
    <w:p w:rsidR="004421CB" w:rsidRPr="002337C6" w:rsidP="004E7FA7">
      <w:pPr>
        <w:spacing w:after="120" w:line="240" w:lineRule="auto"/>
        <w:ind w:left="2268"/>
        <w:jc w:val="both"/>
        <w:rPr>
          <w:rFonts w:ascii="Calibri" w:hAnsi="Calibri" w:cs="Calibri"/>
          <w:i/>
          <w:sz w:val="22"/>
          <w:szCs w:val="22"/>
        </w:rPr>
      </w:pPr>
      <w:r w:rsidRPr="002337C6">
        <w:rPr>
          <w:rFonts w:ascii="Calibri" w:hAnsi="Calibri" w:cs="Calibri"/>
          <w:b/>
          <w:bCs/>
          <w:i/>
          <w:sz w:val="22"/>
          <w:szCs w:val="22"/>
        </w:rPr>
        <w:t xml:space="preserve">Artigo 5º - </w:t>
      </w:r>
      <w:r w:rsidRPr="002337C6">
        <w:rPr>
          <w:rFonts w:ascii="Calibri" w:hAnsi="Calibri" w:cs="Calibr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4421CB" w:rsidRPr="002337C6" w:rsidP="004E7FA7">
      <w:pPr>
        <w:spacing w:after="120" w:line="240" w:lineRule="auto"/>
        <w:ind w:left="2268"/>
        <w:jc w:val="both"/>
        <w:rPr>
          <w:rFonts w:ascii="Calibri" w:hAnsi="Calibri" w:cs="Calibri"/>
          <w:i/>
          <w:sz w:val="22"/>
          <w:szCs w:val="22"/>
        </w:rPr>
      </w:pPr>
      <w:r w:rsidRPr="002337C6">
        <w:rPr>
          <w:rFonts w:ascii="Calibri" w:hAnsi="Calibri" w:cs="Calibri"/>
          <w:i/>
          <w:sz w:val="22"/>
          <w:szCs w:val="22"/>
        </w:rPr>
        <w:t>[...]</w:t>
      </w:r>
    </w:p>
    <w:p w:rsidR="004421CB" w:rsidRPr="002337C6" w:rsidP="004E7FA7">
      <w:pPr>
        <w:pStyle w:val="Default"/>
        <w:spacing w:after="120"/>
        <w:ind w:left="2268"/>
        <w:jc w:val="both"/>
        <w:rPr>
          <w:rFonts w:ascii="Calibri" w:hAnsi="Calibri" w:cs="Calibri"/>
          <w:i/>
          <w:color w:val="auto"/>
          <w:sz w:val="22"/>
          <w:szCs w:val="22"/>
        </w:rPr>
      </w:pPr>
      <w:r w:rsidRPr="002337C6">
        <w:rPr>
          <w:rFonts w:ascii="Calibri" w:hAnsi="Calibri" w:cs="Calibr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4421CB" w:rsidRPr="002337C6" w:rsidP="004E7FA7">
      <w:pPr>
        <w:pStyle w:val="Default"/>
        <w:spacing w:after="120"/>
        <w:ind w:left="2268"/>
        <w:jc w:val="both"/>
        <w:rPr>
          <w:rFonts w:ascii="Calibri" w:hAnsi="Calibri" w:cs="Calibri"/>
          <w:color w:val="auto"/>
          <w:sz w:val="22"/>
          <w:szCs w:val="22"/>
        </w:rPr>
      </w:pPr>
    </w:p>
    <w:p w:rsidR="004421CB" w:rsidRPr="002337C6" w:rsidP="004E7FA7">
      <w:pPr>
        <w:pStyle w:val="Default"/>
        <w:spacing w:after="120"/>
        <w:ind w:left="2268"/>
        <w:jc w:val="both"/>
        <w:rPr>
          <w:rFonts w:ascii="Calibri" w:hAnsi="Calibri" w:cs="Calibri"/>
          <w:i/>
          <w:color w:val="auto"/>
          <w:sz w:val="22"/>
          <w:szCs w:val="22"/>
        </w:rPr>
      </w:pPr>
      <w:r w:rsidRPr="002337C6">
        <w:rPr>
          <w:rFonts w:ascii="Calibri" w:hAnsi="Calibri" w:cs="Calibri"/>
          <w:b/>
          <w:bCs/>
          <w:i/>
          <w:color w:val="auto"/>
          <w:sz w:val="22"/>
          <w:szCs w:val="22"/>
        </w:rPr>
        <w:t xml:space="preserve">Artigo 8º - </w:t>
      </w:r>
      <w:r w:rsidRPr="002337C6">
        <w:rPr>
          <w:rFonts w:ascii="Calibri" w:hAnsi="Calibri" w:cs="Calibr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4421CB" w:rsidRPr="002337C6" w:rsidP="004E7FA7">
      <w:pPr>
        <w:pStyle w:val="Default"/>
        <w:spacing w:after="120"/>
        <w:ind w:left="2268"/>
        <w:jc w:val="both"/>
        <w:rPr>
          <w:rFonts w:ascii="Calibri" w:hAnsi="Calibri" w:cs="Calibri"/>
          <w:i/>
          <w:sz w:val="22"/>
          <w:szCs w:val="22"/>
        </w:rPr>
      </w:pPr>
      <w:r w:rsidRPr="002337C6">
        <w:rPr>
          <w:rFonts w:ascii="Calibri" w:hAnsi="Calibri" w:cs="Calibri"/>
          <w:i/>
          <w:sz w:val="22"/>
          <w:szCs w:val="22"/>
        </w:rPr>
        <w:t>I - legislar sobre assuntos de interesse local;</w:t>
      </w:r>
    </w:p>
    <w:p w:rsidR="004421CB" w:rsidRPr="002337C6" w:rsidP="004E7FA7">
      <w:pPr>
        <w:pStyle w:val="Default"/>
        <w:spacing w:after="120"/>
        <w:ind w:left="2268"/>
        <w:jc w:val="both"/>
        <w:rPr>
          <w:rFonts w:ascii="Calibri" w:hAnsi="Calibri" w:cs="Calibri"/>
          <w:i/>
          <w:sz w:val="22"/>
          <w:szCs w:val="22"/>
        </w:rPr>
      </w:pPr>
      <w:r w:rsidRPr="002337C6">
        <w:rPr>
          <w:rFonts w:ascii="Calibri" w:hAnsi="Calibri" w:cs="Calibri"/>
          <w:i/>
          <w:sz w:val="22"/>
          <w:szCs w:val="22"/>
        </w:rPr>
        <w:t>II - dispor sobre o sistema tributário municipal, bem como autorizar isenções, anistias e a remissão de dívidas;</w:t>
      </w:r>
    </w:p>
    <w:p w:rsidR="004421CB" w:rsidRPr="002337C6" w:rsidP="004E7FA7">
      <w:pPr>
        <w:pStyle w:val="Default"/>
        <w:spacing w:after="120"/>
        <w:ind w:left="2268"/>
        <w:jc w:val="both"/>
        <w:rPr>
          <w:rFonts w:ascii="Calibri" w:hAnsi="Calibri" w:cs="Calibri"/>
          <w:i/>
          <w:sz w:val="22"/>
          <w:szCs w:val="22"/>
        </w:rPr>
      </w:pPr>
      <w:r w:rsidRPr="002337C6">
        <w:rPr>
          <w:rFonts w:ascii="Calibri" w:hAnsi="Calibri" w:cs="Calibri"/>
          <w:i/>
          <w:sz w:val="22"/>
          <w:szCs w:val="22"/>
        </w:rPr>
        <w:t>[...]</w:t>
      </w:r>
    </w:p>
    <w:p w:rsidR="004421CB" w:rsidRPr="002337C6" w:rsidP="004421CB">
      <w:pPr>
        <w:pStyle w:val="Default"/>
        <w:spacing w:after="120" w:line="300" w:lineRule="auto"/>
        <w:ind w:left="2268"/>
        <w:jc w:val="both"/>
        <w:rPr>
          <w:rFonts w:ascii="Calibri" w:hAnsi="Calibri" w:cs="Calibri"/>
          <w:i/>
          <w:sz w:val="22"/>
          <w:szCs w:val="22"/>
        </w:rPr>
      </w:pPr>
    </w:p>
    <w:p w:rsidR="004421CB" w:rsidRPr="002337C6" w:rsidP="004421CB">
      <w:pPr>
        <w:pStyle w:val="NormalWeb"/>
        <w:spacing w:before="0" w:beforeAutospacing="0" w:after="120" w:afterAutospacing="0" w:line="360" w:lineRule="auto"/>
        <w:ind w:firstLine="1701"/>
        <w:jc w:val="both"/>
        <w:rPr>
          <w:rFonts w:ascii="Calibri" w:hAnsi="Calibri" w:cs="Calibri"/>
        </w:rPr>
      </w:pPr>
      <w:r w:rsidRPr="002337C6">
        <w:rPr>
          <w:rFonts w:ascii="Calibri" w:hAnsi="Calibri" w:cs="Calibri"/>
        </w:rPr>
        <w:t xml:space="preserve">A Lei nº 5.172 de 25 de outubro de 1966 (Código Tributário Nacional-CTN) que dispõe sobre o Sistema Tributário Nacional e institui normas gerais de direito tributário aplicáveis à União, Estados e Municípios na maioria dos dispositivos foi recepcionada pela Constituição Federal de 1988. Destarte, com o advento da CF as disposições do CTN compatíveis com a nova ordem constitucional permanecem hígidas. </w:t>
      </w:r>
    </w:p>
    <w:p w:rsidR="004421CB" w:rsidRPr="002337C6" w:rsidP="004421CB">
      <w:pPr>
        <w:pStyle w:val="NormalWeb"/>
        <w:spacing w:before="0" w:beforeAutospacing="0" w:after="120" w:afterAutospacing="0" w:line="360" w:lineRule="auto"/>
        <w:ind w:firstLine="1701"/>
        <w:jc w:val="both"/>
        <w:rPr>
          <w:rFonts w:ascii="Calibri" w:hAnsi="Calibri" w:cs="Calibri"/>
        </w:rPr>
      </w:pPr>
      <w:r w:rsidRPr="002337C6">
        <w:rPr>
          <w:rFonts w:ascii="Calibri" w:hAnsi="Calibri" w:cs="Calibri"/>
        </w:rPr>
        <w:t>Assim, vale destacar alguns dispositivos do CTN que versam sobre o sistema tributário e as competências tributárias:</w:t>
      </w:r>
    </w:p>
    <w:p w:rsidR="004421CB" w:rsidRPr="002337C6" w:rsidP="004E7FA7">
      <w:pPr>
        <w:pStyle w:val="NormalWeb"/>
        <w:spacing w:before="0" w:beforeAutospacing="0" w:after="120" w:afterAutospacing="0"/>
        <w:ind w:left="2835"/>
        <w:jc w:val="both"/>
        <w:rPr>
          <w:rFonts w:ascii="Calibri" w:hAnsi="Calibri" w:cs="Calibri"/>
          <w:i/>
          <w:sz w:val="22"/>
          <w:szCs w:val="22"/>
        </w:rPr>
      </w:pPr>
      <w:r w:rsidRPr="002337C6">
        <w:rPr>
          <w:rFonts w:ascii="Calibri" w:hAnsi="Calibri" w:cs="Calibri"/>
          <w:i/>
          <w:sz w:val="22"/>
          <w:szCs w:val="22"/>
        </w:rPr>
        <w:t xml:space="preserve">Art. 2º O sistema tributário nacional é regido pelo disposto na </w:t>
      </w:r>
      <w:hyperlink r:id="rId6" w:history="1">
        <w:r w:rsidRPr="002337C6">
          <w:rPr>
            <w:rStyle w:val="Hyperlink"/>
            <w:rFonts w:ascii="Calibri" w:hAnsi="Calibri" w:cs="Calibri"/>
            <w:i/>
            <w:sz w:val="22"/>
            <w:szCs w:val="22"/>
          </w:rPr>
          <w:t>Emenda Constitucional n. 18, de 1º de dezembro de 1965</w:t>
        </w:r>
      </w:hyperlink>
      <w:r w:rsidRPr="002337C6">
        <w:rPr>
          <w:rFonts w:ascii="Calibri" w:hAnsi="Calibri" w:cs="Calibri"/>
          <w:i/>
          <w:sz w:val="22"/>
          <w:szCs w:val="22"/>
        </w:rPr>
        <w:t>, em leis complementares, em resoluções do Senado Federal e, nos limites das respectivas competências, em leis federais, nas Constituições e em leis estaduais, e em leis municipais.</w:t>
      </w:r>
      <w:r w:rsidRPr="002337C6">
        <w:rPr>
          <w:rFonts w:ascii="Calibri" w:hAnsi="Calibri" w:cs="Calibri"/>
          <w:i/>
          <w:sz w:val="22"/>
          <w:szCs w:val="22"/>
        </w:rPr>
        <w:t>”</w:t>
      </w:r>
    </w:p>
    <w:p w:rsidR="004421CB" w:rsidRPr="002337C6" w:rsidP="004E7FA7">
      <w:pPr>
        <w:pStyle w:val="NormalWeb"/>
        <w:spacing w:before="0" w:beforeAutospacing="0" w:after="120" w:afterAutospacing="0"/>
        <w:ind w:left="2835"/>
        <w:jc w:val="both"/>
        <w:rPr>
          <w:rFonts w:ascii="Calibri" w:hAnsi="Calibri" w:cs="Calibri"/>
          <w:i/>
          <w:sz w:val="22"/>
          <w:szCs w:val="22"/>
        </w:rPr>
      </w:pPr>
      <w:r w:rsidRPr="002337C6">
        <w:rPr>
          <w:rFonts w:ascii="Calibri" w:hAnsi="Calibri" w:cs="Calibri"/>
          <w:i/>
          <w:sz w:val="22"/>
          <w:szCs w:val="22"/>
        </w:rPr>
        <w:t>“Art.</w:t>
      </w:r>
      <w:r w:rsidRPr="002337C6">
        <w:rPr>
          <w:rFonts w:ascii="Calibri" w:hAnsi="Calibri" w:cs="Calibri"/>
          <w:i/>
          <w:sz w:val="22"/>
          <w:szCs w:val="22"/>
        </w:rPr>
        <w:t xml:space="preserve"> 6º </w:t>
      </w:r>
      <w:r w:rsidRPr="002337C6">
        <w:rPr>
          <w:rFonts w:ascii="Calibri" w:hAnsi="Calibri" w:cs="Calibri"/>
          <w:b/>
          <w:i/>
          <w:sz w:val="22"/>
          <w:szCs w:val="22"/>
        </w:rPr>
        <w:t>A atribuição constitucional de competência tributária compreende a competência legislativa plena</w:t>
      </w:r>
      <w:r w:rsidRPr="002337C6">
        <w:rPr>
          <w:rFonts w:ascii="Calibri" w:hAnsi="Calibri" w:cs="Calibri"/>
          <w:i/>
          <w:sz w:val="22"/>
          <w:szCs w:val="22"/>
        </w:rPr>
        <w:t xml:space="preserve">, </w:t>
      </w:r>
      <w:r w:rsidRPr="002337C6">
        <w:rPr>
          <w:rFonts w:ascii="Calibri" w:hAnsi="Calibri" w:cs="Calibri"/>
          <w:b/>
          <w:i/>
          <w:sz w:val="22"/>
          <w:szCs w:val="22"/>
        </w:rPr>
        <w:t>ressalvadas as limitações contidas na Constituição Federal, nas Constituições dos Estados e nas Leis Orgânicas do Distrito Federal e dos Municípios,</w:t>
      </w:r>
      <w:r w:rsidRPr="002337C6">
        <w:rPr>
          <w:rFonts w:ascii="Calibri" w:hAnsi="Calibri" w:cs="Calibri"/>
          <w:i/>
          <w:sz w:val="22"/>
          <w:szCs w:val="22"/>
        </w:rPr>
        <w:t xml:space="preserve"> e observado o disposto nesta Lei.</w:t>
      </w:r>
    </w:p>
    <w:p w:rsidR="004421CB" w:rsidRPr="002337C6" w:rsidP="004421CB">
      <w:pPr>
        <w:pStyle w:val="NormalWeb"/>
        <w:spacing w:before="0" w:beforeAutospacing="0" w:after="120" w:afterAutospacing="0" w:line="300" w:lineRule="auto"/>
        <w:ind w:left="2835"/>
        <w:jc w:val="both"/>
        <w:rPr>
          <w:rFonts w:ascii="Calibri" w:hAnsi="Calibri" w:cs="Calibri"/>
          <w:i/>
          <w:sz w:val="4"/>
          <w:szCs w:val="4"/>
        </w:rPr>
      </w:pPr>
    </w:p>
    <w:p w:rsidR="004421CB" w:rsidRPr="002337C6" w:rsidP="004421CB">
      <w:pPr>
        <w:spacing w:after="120" w:line="360" w:lineRule="auto"/>
        <w:ind w:firstLine="1701"/>
        <w:jc w:val="both"/>
        <w:rPr>
          <w:rFonts w:ascii="Calibri" w:hAnsi="Calibri" w:cs="Calibri"/>
          <w:szCs w:val="24"/>
        </w:rPr>
      </w:pPr>
      <w:r w:rsidRPr="002337C6">
        <w:rPr>
          <w:rFonts w:ascii="Calibri" w:hAnsi="Calibri" w:cs="Calibri"/>
          <w:szCs w:val="24"/>
        </w:rPr>
        <w:t>Verifica-se que a outorga constitucional de competência tributária ao Município é plena, ressalvadas as limitações previstas no texto constitucional.</w:t>
      </w:r>
    </w:p>
    <w:p w:rsidR="004421CB" w:rsidRPr="002337C6" w:rsidP="004421CB">
      <w:pPr>
        <w:pStyle w:val="Heading3"/>
        <w:spacing w:before="0" w:beforeAutospacing="0" w:after="120" w:afterAutospacing="0" w:line="360" w:lineRule="auto"/>
        <w:ind w:firstLine="1701"/>
        <w:jc w:val="both"/>
        <w:rPr>
          <w:rFonts w:ascii="Calibri" w:hAnsi="Calibri" w:cs="Calibri"/>
          <w:b w:val="0"/>
          <w:bCs w:val="0"/>
          <w:color w:val="000000"/>
          <w:sz w:val="24"/>
          <w:szCs w:val="24"/>
        </w:rPr>
      </w:pPr>
      <w:r w:rsidRPr="002337C6">
        <w:rPr>
          <w:rFonts w:ascii="Calibri" w:hAnsi="Calibri" w:cs="Calibri"/>
          <w:b w:val="0"/>
          <w:bCs w:val="0"/>
          <w:sz w:val="24"/>
          <w:szCs w:val="24"/>
        </w:rPr>
        <w:t xml:space="preserve">No concernente à iniciativa para deflagrar o processo legislativo cumpre ressaltar que o entendimento jurisprudencial </w:t>
      </w:r>
      <w:r w:rsidRPr="002337C6">
        <w:rPr>
          <w:rFonts w:ascii="Calibri" w:hAnsi="Calibri" w:cs="Calibri"/>
          <w:bCs w:val="0"/>
          <w:sz w:val="24"/>
          <w:szCs w:val="24"/>
        </w:rPr>
        <w:t xml:space="preserve">em matéria tributária é de que </w:t>
      </w:r>
      <w:r w:rsidRPr="002337C6">
        <w:rPr>
          <w:rFonts w:ascii="Calibri" w:hAnsi="Calibri" w:cs="Calibri"/>
          <w:bCs w:val="0"/>
          <w:color w:val="000000"/>
          <w:sz w:val="24"/>
          <w:szCs w:val="24"/>
        </w:rPr>
        <w:t>a competência legislativa é concorrente (</w:t>
      </w:r>
      <w:r w:rsidRPr="002337C6">
        <w:rPr>
          <w:rFonts w:ascii="Calibri" w:hAnsi="Calibri" w:cs="Calibri"/>
          <w:b w:val="0"/>
          <w:bCs w:val="0"/>
          <w:color w:val="000000"/>
          <w:sz w:val="24"/>
          <w:szCs w:val="24"/>
        </w:rPr>
        <w:t>art. 61, da CF e art. 24, da CE), vejamos:</w:t>
      </w:r>
    </w:p>
    <w:p w:rsidR="004421CB" w:rsidRPr="002337C6" w:rsidP="004C6A44">
      <w:pPr>
        <w:pBdr>
          <w:bottom w:val="single" w:sz="12" w:space="1" w:color="auto"/>
        </w:pBdr>
        <w:spacing w:line="240" w:lineRule="auto"/>
        <w:ind w:left="2268"/>
        <w:jc w:val="both"/>
        <w:rPr>
          <w:rFonts w:ascii="Calibri" w:hAnsi="Calibri" w:cs="Calibri"/>
          <w:i/>
          <w:sz w:val="20"/>
          <w:shd w:val="clear" w:color="auto" w:fill="FFFFFF"/>
        </w:rPr>
      </w:pPr>
      <w:r w:rsidRPr="002337C6">
        <w:rPr>
          <w:rFonts w:ascii="Calibri" w:hAnsi="Calibri" w:cs="Calibr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2337C6">
        <w:rPr>
          <w:rFonts w:ascii="Calibri" w:hAnsi="Calibri" w:cs="Calibri"/>
          <w:b/>
          <w:i/>
          <w:sz w:val="22"/>
          <w:szCs w:val="22"/>
          <w:shd w:val="clear" w:color="auto" w:fill="FFFFFF"/>
        </w:rPr>
        <w:t>Programa de Parcelamento de Emergência (PPE),</w:t>
      </w:r>
      <w:r w:rsidRPr="002337C6">
        <w:rPr>
          <w:rFonts w:ascii="Calibri" w:hAnsi="Calibri" w:cs="Calibri"/>
          <w:i/>
          <w:sz w:val="22"/>
          <w:szCs w:val="22"/>
          <w:shd w:val="clear" w:color="auto" w:fill="FFFFFF"/>
        </w:rPr>
        <w:t xml:space="preserve"> e dá outras providências", em razão da pandemia causada pelo COVID/19. </w:t>
      </w:r>
      <w:r w:rsidRPr="002337C6">
        <w:rPr>
          <w:rFonts w:ascii="Calibri" w:hAnsi="Calibri" w:cs="Calibr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2337C6">
        <w:rPr>
          <w:rFonts w:ascii="Calibri" w:hAnsi="Calibri" w:cs="Calibri"/>
          <w:i/>
          <w:sz w:val="22"/>
          <w:szCs w:val="22"/>
          <w:shd w:val="clear" w:color="auto" w:fill="FFFFFF"/>
        </w:rPr>
        <w:t xml:space="preserve">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 </w:t>
      </w:r>
      <w:r w:rsidRPr="002337C6">
        <w:rPr>
          <w:rFonts w:ascii="Calibri" w:hAnsi="Calibri" w:cs="Calibri"/>
          <w:i/>
          <w:sz w:val="20"/>
          <w:shd w:val="clear" w:color="auto" w:fill="FFFFFF"/>
        </w:rPr>
        <w:t>(TJSP;</w:t>
      </w:r>
      <w:r w:rsidRPr="002337C6">
        <w:rPr>
          <w:rFonts w:ascii="Calibri" w:hAnsi="Calibri" w:cs="Calibri"/>
          <w:i/>
          <w:sz w:val="20"/>
          <w:shd w:val="clear" w:color="auto" w:fill="FFFFFF"/>
        </w:rPr>
        <w:t xml:space="preserve">  </w:t>
      </w:r>
      <w:r w:rsidRPr="002337C6">
        <w:rPr>
          <w:rFonts w:ascii="Calibri" w:hAnsi="Calibri" w:cs="Calibri"/>
          <w:i/>
          <w:sz w:val="20"/>
          <w:shd w:val="clear" w:color="auto" w:fill="FFFFFF"/>
        </w:rPr>
        <w:t xml:space="preserve">Direta de Inconstitucionalidade 2204640-33.2020.8.26.0000; Relator (a): Damião </w:t>
      </w:r>
      <w:r w:rsidRPr="002337C6">
        <w:rPr>
          <w:rFonts w:ascii="Calibri" w:hAnsi="Calibri" w:cs="Calibri"/>
          <w:i/>
          <w:sz w:val="20"/>
          <w:shd w:val="clear" w:color="auto" w:fill="FFFFFF"/>
        </w:rPr>
        <w:t>Cogan</w:t>
      </w:r>
      <w:r w:rsidRPr="002337C6">
        <w:rPr>
          <w:rFonts w:ascii="Calibri" w:hAnsi="Calibri" w:cs="Calibri"/>
          <w:i/>
          <w:sz w:val="20"/>
          <w:shd w:val="clear" w:color="auto" w:fill="FFFFFF"/>
        </w:rPr>
        <w:t xml:space="preserve">; Órgão Julgador: Órgão Especial; Tribunal de Justiça de São Paulo - N/A; Data do Julgamento: </w:t>
      </w:r>
      <w:r w:rsidRPr="002337C6">
        <w:rPr>
          <w:rFonts w:ascii="Calibri" w:hAnsi="Calibri" w:cs="Calibri"/>
          <w:b/>
          <w:i/>
          <w:sz w:val="20"/>
          <w:shd w:val="clear" w:color="auto" w:fill="FFFFFF"/>
        </w:rPr>
        <w:t>25/08/2021</w:t>
      </w:r>
      <w:r w:rsidRPr="002337C6">
        <w:rPr>
          <w:rFonts w:ascii="Calibri" w:hAnsi="Calibri" w:cs="Calibri"/>
          <w:i/>
          <w:sz w:val="20"/>
          <w:shd w:val="clear" w:color="auto" w:fill="FFFFFF"/>
        </w:rPr>
        <w:t>; Data de Registro: 29/08/2021)</w:t>
      </w:r>
    </w:p>
    <w:p w:rsidR="004421CB" w:rsidRPr="002337C6" w:rsidP="004C6A44">
      <w:pPr>
        <w:autoSpaceDE w:val="0"/>
        <w:autoSpaceDN w:val="0"/>
        <w:adjustRightInd w:val="0"/>
        <w:spacing w:line="240" w:lineRule="auto"/>
        <w:ind w:left="2268"/>
        <w:jc w:val="both"/>
        <w:rPr>
          <w:rFonts w:ascii="Calibri" w:hAnsi="Calibri" w:cs="Calibri"/>
          <w:i/>
          <w:sz w:val="20"/>
        </w:rPr>
      </w:pPr>
      <w:r w:rsidRPr="002337C6">
        <w:rPr>
          <w:rFonts w:ascii="Calibri" w:hAnsi="Calibri" w:cs="Calibri"/>
          <w:i/>
          <w:sz w:val="22"/>
          <w:szCs w:val="22"/>
        </w:rPr>
        <w:t>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 respeitante às normas constitucionais estaduais, ditas contrariadas.  AÇÃO DIRETA DE INCONSTITUCIONALIDADE-</w:t>
      </w:r>
      <w:r w:rsidRPr="002337C6">
        <w:rPr>
          <w:rFonts w:ascii="Calibri" w:hAnsi="Calibri" w:cs="Calibri"/>
          <w:b/>
          <w:i/>
          <w:sz w:val="22"/>
          <w:szCs w:val="22"/>
          <w:u w:val="single"/>
        </w:rPr>
        <w:t>Lei nº 5.989, de 18 de maio de 2020, do Município de Valinhos, que “concede isenção ou remissão do Imposto Predial e Territorial Urbano IPTU incidente sobre imóveis edificados atingidos por enchentes e alagamentos no Município de Valinhos</w:t>
      </w:r>
      <w:r w:rsidRPr="002337C6">
        <w:rPr>
          <w:rFonts w:ascii="Calibri" w:hAnsi="Calibri" w:cs="Calibri"/>
          <w:i/>
          <w:sz w:val="22"/>
          <w:szCs w:val="22"/>
        </w:rPr>
        <w:t xml:space="preserve">” - </w:t>
      </w:r>
      <w:r w:rsidRPr="002337C6">
        <w:rPr>
          <w:rFonts w:ascii="Calibri" w:hAnsi="Calibri" w:cs="Calibri"/>
          <w:b/>
          <w:i/>
          <w:sz w:val="22"/>
          <w:szCs w:val="22"/>
        </w:rPr>
        <w:t xml:space="preserve">INICIATIVA LEGISLATIVA - Lei que não tratou de nenhuma das matérias de iniciativa legislativa exclusiva do Chefe do Poder </w:t>
      </w:r>
      <w:r w:rsidRPr="002337C6">
        <w:rPr>
          <w:rFonts w:ascii="Calibri" w:hAnsi="Calibri" w:cs="Calibri"/>
          <w:b/>
          <w:i/>
          <w:sz w:val="22"/>
          <w:szCs w:val="22"/>
        </w:rPr>
        <w:t xml:space="preserve">Executivo - </w:t>
      </w:r>
      <w:r w:rsidRPr="002337C6">
        <w:rPr>
          <w:rFonts w:ascii="Calibri" w:hAnsi="Calibri" w:cs="Calibri"/>
          <w:b/>
          <w:i/>
          <w:sz w:val="22"/>
          <w:szCs w:val="22"/>
        </w:rPr>
        <w:t>Ausência</w:t>
      </w:r>
      <w:r w:rsidRPr="002337C6">
        <w:rPr>
          <w:rFonts w:ascii="Calibri" w:hAnsi="Calibri" w:cs="Calibri"/>
          <w:b/>
          <w:i/>
          <w:sz w:val="22"/>
          <w:szCs w:val="22"/>
        </w:rPr>
        <w:t xml:space="preserve"> de vício de iniciativa - Orientação traçada pelo STF na Tese 682 de Repercussão Geral no ARE 743.480- MG (“inexiste, na Constituição Federal de 1988, reserva de iniciativa para lis de natureza tributária, inclusive para as que concedam renúncia fiscal</w:t>
      </w:r>
      <w:r w:rsidRPr="002337C6">
        <w:rPr>
          <w:rFonts w:ascii="Calibri" w:hAnsi="Calibri" w:cs="Calibri"/>
          <w:i/>
          <w:sz w:val="22"/>
          <w:szCs w:val="22"/>
        </w:rPr>
        <w:t xml:space="preserve">”) – RECEITA - Diminuição Circunstância que não invalida a norma tributária, nem implica aumento de despesas - Não bastasse, a alegação de renúncia de receitas demanda análise de matéria de fato, o que é incabível em sede de ação direta de inconstitucionalidade - ART. 113 DO ADCT, INCLUÍDO PELA EC 95/2016 - Norma de caráter transitório que não se aplica aos Estados e Municípios, incluído pela Emenda Constitucional 95/2016, norma de caráter transitório e de não reprodução obrigatória - Dispositivos que não se referem aos Municípios, mas à União, por se tratar do “Novo Regime Fiscal no âmbito dos Orçamentos Fiscal e da Seguridade Social da União” - Precedentes - Inconstitucionalidade afastada. Preliminar afastada e ação julgada improcedente. </w:t>
      </w:r>
      <w:r w:rsidRPr="002337C6">
        <w:rPr>
          <w:rFonts w:ascii="Calibri" w:hAnsi="Calibri" w:cs="Calibri"/>
          <w:i/>
          <w:sz w:val="20"/>
        </w:rPr>
        <w:t>(TJSP. ADIN nº 2141404-10.2020.8.26.0000. Relator Des. JOÃO CARLOS SALETT. Órgão Especial. Data de julgamento: 27/01/2021).</w:t>
      </w:r>
    </w:p>
    <w:p w:rsidR="004421CB" w:rsidRPr="002337C6" w:rsidP="004C6A44">
      <w:pPr>
        <w:pBdr>
          <w:bottom w:val="single" w:sz="12" w:space="1" w:color="auto"/>
        </w:pBdr>
        <w:autoSpaceDE w:val="0"/>
        <w:autoSpaceDN w:val="0"/>
        <w:adjustRightInd w:val="0"/>
        <w:spacing w:line="240" w:lineRule="auto"/>
        <w:ind w:left="2268"/>
        <w:jc w:val="both"/>
        <w:rPr>
          <w:rFonts w:ascii="Calibri" w:hAnsi="Calibri" w:cs="Calibri"/>
          <w:i/>
          <w:sz w:val="4"/>
          <w:szCs w:val="4"/>
        </w:rPr>
      </w:pPr>
    </w:p>
    <w:p w:rsidR="004421CB" w:rsidRPr="002337C6" w:rsidP="004C6A44">
      <w:pPr>
        <w:autoSpaceDE w:val="0"/>
        <w:autoSpaceDN w:val="0"/>
        <w:adjustRightInd w:val="0"/>
        <w:spacing w:after="0" w:line="240" w:lineRule="auto"/>
        <w:ind w:left="2268"/>
        <w:jc w:val="both"/>
        <w:rPr>
          <w:rFonts w:ascii="Calibri" w:hAnsi="Calibri" w:cs="Calibri"/>
          <w:i/>
          <w:sz w:val="22"/>
          <w:szCs w:val="22"/>
        </w:rPr>
      </w:pPr>
      <w:r w:rsidRPr="002337C6">
        <w:rPr>
          <w:rFonts w:ascii="Calibri" w:hAnsi="Calibri" w:cs="Calibri"/>
          <w:i/>
          <w:sz w:val="22"/>
          <w:szCs w:val="22"/>
        </w:rPr>
        <w:t xml:space="preserve">Ação direta de inconstitucionalidade. Valinhos. Lei Municipal n. 5.872, de 28 de junho de 2019, que incluiu e alterou dispositivos do Código Tributário do Município de </w:t>
      </w:r>
      <w:r w:rsidRPr="002337C6">
        <w:rPr>
          <w:rFonts w:ascii="Calibri" w:hAnsi="Calibri" w:cs="Calibri"/>
          <w:i/>
          <w:sz w:val="22"/>
          <w:szCs w:val="22"/>
        </w:rPr>
        <w:t>Valinhos(</w:t>
      </w:r>
      <w:r w:rsidRPr="002337C6">
        <w:rPr>
          <w:rFonts w:ascii="Calibri" w:hAnsi="Calibri" w:cs="Calibri"/>
          <w:i/>
          <w:sz w:val="22"/>
          <w:szCs w:val="22"/>
        </w:rPr>
        <w:t xml:space="preserve">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2337C6">
        <w:rPr>
          <w:rFonts w:ascii="Calibri" w:hAnsi="Calibri" w:cs="Calibri"/>
          <w:i/>
          <w:sz w:val="22"/>
          <w:szCs w:val="22"/>
        </w:rPr>
        <w:t>municipal e dispositivos da Constituição da República de reprodução não obrigatória e da Lei Orgânica Municipal</w:t>
      </w:r>
      <w:r w:rsidRPr="002337C6">
        <w:rPr>
          <w:rFonts w:ascii="Calibri" w:hAnsi="Calibri" w:cs="Calibri"/>
          <w:i/>
          <w:sz w:val="22"/>
          <w:szCs w:val="22"/>
        </w:rPr>
        <w:t xml:space="preserve">. Inadmissibilidade. Inteligência dos arts. 125, § 2º, da Constituição Federal, e 74, </w:t>
      </w:r>
      <w:r w:rsidRPr="002337C6">
        <w:rPr>
          <w:rFonts w:ascii="Calibri" w:hAnsi="Calibri" w:cs="Calibri"/>
          <w:i/>
          <w:sz w:val="22"/>
          <w:szCs w:val="22"/>
        </w:rPr>
        <w:t>VI</w:t>
      </w:r>
      <w:r w:rsidRPr="002337C6">
        <w:rPr>
          <w:rFonts w:ascii="Calibri" w:hAnsi="Calibri" w:cs="Calibri"/>
          <w:i/>
          <w:sz w:val="22"/>
          <w:szCs w:val="22"/>
        </w:rPr>
        <w:t xml:space="preserve">, da Constituição Paulista. </w:t>
      </w:r>
      <w:r w:rsidRPr="002337C6">
        <w:rPr>
          <w:rFonts w:ascii="Calibri" w:hAnsi="Calibri" w:cs="Calibri"/>
          <w:b/>
          <w:i/>
          <w:sz w:val="22"/>
          <w:szCs w:val="22"/>
          <w:u w:val="single"/>
        </w:rPr>
        <w:t>Não incidência de IPTU sobre os imóveis situados fora da zona urbana que tenham até 500m</w:t>
      </w:r>
      <w:r w:rsidRPr="002337C6">
        <w:rPr>
          <w:rFonts w:ascii="Calibri" w:hAnsi="Calibri" w:cs="Calibri"/>
          <w:b/>
          <w:i/>
          <w:sz w:val="22"/>
          <w:szCs w:val="22"/>
          <w:u w:val="single"/>
        </w:rPr>
        <w:t>²</w:t>
      </w:r>
      <w:r w:rsidRPr="002337C6">
        <w:rPr>
          <w:rFonts w:ascii="Calibri" w:hAnsi="Calibri" w:cs="Calibri"/>
          <w:b/>
          <w:i/>
          <w:sz w:val="22"/>
          <w:szCs w:val="22"/>
          <w:u w:val="single"/>
        </w:rPr>
        <w:t xml:space="preserve"> e sejam destinados ao pequeno comércio ou vinculados à agropecuária,</w:t>
      </w:r>
      <w:r w:rsidRPr="002337C6">
        <w:rPr>
          <w:rFonts w:ascii="Calibri" w:hAnsi="Calibri" w:cs="Calibri"/>
          <w:i/>
          <w:sz w:val="22"/>
          <w:szCs w:val="22"/>
        </w:rPr>
        <w:t xml:space="preserve"> independentemente de ser oriundo do próprio imóvel. </w:t>
      </w:r>
      <w:r w:rsidRPr="002337C6">
        <w:rPr>
          <w:rFonts w:ascii="Calibri" w:hAnsi="Calibri" w:cs="Calibri"/>
          <w:b/>
          <w:i/>
          <w:sz w:val="22"/>
          <w:szCs w:val="22"/>
        </w:rPr>
        <w:t xml:space="preserve">Lei local que dispôs sobre matéria tributária, cuja iniciativa não é reservada ao Chefe do Poder Executivo. Tema 682 do Supremo Tribunal Federal. </w:t>
      </w:r>
      <w:r w:rsidRPr="002337C6">
        <w:rPr>
          <w:rFonts w:ascii="Calibri" w:hAnsi="Calibri" w:cs="Calibri"/>
          <w:i/>
          <w:sz w:val="22"/>
          <w:szCs w:val="22"/>
        </w:rPr>
        <w:t>Inaplicabilidade do art. 113 do ADCT no âmbito dos Municípios. Precedentes do Supremo Tribunal Federal e deste Órgão Especial. Ação improcedente, na parcela conhecida.</w:t>
      </w:r>
    </w:p>
    <w:p w:rsidR="004421CB" w:rsidRPr="002337C6" w:rsidP="004C6A44">
      <w:pPr>
        <w:pBdr>
          <w:bottom w:val="single" w:sz="12" w:space="1" w:color="auto"/>
        </w:pBdr>
        <w:autoSpaceDE w:val="0"/>
        <w:autoSpaceDN w:val="0"/>
        <w:adjustRightInd w:val="0"/>
        <w:spacing w:after="0" w:line="240" w:lineRule="auto"/>
        <w:ind w:left="2268"/>
        <w:jc w:val="both"/>
        <w:rPr>
          <w:rFonts w:ascii="Calibri" w:hAnsi="Calibri" w:cs="Calibri"/>
          <w:i/>
          <w:sz w:val="20"/>
        </w:rPr>
      </w:pPr>
      <w:r w:rsidRPr="002337C6">
        <w:rPr>
          <w:rFonts w:ascii="Calibri" w:hAnsi="Calibri" w:cs="Calibri"/>
          <w:i/>
          <w:sz w:val="20"/>
        </w:rPr>
        <w:t>(TJSP. ADIN nº 000865-91.2020.8.26.0000. Relator Des. ANTONIO CELSO AGUILAR CORTEZ. Órgão Especial. Data de julgamento: 14/10/2020</w:t>
      </w:r>
      <w:r w:rsidRPr="002337C6">
        <w:rPr>
          <w:rFonts w:ascii="Calibri" w:hAnsi="Calibri" w:cs="Calibri"/>
          <w:i/>
          <w:sz w:val="20"/>
        </w:rPr>
        <w:t>)</w:t>
      </w:r>
    </w:p>
    <w:p w:rsidR="004421CB" w:rsidRPr="002337C6" w:rsidP="004C6A44">
      <w:pPr>
        <w:autoSpaceDE w:val="0"/>
        <w:autoSpaceDN w:val="0"/>
        <w:adjustRightInd w:val="0"/>
        <w:spacing w:line="240" w:lineRule="auto"/>
        <w:ind w:left="2268"/>
        <w:jc w:val="both"/>
        <w:rPr>
          <w:rFonts w:ascii="Calibri" w:hAnsi="Calibri" w:cs="Calibri"/>
          <w:i/>
          <w:sz w:val="22"/>
          <w:szCs w:val="22"/>
        </w:rPr>
      </w:pPr>
    </w:p>
    <w:p w:rsidR="004421CB" w:rsidRPr="002337C6" w:rsidP="004421CB">
      <w:pPr>
        <w:spacing w:after="120" w:line="360" w:lineRule="auto"/>
        <w:jc w:val="both"/>
        <w:rPr>
          <w:rFonts w:ascii="Calibri" w:hAnsi="Calibri" w:cs="Calibri"/>
          <w:color w:val="000000"/>
          <w:szCs w:val="24"/>
        </w:rPr>
      </w:pPr>
      <w:r w:rsidRPr="002337C6">
        <w:rPr>
          <w:rFonts w:ascii="Calibri" w:hAnsi="Calibri" w:cs="Calibri"/>
          <w:color w:val="000000"/>
          <w:szCs w:val="24"/>
        </w:rPr>
        <w:tab/>
      </w:r>
      <w:r w:rsidRPr="002337C6">
        <w:rPr>
          <w:rFonts w:ascii="Calibri" w:hAnsi="Calibri" w:cs="Calibri"/>
          <w:color w:val="000000"/>
          <w:szCs w:val="24"/>
        </w:rPr>
        <w:tab/>
        <w:t>Esse é o entendimento do Supremo Tribunal Federal em tema de repercussão geral:</w:t>
      </w:r>
    </w:p>
    <w:p w:rsidR="004421CB" w:rsidRPr="002337C6" w:rsidP="004421CB">
      <w:pPr>
        <w:spacing w:line="300" w:lineRule="auto"/>
        <w:ind w:left="2268"/>
        <w:rPr>
          <w:rFonts w:ascii="Calibri" w:hAnsi="Calibri" w:cs="Calibri"/>
          <w:i/>
          <w:sz w:val="22"/>
          <w:szCs w:val="22"/>
        </w:rPr>
      </w:pPr>
      <w:r w:rsidRPr="002337C6">
        <w:rPr>
          <w:rFonts w:ascii="Calibri" w:hAnsi="Calibri" w:cs="Calibri"/>
          <w:i/>
          <w:sz w:val="22"/>
          <w:szCs w:val="22"/>
        </w:rPr>
        <w:t>Tema</w:t>
      </w:r>
    </w:p>
    <w:p w:rsidR="004421CB" w:rsidRPr="002337C6" w:rsidP="004421CB">
      <w:pPr>
        <w:shd w:val="clear" w:color="auto" w:fill="DFE8ED"/>
        <w:spacing w:line="300" w:lineRule="auto"/>
        <w:ind w:left="2268"/>
        <w:textAlignment w:val="top"/>
        <w:rPr>
          <w:rFonts w:ascii="Calibri" w:hAnsi="Calibri" w:cs="Calibri"/>
          <w:i/>
          <w:sz w:val="22"/>
          <w:szCs w:val="22"/>
        </w:rPr>
      </w:pPr>
      <w:r w:rsidRPr="002337C6">
        <w:rPr>
          <w:rFonts w:ascii="Calibri" w:hAnsi="Calibri" w:cs="Calibri"/>
          <w:i/>
          <w:sz w:val="22"/>
          <w:szCs w:val="22"/>
        </w:rPr>
        <w:t xml:space="preserve">682 - </w:t>
      </w:r>
      <w:r w:rsidRPr="002337C6">
        <w:rPr>
          <w:rFonts w:ascii="Calibri" w:hAnsi="Calibri" w:cs="Calibri"/>
          <w:i/>
          <w:sz w:val="22"/>
          <w:szCs w:val="22"/>
        </w:rPr>
        <w:t>Reserva</w:t>
      </w:r>
      <w:r w:rsidRPr="002337C6">
        <w:rPr>
          <w:rFonts w:ascii="Calibri" w:hAnsi="Calibri" w:cs="Calibri"/>
          <w:i/>
          <w:sz w:val="22"/>
          <w:szCs w:val="22"/>
        </w:rPr>
        <w:t xml:space="preserve"> de iniciativa de leis que impliquem redução ou extinção de tributos ao Chefe do Poder Executivo</w:t>
      </w:r>
    </w:p>
    <w:p w:rsidR="004421CB" w:rsidRPr="002337C6" w:rsidP="004E7FA7">
      <w:pPr>
        <w:spacing w:after="120" w:line="240" w:lineRule="auto"/>
        <w:ind w:left="2268"/>
        <w:jc w:val="both"/>
        <w:rPr>
          <w:rFonts w:ascii="Calibri" w:hAnsi="Calibri" w:cs="Calibri"/>
          <w:i/>
          <w:sz w:val="22"/>
          <w:szCs w:val="22"/>
        </w:rPr>
      </w:pPr>
      <w:r w:rsidRPr="002337C6">
        <w:rPr>
          <w:rFonts w:ascii="Calibri" w:hAnsi="Calibri" w:cs="Calibri"/>
          <w:i/>
          <w:sz w:val="22"/>
          <w:szCs w:val="22"/>
        </w:rPr>
        <w:t xml:space="preserve">Tributário. Processo legislativo. Iniciativa de lei. </w:t>
      </w:r>
      <w:r w:rsidRPr="002337C6">
        <w:rPr>
          <w:rFonts w:ascii="Calibri" w:hAnsi="Calibri" w:cs="Calibri"/>
          <w:b/>
          <w:i/>
          <w:sz w:val="22"/>
          <w:szCs w:val="22"/>
        </w:rPr>
        <w:t>2. Reserva de iniciativa em matéria tributária. Inexistência. 3. Lei municipal que revoga tributo. Iniciativa parlamentar. Constitucionalidade</w:t>
      </w:r>
      <w:r w:rsidRPr="002337C6">
        <w:rPr>
          <w:rFonts w:ascii="Calibri" w:hAnsi="Calibri" w:cs="Calibri"/>
          <w:i/>
          <w:sz w:val="22"/>
          <w:szCs w:val="22"/>
        </w:rPr>
        <w:t xml:space="preserve">. 4. Iniciativa geral. Inexiste, no atual texto constitucional, previsão de iniciativa exclusiva do Chefe do Executivo em matéria tributária. 5. Repercussão geral reconhecida. 6. Recurso provido. Reafirmação de jurisprudência. </w:t>
      </w:r>
    </w:p>
    <w:p w:rsidR="004421CB" w:rsidRPr="002337C6" w:rsidP="004E7FA7">
      <w:pPr>
        <w:spacing w:after="120" w:line="240" w:lineRule="auto"/>
        <w:ind w:left="2268"/>
        <w:jc w:val="both"/>
        <w:rPr>
          <w:rFonts w:ascii="Calibri" w:hAnsi="Calibri" w:cs="Calibri"/>
          <w:i/>
          <w:sz w:val="22"/>
          <w:szCs w:val="22"/>
        </w:rPr>
      </w:pPr>
      <w:r w:rsidRPr="002337C6">
        <w:rPr>
          <w:rFonts w:ascii="Calibri" w:hAnsi="Calibri" w:cs="Calibri"/>
          <w:b/>
          <w:i/>
          <w:sz w:val="22"/>
          <w:szCs w:val="22"/>
        </w:rPr>
        <w:t>Decisão:</w:t>
      </w:r>
      <w:r w:rsidRPr="002337C6">
        <w:rPr>
          <w:rFonts w:ascii="Calibri" w:hAnsi="Calibri" w:cs="Calibri"/>
          <w:i/>
          <w:sz w:val="22"/>
          <w:szCs w:val="22"/>
        </w:rPr>
        <w:t xml:space="preserve"> O Tribunal, por unanimidade, reputou constitucional a questão. </w:t>
      </w:r>
      <w:r w:rsidRPr="002337C6">
        <w:rPr>
          <w:rFonts w:ascii="Calibri" w:hAnsi="Calibri" w:cs="Calibri"/>
          <w:b/>
          <w:i/>
          <w:sz w:val="22"/>
          <w:szCs w:val="22"/>
        </w:rPr>
        <w:t>O Tribunal, por unanimidade, reconheceu a existência de repercussão geral da questão constitucional suscitada</w:t>
      </w:r>
      <w:r w:rsidRPr="002337C6">
        <w:rPr>
          <w:rFonts w:ascii="Calibri" w:hAnsi="Calibri" w:cs="Calibri"/>
          <w:i/>
          <w:sz w:val="22"/>
          <w:szCs w:val="22"/>
        </w:rPr>
        <w:t>. No mérito, por maioria, reafirmou a jurisprudência dominante sobre a matéria, vencido o Ministro Marco Aurélio. Não se manifestou o Ministro Joaquim Barbosa. (STF. REPERCUSSÃO GERAL NO RECURSO EXTRAORDINÁRIO COM AGRAVO 743.480 MINAS GERAIS</w:t>
      </w:r>
      <w:r w:rsidRPr="002337C6">
        <w:rPr>
          <w:rFonts w:ascii="Calibri" w:hAnsi="Calibri" w:cs="Calibri"/>
          <w:i/>
          <w:sz w:val="22"/>
          <w:szCs w:val="22"/>
        </w:rPr>
        <w:t>)</w:t>
      </w:r>
    </w:p>
    <w:p w:rsidR="004421CB" w:rsidRPr="002337C6" w:rsidP="004421CB">
      <w:pPr>
        <w:spacing w:after="120"/>
        <w:ind w:left="2268"/>
        <w:jc w:val="both"/>
        <w:rPr>
          <w:rFonts w:ascii="Calibri" w:hAnsi="Calibri" w:cs="Calibri"/>
          <w:i/>
          <w:sz w:val="22"/>
          <w:szCs w:val="22"/>
        </w:rPr>
      </w:pPr>
    </w:p>
    <w:p w:rsidR="004421CB" w:rsidRPr="002337C6" w:rsidP="004421CB">
      <w:pPr>
        <w:spacing w:after="120" w:line="360" w:lineRule="auto"/>
        <w:ind w:firstLine="1701"/>
        <w:jc w:val="both"/>
        <w:rPr>
          <w:rFonts w:ascii="Calibri" w:hAnsi="Calibri" w:cs="Calibri"/>
          <w:szCs w:val="24"/>
        </w:rPr>
      </w:pPr>
      <w:r w:rsidRPr="002337C6">
        <w:rPr>
          <w:rFonts w:ascii="Calibri" w:hAnsi="Calibri" w:cs="Calibri"/>
          <w:szCs w:val="24"/>
        </w:rPr>
        <w:t>Destarte, consoante entendimento jurisprudencial consolidado trata-se de matéria de interesse local, cuja iniciativa é concorrente.</w:t>
      </w:r>
    </w:p>
    <w:p w:rsidR="00823C04" w:rsidRPr="00DF35F9" w:rsidP="00823C04">
      <w:pPr>
        <w:spacing w:after="120" w:line="360" w:lineRule="auto"/>
        <w:ind w:firstLine="1701"/>
        <w:jc w:val="both"/>
      </w:pPr>
      <w:r w:rsidRPr="00DF35F9">
        <w:rPr>
          <w:rFonts w:asciiTheme="minorHAnsi" w:hAnsiTheme="minorHAnsi" w:cstheme="minorHAnsi"/>
          <w:szCs w:val="24"/>
        </w:rPr>
        <w:t xml:space="preserve">Outro giro, conforme observado no Projeto de Lei em baila, a adesão do contribuinte ao Programa de Recuperação Fiscal – REFIS ensejará a </w:t>
      </w:r>
      <w:r>
        <w:rPr>
          <w:rFonts w:asciiTheme="minorHAnsi" w:hAnsiTheme="minorHAnsi" w:cstheme="minorHAnsi"/>
          <w:szCs w:val="24"/>
        </w:rPr>
        <w:t xml:space="preserve">extinção ou </w:t>
      </w:r>
      <w:r w:rsidRPr="00DF35F9">
        <w:rPr>
          <w:rFonts w:asciiTheme="minorHAnsi" w:hAnsiTheme="minorHAnsi" w:cstheme="minorHAnsi"/>
          <w:szCs w:val="24"/>
        </w:rPr>
        <w:t>redu</w:t>
      </w:r>
      <w:r>
        <w:rPr>
          <w:rFonts w:asciiTheme="minorHAnsi" w:hAnsiTheme="minorHAnsi" w:cstheme="minorHAnsi"/>
          <w:szCs w:val="24"/>
        </w:rPr>
        <w:t>ção dos juros e multa</w:t>
      </w:r>
      <w:r>
        <w:rPr>
          <w:rFonts w:asciiTheme="minorHAnsi" w:hAnsiTheme="minorHAnsi" w:cstheme="minorHAnsi"/>
          <w:szCs w:val="24"/>
        </w:rPr>
        <w:t xml:space="preserve"> de débitos tributários </w:t>
      </w:r>
      <w:r w:rsidRPr="00944875" w:rsidR="00944875">
        <w:rPr>
          <w:rFonts w:asciiTheme="minorHAnsi" w:hAnsiTheme="minorHAnsi" w:cstheme="minorHAnsi"/>
          <w:szCs w:val="24"/>
        </w:rPr>
        <w:t>municipais de pessoas físicas e jurídicas em razão de fatos geradores ocorridos até 30 de setembro de 2023, sejam tais débitos de natureza tributária e não tributária, constituídos ou não, parcelados e não parcelados, inscritos ou não em dívida ativa, ajuizados ou não, com exigibilidade suspensa ou não, mantida a cobrança das respectivas atualizações monetárias</w:t>
      </w:r>
      <w:r w:rsidR="00944875">
        <w:rPr>
          <w:rFonts w:asciiTheme="minorHAnsi" w:hAnsiTheme="minorHAnsi" w:cstheme="minorHAnsi"/>
          <w:szCs w:val="24"/>
        </w:rPr>
        <w:t xml:space="preserve">, relativos ao </w:t>
      </w:r>
      <w:r w:rsidRPr="00944875" w:rsidR="00944875">
        <w:rPr>
          <w:rFonts w:asciiTheme="minorHAnsi" w:hAnsiTheme="minorHAnsi" w:cstheme="minorHAnsi"/>
          <w:szCs w:val="24"/>
        </w:rPr>
        <w:t xml:space="preserve">imposto sobre a propriedade predial e territorial urbana </w:t>
      </w:r>
      <w:r w:rsidRPr="00944875" w:rsidR="00944875">
        <w:rPr>
          <w:rFonts w:asciiTheme="minorHAnsi" w:hAnsiTheme="minorHAnsi" w:cstheme="minorHAnsi"/>
          <w:szCs w:val="24"/>
        </w:rPr>
        <w:t xml:space="preserve">- IPTU; </w:t>
      </w:r>
      <w:r w:rsidRPr="00944875" w:rsidR="00944875">
        <w:rPr>
          <w:rFonts w:asciiTheme="minorHAnsi" w:hAnsiTheme="minorHAnsi" w:cstheme="minorHAnsi"/>
          <w:szCs w:val="24"/>
        </w:rPr>
        <w:t xml:space="preserve">imposto sobre serviços de qualquer natureza - </w:t>
      </w:r>
      <w:r w:rsidRPr="00944875" w:rsidR="00944875">
        <w:rPr>
          <w:rFonts w:asciiTheme="minorHAnsi" w:hAnsiTheme="minorHAnsi" w:cstheme="minorHAnsi"/>
          <w:szCs w:val="24"/>
        </w:rPr>
        <w:t xml:space="preserve">ISSQN; </w:t>
      </w:r>
      <w:r w:rsidRPr="00944875" w:rsidR="00944875">
        <w:rPr>
          <w:rFonts w:asciiTheme="minorHAnsi" w:hAnsiTheme="minorHAnsi" w:cstheme="minorHAnsi"/>
          <w:szCs w:val="24"/>
        </w:rPr>
        <w:t xml:space="preserve">imposto sobre transmissão de imóveis </w:t>
      </w:r>
      <w:r w:rsidRPr="00944875" w:rsidR="00944875">
        <w:rPr>
          <w:rFonts w:asciiTheme="minorHAnsi" w:hAnsiTheme="minorHAnsi" w:cstheme="minorHAnsi"/>
          <w:szCs w:val="24"/>
        </w:rPr>
        <w:t>– ITBI</w:t>
      </w:r>
      <w:r w:rsidR="00944875">
        <w:rPr>
          <w:rFonts w:asciiTheme="minorHAnsi" w:hAnsiTheme="minorHAnsi" w:cstheme="minorHAnsi"/>
          <w:szCs w:val="24"/>
        </w:rPr>
        <w:t xml:space="preserve"> e  taxas, </w:t>
      </w:r>
      <w:r w:rsidRPr="00B1225F">
        <w:rPr>
          <w:rFonts w:asciiTheme="minorHAnsi" w:hAnsiTheme="minorHAnsi" w:cstheme="minorHAnsi"/>
          <w:szCs w:val="24"/>
          <w:u w:val="single"/>
        </w:rPr>
        <w:t xml:space="preserve">tratando-se, em verdade, </w:t>
      </w:r>
      <w:r w:rsidRPr="00B1225F">
        <w:rPr>
          <w:rFonts w:asciiTheme="minorHAnsi" w:hAnsiTheme="minorHAnsi" w:cstheme="minorHAnsi"/>
          <w:b/>
          <w:szCs w:val="24"/>
          <w:u w:val="single"/>
        </w:rPr>
        <w:t>de anistia</w:t>
      </w:r>
      <w:r w:rsidRPr="00B1225F">
        <w:rPr>
          <w:rFonts w:asciiTheme="minorHAnsi" w:hAnsiTheme="minorHAnsi" w:cstheme="minorHAnsi"/>
          <w:szCs w:val="24"/>
          <w:u w:val="single"/>
        </w:rPr>
        <w:t xml:space="preserve">, modalidade de exclusão de crédito </w:t>
      </w:r>
      <w:r w:rsidRPr="00B1225F">
        <w:rPr>
          <w:rFonts w:asciiTheme="minorHAnsi" w:hAnsiTheme="minorHAnsi" w:cstheme="minorHAnsi"/>
          <w:szCs w:val="24"/>
          <w:u w:val="single"/>
        </w:rPr>
        <w:t>tributário, disciplinado nos artigos 180 e seguintes do Código Tributário Nacional</w:t>
      </w:r>
      <w:r w:rsidRPr="00DF35F9">
        <w:rPr>
          <w:rFonts w:asciiTheme="minorHAnsi" w:hAnsiTheme="minorHAnsi" w:cstheme="minorHAnsi"/>
          <w:szCs w:val="24"/>
        </w:rPr>
        <w:t xml:space="preserve"> (Lei Nacional n.º 5.172/1966):</w:t>
      </w:r>
      <w:r w:rsidRPr="00DF35F9">
        <w:t xml:space="preserve">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Art. 180. </w:t>
      </w:r>
      <w:r w:rsidRPr="00DF35F9">
        <w:rPr>
          <w:rFonts w:asciiTheme="minorHAnsi" w:hAnsiTheme="minorHAnsi" w:cstheme="minorHAnsi"/>
          <w:b/>
          <w:i/>
          <w:sz w:val="22"/>
          <w:szCs w:val="22"/>
        </w:rPr>
        <w:t>A anistia abrange exclusivamente as infrações cometidas anteriormente à vigência da lei que a conced</w:t>
      </w:r>
      <w:r w:rsidRPr="00DF35F9">
        <w:rPr>
          <w:rFonts w:asciiTheme="minorHAnsi" w:hAnsiTheme="minorHAnsi" w:cstheme="minorHAnsi"/>
          <w:i/>
          <w:sz w:val="22"/>
          <w:szCs w:val="22"/>
        </w:rPr>
        <w:t xml:space="preserve">e, não se aplicando: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I - aos atos qualificados em lei como crimes ou contravenções e aos que, mesmo sem essa qualificação, sejam praticados com dolo, fraude ou simulação pelo sujeito passivo ou por terceiro em benefício daquele;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II - salvo disposição em contrário, às infrações resultantes de conluio entre duas ou mais pessoas naturais ou jurídicas. </w:t>
      </w:r>
    </w:p>
    <w:p w:rsidR="00823C04" w:rsidRPr="00E05A14" w:rsidP="00944875">
      <w:pPr>
        <w:spacing w:after="120" w:line="240" w:lineRule="auto"/>
        <w:ind w:left="2268"/>
        <w:jc w:val="both"/>
        <w:rPr>
          <w:rFonts w:asciiTheme="minorHAnsi" w:hAnsiTheme="minorHAnsi" w:cstheme="minorHAnsi"/>
          <w:b/>
          <w:i/>
          <w:sz w:val="22"/>
          <w:szCs w:val="22"/>
        </w:rPr>
      </w:pPr>
      <w:r w:rsidRPr="00E05A14">
        <w:rPr>
          <w:rFonts w:asciiTheme="minorHAnsi" w:hAnsiTheme="minorHAnsi" w:cstheme="minorHAnsi"/>
          <w:b/>
          <w:i/>
          <w:sz w:val="22"/>
          <w:szCs w:val="22"/>
        </w:rPr>
        <w:t xml:space="preserve">Art. 181. A anistia pode ser concedida: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I - em caráter geral;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II - limitadamente: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a) às infrações da legislação relativa a determinado tributo;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b) às infrações punidas com penalidades pecuniárias até determinado montante, conjugadas ou não com penalidades de outra natureza;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c) a determinada região do território da entidade tributante, em função de condições a ela peculiares; </w:t>
      </w:r>
    </w:p>
    <w:p w:rsidR="00823C04" w:rsidRPr="00944875" w:rsidP="00944875">
      <w:pPr>
        <w:spacing w:after="120" w:line="240" w:lineRule="auto"/>
        <w:ind w:left="2268"/>
        <w:jc w:val="both"/>
        <w:rPr>
          <w:rFonts w:asciiTheme="minorHAnsi" w:hAnsiTheme="minorHAnsi" w:cstheme="minorHAnsi"/>
          <w:b/>
          <w:i/>
          <w:sz w:val="22"/>
          <w:szCs w:val="22"/>
          <w:u w:val="single"/>
        </w:rPr>
      </w:pPr>
      <w:r w:rsidRPr="00DF35F9">
        <w:rPr>
          <w:rFonts w:asciiTheme="minorHAnsi" w:hAnsiTheme="minorHAnsi" w:cstheme="minorHAnsi"/>
          <w:i/>
          <w:sz w:val="22"/>
          <w:szCs w:val="22"/>
        </w:rPr>
        <w:t xml:space="preserve">d) </w:t>
      </w:r>
      <w:r w:rsidRPr="00944875">
        <w:rPr>
          <w:rFonts w:asciiTheme="minorHAnsi" w:hAnsiTheme="minorHAnsi" w:cstheme="minorHAnsi"/>
          <w:b/>
          <w:i/>
          <w:sz w:val="22"/>
          <w:szCs w:val="22"/>
        </w:rPr>
        <w:t>sob condição</w:t>
      </w:r>
      <w:r w:rsidRPr="00944875">
        <w:rPr>
          <w:rFonts w:asciiTheme="minorHAnsi" w:hAnsiTheme="minorHAnsi" w:cstheme="minorHAnsi"/>
          <w:b/>
          <w:i/>
          <w:sz w:val="22"/>
          <w:szCs w:val="22"/>
        </w:rPr>
        <w:t xml:space="preserve"> do pagamento de tributo no prazo fixado pela lei que a conceder</w:t>
      </w:r>
      <w:r w:rsidRPr="00944875">
        <w:rPr>
          <w:rFonts w:asciiTheme="minorHAnsi" w:hAnsiTheme="minorHAnsi" w:cstheme="minorHAnsi"/>
          <w:b/>
          <w:i/>
          <w:sz w:val="22"/>
          <w:szCs w:val="22"/>
          <w:u w:val="single"/>
        </w:rPr>
        <w:t xml:space="preserve">, </w:t>
      </w:r>
      <w:r w:rsidRPr="00944875">
        <w:rPr>
          <w:rFonts w:asciiTheme="minorHAnsi" w:hAnsiTheme="minorHAnsi" w:cstheme="minorHAnsi"/>
          <w:i/>
          <w:sz w:val="22"/>
          <w:szCs w:val="22"/>
          <w:u w:val="single"/>
        </w:rPr>
        <w:t>ou cuja fixação seja atribuída pela mesma lei à autoridade administrativa.</w:t>
      </w:r>
      <w:r w:rsidRPr="00944875">
        <w:rPr>
          <w:rFonts w:asciiTheme="minorHAnsi" w:hAnsiTheme="minorHAnsi" w:cstheme="minorHAnsi"/>
          <w:b/>
          <w:i/>
          <w:sz w:val="22"/>
          <w:szCs w:val="22"/>
          <w:u w:val="single"/>
        </w:rPr>
        <w:t xml:space="preserve"> </w:t>
      </w:r>
    </w:p>
    <w:p w:rsidR="00823C04" w:rsidRPr="008A767C" w:rsidP="00944875">
      <w:pPr>
        <w:spacing w:after="120" w:line="240" w:lineRule="auto"/>
        <w:ind w:left="2268"/>
        <w:jc w:val="both"/>
        <w:rPr>
          <w:rFonts w:asciiTheme="minorHAnsi" w:hAnsiTheme="minorHAnsi" w:cstheme="minorHAnsi"/>
          <w:i/>
          <w:sz w:val="22"/>
          <w:szCs w:val="22"/>
        </w:rPr>
      </w:pPr>
      <w:r w:rsidRPr="008A767C">
        <w:rPr>
          <w:rFonts w:asciiTheme="minorHAnsi" w:hAnsiTheme="minorHAnsi" w:cstheme="minorHAnsi"/>
          <w:i/>
          <w:sz w:val="22"/>
          <w:szCs w:val="22"/>
        </w:rPr>
        <w:t xml:space="preserve">Art. 182. </w:t>
      </w:r>
      <w:r w:rsidRPr="00944875">
        <w:rPr>
          <w:rFonts w:asciiTheme="minorHAnsi" w:hAnsiTheme="minorHAnsi" w:cstheme="minorHAnsi"/>
          <w:b/>
          <w:i/>
          <w:sz w:val="22"/>
          <w:szCs w:val="22"/>
        </w:rPr>
        <w:t>A anistia</w:t>
      </w:r>
      <w:r w:rsidRPr="008A767C">
        <w:rPr>
          <w:rFonts w:asciiTheme="minorHAnsi" w:hAnsiTheme="minorHAnsi" w:cstheme="minorHAnsi"/>
          <w:i/>
          <w:sz w:val="22"/>
          <w:szCs w:val="22"/>
        </w:rPr>
        <w:t xml:space="preserve">, quando não concedida em caráter geral, </w:t>
      </w:r>
      <w:r w:rsidRPr="00944875">
        <w:rPr>
          <w:rFonts w:asciiTheme="minorHAnsi" w:hAnsiTheme="minorHAnsi" w:cstheme="minorHAnsi"/>
          <w:b/>
          <w:i/>
          <w:sz w:val="22"/>
          <w:szCs w:val="22"/>
        </w:rPr>
        <w:t>é efetivada, em cada caso, por despacho da autoridade administrativa, em requerimento com a qual o interessado faça prova do preenchimento das condições e do cumprimento dos requisitos previstos em lei para sua concessão</w:t>
      </w:r>
      <w:r w:rsidRPr="008A767C">
        <w:rPr>
          <w:rFonts w:asciiTheme="minorHAnsi" w:hAnsiTheme="minorHAnsi" w:cstheme="minorHAnsi"/>
          <w:i/>
          <w:sz w:val="22"/>
          <w:szCs w:val="22"/>
        </w:rPr>
        <w:t xml:space="preserve">. </w:t>
      </w:r>
    </w:p>
    <w:p w:rsidR="00823C04" w:rsidRPr="00DF35F9" w:rsidP="00944875">
      <w:pPr>
        <w:spacing w:after="120" w:line="240" w:lineRule="auto"/>
        <w:ind w:left="2268"/>
        <w:jc w:val="both"/>
        <w:rPr>
          <w:rFonts w:asciiTheme="minorHAnsi" w:hAnsiTheme="minorHAnsi" w:cstheme="minorHAnsi"/>
          <w:i/>
          <w:sz w:val="22"/>
          <w:szCs w:val="22"/>
        </w:rPr>
      </w:pPr>
      <w:r w:rsidRPr="00DF35F9">
        <w:rPr>
          <w:rFonts w:asciiTheme="minorHAnsi" w:hAnsiTheme="minorHAnsi" w:cstheme="minorHAnsi"/>
          <w:i/>
          <w:sz w:val="22"/>
          <w:szCs w:val="22"/>
        </w:rPr>
        <w:t xml:space="preserve">Parágrafo único. O despacho referido neste artigo não gera direito adquirido, aplicando-se, quando cabível, o disposto no artigo 155. </w:t>
      </w:r>
    </w:p>
    <w:p w:rsidR="00823C04" w:rsidRPr="00DF35F9" w:rsidP="00823C04">
      <w:pPr>
        <w:spacing w:after="120" w:line="360" w:lineRule="auto"/>
        <w:ind w:left="2268"/>
        <w:jc w:val="both"/>
        <w:rPr>
          <w:rFonts w:asciiTheme="minorHAnsi" w:hAnsiTheme="minorHAnsi" w:cstheme="minorHAnsi"/>
          <w:i/>
          <w:sz w:val="12"/>
          <w:szCs w:val="12"/>
        </w:rPr>
      </w:pPr>
    </w:p>
    <w:p w:rsidR="00823C04" w:rsidRPr="00E414D8" w:rsidP="00823C04">
      <w:pPr>
        <w:spacing w:after="120" w:line="360" w:lineRule="auto"/>
        <w:ind w:firstLine="1701"/>
        <w:jc w:val="both"/>
        <w:rPr>
          <w:rFonts w:asciiTheme="minorHAnsi" w:hAnsiTheme="minorHAnsi" w:cstheme="minorHAnsi"/>
        </w:rPr>
      </w:pPr>
      <w:r>
        <w:rPr>
          <w:rFonts w:asciiTheme="minorHAnsi" w:hAnsiTheme="minorHAnsi" w:cstheme="minorHAnsi"/>
        </w:rPr>
        <w:t>No concernente à anistia</w:t>
      </w:r>
      <w:r w:rsidRPr="00E414D8">
        <w:rPr>
          <w:rFonts w:asciiTheme="minorHAnsi" w:hAnsiTheme="minorHAnsi" w:cstheme="minorHAnsi"/>
        </w:rPr>
        <w:t xml:space="preserve"> a Constituição Federal assim dispõe:</w:t>
      </w:r>
    </w:p>
    <w:p w:rsidR="00823C04" w:rsidRPr="00E414D8" w:rsidP="00944875">
      <w:pPr>
        <w:spacing w:after="120" w:line="240" w:lineRule="auto"/>
        <w:ind w:left="2268"/>
        <w:jc w:val="both"/>
        <w:rPr>
          <w:rFonts w:asciiTheme="minorHAnsi" w:hAnsiTheme="minorHAnsi" w:cstheme="minorHAnsi"/>
          <w:i/>
          <w:color w:val="000000"/>
          <w:sz w:val="22"/>
          <w:szCs w:val="22"/>
          <w:shd w:val="clear" w:color="auto" w:fill="FFFFFF"/>
        </w:rPr>
      </w:pPr>
      <w:r w:rsidRPr="00E414D8">
        <w:rPr>
          <w:rFonts w:asciiTheme="minorHAnsi" w:hAnsiTheme="minorHAnsi" w:cstheme="minorHAnsi"/>
          <w:b/>
          <w:i/>
          <w:color w:val="000000"/>
          <w:sz w:val="22"/>
          <w:szCs w:val="22"/>
          <w:shd w:val="clear" w:color="auto" w:fill="FFFFFF"/>
        </w:rPr>
        <w:t>Art. 150.</w:t>
      </w:r>
      <w:r w:rsidRPr="00E414D8">
        <w:rPr>
          <w:rFonts w:asciiTheme="minorHAnsi" w:hAnsiTheme="minorHAnsi" w:cstheme="minorHAnsi"/>
          <w:i/>
          <w:color w:val="000000"/>
          <w:sz w:val="22"/>
          <w:szCs w:val="22"/>
          <w:shd w:val="clear" w:color="auto" w:fill="FFFFFF"/>
        </w:rPr>
        <w:t xml:space="preserve"> Sem prejuízo de outras garantias asseguradas ao contribuinte, é vedado à União, aos Estados, ao Distrito Federal e aos Municípios:</w:t>
      </w:r>
    </w:p>
    <w:p w:rsidR="00823C04" w:rsidRPr="00E414D8" w:rsidP="00944875">
      <w:pPr>
        <w:spacing w:after="120" w:line="240" w:lineRule="auto"/>
        <w:ind w:left="2268"/>
        <w:jc w:val="both"/>
        <w:rPr>
          <w:rFonts w:asciiTheme="minorHAnsi" w:hAnsiTheme="minorHAnsi" w:cstheme="minorHAnsi"/>
          <w:i/>
          <w:color w:val="000000"/>
          <w:sz w:val="22"/>
          <w:szCs w:val="22"/>
          <w:shd w:val="clear" w:color="auto" w:fill="FFFFFF"/>
        </w:rPr>
      </w:pPr>
      <w:r w:rsidRPr="00E414D8">
        <w:rPr>
          <w:rFonts w:asciiTheme="minorHAnsi" w:hAnsiTheme="minorHAnsi" w:cstheme="minorHAnsi"/>
          <w:i/>
          <w:color w:val="000000"/>
          <w:sz w:val="22"/>
          <w:szCs w:val="22"/>
          <w:shd w:val="clear" w:color="auto" w:fill="FFFFFF"/>
        </w:rPr>
        <w:t>(...)</w:t>
      </w:r>
    </w:p>
    <w:p w:rsidR="00823C04" w:rsidRPr="00E414D8" w:rsidP="00944875">
      <w:pPr>
        <w:spacing w:after="120" w:line="240" w:lineRule="auto"/>
        <w:ind w:left="2268"/>
        <w:jc w:val="both"/>
        <w:rPr>
          <w:rFonts w:asciiTheme="minorHAnsi" w:hAnsiTheme="minorHAnsi" w:cstheme="minorHAnsi"/>
          <w:i/>
          <w:color w:val="000000"/>
          <w:sz w:val="22"/>
          <w:szCs w:val="22"/>
          <w:shd w:val="clear" w:color="auto" w:fill="FFFFFF"/>
        </w:rPr>
      </w:pPr>
      <w:r w:rsidRPr="00E414D8">
        <w:rPr>
          <w:rFonts w:asciiTheme="minorHAnsi" w:hAnsiTheme="minorHAnsi" w:cstheme="minorHAnsi"/>
          <w:b/>
          <w:i/>
          <w:color w:val="000000"/>
          <w:sz w:val="22"/>
          <w:szCs w:val="22"/>
          <w:shd w:val="clear" w:color="auto" w:fill="FFFFFF"/>
        </w:rPr>
        <w:t xml:space="preserve">§ 6º </w:t>
      </w:r>
      <w:r w:rsidRPr="00E414D8">
        <w:rPr>
          <w:rFonts w:asciiTheme="minorHAnsi" w:hAnsiTheme="minorHAnsi" w:cstheme="minorHAnsi"/>
          <w:i/>
          <w:color w:val="000000"/>
          <w:sz w:val="22"/>
          <w:szCs w:val="22"/>
          <w:shd w:val="clear" w:color="auto" w:fill="FFFFFF"/>
        </w:rPr>
        <w:t xml:space="preserve">Qualquer subsídio ou isenção, redução de base de cálculo, concessão de crédito presumido, </w:t>
      </w:r>
      <w:r w:rsidRPr="00B1225F">
        <w:rPr>
          <w:rFonts w:asciiTheme="minorHAnsi" w:hAnsiTheme="minorHAnsi" w:cstheme="minorHAnsi"/>
          <w:b/>
          <w:i/>
          <w:color w:val="000000"/>
          <w:sz w:val="22"/>
          <w:szCs w:val="22"/>
          <w:u w:val="single"/>
          <w:shd w:val="clear" w:color="auto" w:fill="FFFFFF"/>
        </w:rPr>
        <w:t>anistia</w:t>
      </w:r>
      <w:r w:rsidRPr="00E414D8">
        <w:rPr>
          <w:rFonts w:asciiTheme="minorHAnsi" w:hAnsiTheme="minorHAnsi" w:cstheme="minorHAnsi"/>
          <w:i/>
          <w:color w:val="000000"/>
          <w:sz w:val="22"/>
          <w:szCs w:val="22"/>
          <w:shd w:val="clear" w:color="auto" w:fill="FFFFFF"/>
        </w:rPr>
        <w:t xml:space="preserve"> ou remissão, relativos a </w:t>
      </w:r>
      <w:r w:rsidRPr="00E414D8">
        <w:rPr>
          <w:rFonts w:asciiTheme="minorHAnsi" w:hAnsiTheme="minorHAnsi" w:cstheme="minorHAnsi"/>
          <w:i/>
          <w:color w:val="000000"/>
          <w:sz w:val="22"/>
          <w:szCs w:val="22"/>
          <w:shd w:val="clear" w:color="auto" w:fill="FFFFFF"/>
        </w:rPr>
        <w:t xml:space="preserve">impostos, taxas ou contribuições, </w:t>
      </w:r>
      <w:r w:rsidRPr="00944875">
        <w:rPr>
          <w:rFonts w:asciiTheme="minorHAnsi" w:hAnsiTheme="minorHAnsi" w:cstheme="minorHAnsi"/>
          <w:b/>
          <w:i/>
          <w:color w:val="000000"/>
          <w:sz w:val="22"/>
          <w:szCs w:val="22"/>
          <w:u w:val="single"/>
          <w:shd w:val="clear" w:color="auto" w:fill="FFFFFF"/>
        </w:rPr>
        <w:t>só poderá ser concedido mediante lei específica, federal, estadual ou municipal</w:t>
      </w:r>
      <w:r w:rsidRPr="00E414D8">
        <w:rPr>
          <w:rFonts w:asciiTheme="minorHAnsi" w:hAnsiTheme="minorHAnsi" w:cstheme="minorHAnsi"/>
          <w:i/>
          <w:color w:val="000000"/>
          <w:sz w:val="22"/>
          <w:szCs w:val="22"/>
          <w:shd w:val="clear" w:color="auto" w:fill="FFFFFF"/>
        </w:rPr>
        <w:t>, que regule exclusivamente as matérias acima enumeradas ou o correspondente tributo ou contribuição, sem prejuízo do disposto no art. 155, § 2.º, XII, g. </w:t>
      </w:r>
      <w:r w:rsidRPr="00E414D8">
        <w:rPr>
          <w:rFonts w:asciiTheme="minorHAnsi" w:hAnsiTheme="minorHAnsi" w:cstheme="minorHAnsi"/>
          <w:i/>
          <w:color w:val="000000"/>
          <w:sz w:val="22"/>
          <w:szCs w:val="22"/>
          <w:shd w:val="clear" w:color="auto" w:fill="FFFFFF"/>
        </w:rPr>
        <w:t> </w:t>
      </w:r>
    </w:p>
    <w:p w:rsidR="00823C04" w:rsidRPr="00E414D8" w:rsidP="00944875">
      <w:pPr>
        <w:spacing w:after="120" w:line="240" w:lineRule="auto"/>
        <w:ind w:left="2268"/>
        <w:jc w:val="both"/>
        <w:rPr>
          <w:rFonts w:asciiTheme="minorHAnsi" w:hAnsiTheme="minorHAnsi" w:cstheme="minorHAnsi"/>
          <w:i/>
          <w:color w:val="000000"/>
          <w:sz w:val="22"/>
          <w:szCs w:val="22"/>
          <w:shd w:val="clear" w:color="auto" w:fill="FFFFFF"/>
        </w:rPr>
      </w:pPr>
      <w:r w:rsidRPr="00E414D8">
        <w:rPr>
          <w:rFonts w:asciiTheme="minorHAnsi" w:hAnsiTheme="minorHAnsi" w:cstheme="minorHAnsi"/>
          <w:i/>
          <w:color w:val="000000"/>
          <w:sz w:val="22"/>
          <w:szCs w:val="22"/>
          <w:shd w:val="clear" w:color="auto" w:fill="FFFFFF"/>
        </w:rPr>
        <w:t>(...)</w:t>
      </w:r>
    </w:p>
    <w:p w:rsidR="00823C04" w:rsidRPr="00E414D8" w:rsidP="00823C04">
      <w:pPr>
        <w:spacing w:after="120" w:line="360" w:lineRule="auto"/>
        <w:ind w:firstLine="1701"/>
        <w:jc w:val="both"/>
        <w:rPr>
          <w:rFonts w:asciiTheme="minorHAnsi" w:hAnsiTheme="minorHAnsi" w:cstheme="minorHAnsi"/>
        </w:rPr>
      </w:pPr>
      <w:r w:rsidRPr="00E414D8">
        <w:rPr>
          <w:rFonts w:asciiTheme="minorHAnsi" w:hAnsiTheme="minorHAnsi" w:cstheme="minorHAnsi"/>
        </w:rPr>
        <w:t xml:space="preserve">E, </w:t>
      </w:r>
      <w:r>
        <w:rPr>
          <w:rFonts w:asciiTheme="minorHAnsi" w:hAnsiTheme="minorHAnsi" w:cstheme="minorHAnsi"/>
        </w:rPr>
        <w:t>n</w:t>
      </w:r>
      <w:r w:rsidRPr="00E414D8">
        <w:rPr>
          <w:rFonts w:asciiTheme="minorHAnsi" w:hAnsiTheme="minorHAnsi" w:cstheme="minorHAnsi"/>
        </w:rPr>
        <w:t>a Constituição Bandeirante:</w:t>
      </w:r>
    </w:p>
    <w:p w:rsidR="00823C04" w:rsidRPr="00E414D8" w:rsidP="00944875">
      <w:pPr>
        <w:spacing w:after="120" w:line="240" w:lineRule="auto"/>
        <w:ind w:left="2268"/>
        <w:jc w:val="both"/>
        <w:rPr>
          <w:rFonts w:asciiTheme="minorHAnsi" w:hAnsiTheme="minorHAnsi" w:cstheme="minorHAnsi"/>
          <w:i/>
          <w:sz w:val="22"/>
          <w:szCs w:val="22"/>
        </w:rPr>
      </w:pPr>
      <w:r w:rsidRPr="00E414D8">
        <w:rPr>
          <w:rFonts w:asciiTheme="minorHAnsi" w:hAnsiTheme="minorHAnsi" w:cstheme="minorHAnsi"/>
          <w:b/>
          <w:bCs/>
          <w:i/>
          <w:sz w:val="22"/>
          <w:szCs w:val="22"/>
        </w:rPr>
        <w:t>Artigo 163 -</w:t>
      </w:r>
      <w:r w:rsidRPr="00E414D8">
        <w:rPr>
          <w:rFonts w:asciiTheme="minorHAnsi" w:hAnsiTheme="minorHAnsi" w:cstheme="minorHAnsi"/>
          <w:i/>
          <w:sz w:val="22"/>
          <w:szCs w:val="22"/>
        </w:rPr>
        <w:t> Sem prejuízo de outras garantias asseguradas ao contribuinte, é vedado ao Estado:</w:t>
      </w:r>
    </w:p>
    <w:p w:rsidR="00823C04" w:rsidRPr="00E414D8" w:rsidP="00944875">
      <w:pPr>
        <w:spacing w:after="120" w:line="240" w:lineRule="auto"/>
        <w:ind w:left="2268"/>
        <w:jc w:val="both"/>
        <w:rPr>
          <w:rFonts w:asciiTheme="minorHAnsi" w:hAnsiTheme="minorHAnsi" w:cstheme="minorHAnsi"/>
          <w:i/>
          <w:sz w:val="22"/>
          <w:szCs w:val="22"/>
        </w:rPr>
      </w:pPr>
      <w:r w:rsidRPr="00E414D8">
        <w:rPr>
          <w:rFonts w:asciiTheme="minorHAnsi" w:hAnsiTheme="minorHAnsi" w:cstheme="minorHAnsi"/>
          <w:i/>
          <w:sz w:val="22"/>
          <w:szCs w:val="22"/>
        </w:rPr>
        <w:t>(...)</w:t>
      </w:r>
    </w:p>
    <w:p w:rsidR="00823C04" w:rsidRPr="00E414D8" w:rsidP="00944875">
      <w:pPr>
        <w:spacing w:after="120" w:line="240" w:lineRule="auto"/>
        <w:ind w:left="2268"/>
        <w:jc w:val="both"/>
        <w:rPr>
          <w:rFonts w:asciiTheme="minorHAnsi" w:hAnsiTheme="minorHAnsi" w:cstheme="minorHAnsi"/>
          <w:i/>
          <w:sz w:val="22"/>
          <w:szCs w:val="22"/>
        </w:rPr>
      </w:pPr>
      <w:r w:rsidRPr="00E414D8">
        <w:rPr>
          <w:rFonts w:asciiTheme="minorHAnsi" w:hAnsiTheme="minorHAnsi" w:cstheme="minorHAnsi"/>
          <w:b/>
          <w:bCs/>
          <w:i/>
          <w:sz w:val="22"/>
          <w:szCs w:val="22"/>
        </w:rPr>
        <w:t>§6º -</w:t>
      </w:r>
      <w:r w:rsidRPr="00E414D8">
        <w:rPr>
          <w:rFonts w:asciiTheme="minorHAnsi" w:hAnsiTheme="minorHAnsi" w:cstheme="minorHAnsi"/>
          <w:i/>
          <w:sz w:val="22"/>
          <w:szCs w:val="22"/>
        </w:rPr>
        <w:t xml:space="preserve"> Qualquer subsídio ou isenção, redução de base de cálculo, concessão de crédito presumido, </w:t>
      </w:r>
      <w:r w:rsidRPr="00B1225F">
        <w:rPr>
          <w:rFonts w:asciiTheme="minorHAnsi" w:hAnsiTheme="minorHAnsi" w:cstheme="minorHAnsi"/>
          <w:b/>
          <w:i/>
          <w:sz w:val="22"/>
          <w:szCs w:val="22"/>
          <w:u w:val="single"/>
        </w:rPr>
        <w:t>anistia</w:t>
      </w:r>
      <w:r w:rsidRPr="00B1225F">
        <w:rPr>
          <w:rFonts w:asciiTheme="minorHAnsi" w:hAnsiTheme="minorHAnsi" w:cstheme="minorHAnsi"/>
          <w:i/>
          <w:sz w:val="22"/>
          <w:szCs w:val="22"/>
          <w:u w:val="single"/>
        </w:rPr>
        <w:t xml:space="preserve"> </w:t>
      </w:r>
      <w:r w:rsidRPr="00E414D8">
        <w:rPr>
          <w:rFonts w:asciiTheme="minorHAnsi" w:hAnsiTheme="minorHAnsi" w:cstheme="minorHAnsi"/>
          <w:i/>
          <w:sz w:val="22"/>
          <w:szCs w:val="22"/>
        </w:rPr>
        <w:t xml:space="preserve">ou remissão, relativos a impostos, taxas ou contribuições, </w:t>
      </w:r>
      <w:r w:rsidRPr="00B1225F">
        <w:rPr>
          <w:rFonts w:asciiTheme="minorHAnsi" w:hAnsiTheme="minorHAnsi" w:cstheme="minorHAnsi"/>
          <w:b/>
          <w:i/>
          <w:sz w:val="22"/>
          <w:szCs w:val="22"/>
        </w:rPr>
        <w:t>só poderão ser concedidos mediante lei estadual específica, que regule exclusivamente as matérias acima enumeradas ou o correspondente tributo ou contribuição,</w:t>
      </w:r>
      <w:r w:rsidRPr="00E414D8">
        <w:rPr>
          <w:rFonts w:asciiTheme="minorHAnsi" w:hAnsiTheme="minorHAnsi" w:cstheme="minorHAnsi"/>
          <w:i/>
          <w:sz w:val="22"/>
          <w:szCs w:val="22"/>
        </w:rPr>
        <w:t xml:space="preserve"> sem prejuízo do disposto no artigo 155, § 2º, XII, “g”, da Constituição Federal. (NR)</w:t>
      </w:r>
      <w:r w:rsidRPr="00E414D8">
        <w:rPr>
          <w:rFonts w:asciiTheme="minorHAnsi" w:hAnsiTheme="minorHAnsi" w:cstheme="minorHAnsi"/>
          <w:i/>
          <w:iCs/>
          <w:sz w:val="22"/>
          <w:szCs w:val="22"/>
        </w:rPr>
        <w:t xml:space="preserve"> § 6º com redação dada pela </w:t>
      </w:r>
      <w:hyperlink r:id="rId7" w:tgtFrame="_top" w:history="1">
        <w:r w:rsidRPr="00E414D8">
          <w:rPr>
            <w:rFonts w:asciiTheme="minorHAnsi" w:hAnsiTheme="minorHAnsi" w:cstheme="minorHAnsi"/>
            <w:i/>
            <w:sz w:val="22"/>
            <w:szCs w:val="22"/>
          </w:rPr>
          <w:t>Emenda Constitucional nº 21, de 14/02/2006</w:t>
        </w:r>
      </w:hyperlink>
      <w:r w:rsidRPr="00E414D8">
        <w:rPr>
          <w:rFonts w:asciiTheme="minorHAnsi" w:hAnsiTheme="minorHAnsi" w:cstheme="minorHAnsi"/>
          <w:i/>
          <w:iCs/>
          <w:sz w:val="22"/>
          <w:szCs w:val="22"/>
        </w:rPr>
        <w:t>.</w:t>
      </w:r>
    </w:p>
    <w:p w:rsidR="00E05A14" w:rsidRPr="00E05A14" w:rsidP="004421CB">
      <w:pPr>
        <w:spacing w:after="120" w:line="360" w:lineRule="auto"/>
        <w:ind w:firstLine="1701"/>
        <w:jc w:val="both"/>
        <w:rPr>
          <w:rFonts w:ascii="Calibri" w:hAnsi="Calibri" w:cs="Calibri"/>
          <w:sz w:val="12"/>
          <w:szCs w:val="12"/>
        </w:rPr>
      </w:pPr>
    </w:p>
    <w:p w:rsidR="004421CB" w:rsidRPr="00944875" w:rsidP="004421CB">
      <w:pPr>
        <w:spacing w:after="120" w:line="360" w:lineRule="auto"/>
        <w:ind w:firstLine="1701"/>
        <w:jc w:val="both"/>
        <w:rPr>
          <w:rFonts w:ascii="Calibri" w:hAnsi="Calibri" w:cs="Calibri"/>
        </w:rPr>
      </w:pPr>
      <w:r w:rsidRPr="00944875">
        <w:rPr>
          <w:rFonts w:ascii="Calibri" w:hAnsi="Calibri" w:cs="Calibri"/>
        </w:rPr>
        <w:t xml:space="preserve">A esse respeito, </w:t>
      </w:r>
      <w:r w:rsidR="001404E0">
        <w:rPr>
          <w:rFonts w:ascii="Calibri" w:hAnsi="Calibri" w:cs="Calibri"/>
        </w:rPr>
        <w:t>sem embargos a</w:t>
      </w:r>
      <w:r w:rsidR="00B1225F">
        <w:rPr>
          <w:rFonts w:ascii="Calibri" w:hAnsi="Calibri" w:cs="Calibri"/>
        </w:rPr>
        <w:t xml:space="preserve"> entendimentos divergentes, </w:t>
      </w:r>
      <w:r w:rsidRPr="00944875">
        <w:rPr>
          <w:rFonts w:ascii="Calibri" w:hAnsi="Calibri" w:cs="Calibri"/>
        </w:rPr>
        <w:t xml:space="preserve">cumpre atentar para o disposto no artigo 14, da Lei Complementar 101/200 (Lei de Responsabilidade Fiscal) que estabelece a necessidade de estimativa do </w:t>
      </w:r>
      <w:r w:rsidRPr="00944875">
        <w:rPr>
          <w:rFonts w:ascii="Calibri" w:hAnsi="Calibri" w:cs="Calibri"/>
        </w:rPr>
        <w:t>impacto</w:t>
      </w:r>
      <w:r w:rsidRPr="00944875">
        <w:rPr>
          <w:rFonts w:ascii="Calibri" w:hAnsi="Calibri" w:cs="Calibri"/>
        </w:rPr>
        <w:t xml:space="preserve"> </w:t>
      </w:r>
      <w:r w:rsidRPr="00944875">
        <w:rPr>
          <w:rFonts w:ascii="Calibri" w:hAnsi="Calibri" w:cs="Calibri"/>
        </w:rPr>
        <w:t>orçamentário</w:t>
      </w:r>
      <w:r w:rsidRPr="00944875">
        <w:rPr>
          <w:rFonts w:ascii="Calibri" w:hAnsi="Calibri" w:cs="Calibri"/>
        </w:rPr>
        <w:t>-financeiro para a concessão ou ampliação de incentivo ou benefício de natureza tributária do qual decorra renúncia de receita, nesta compreendida</w:t>
      </w:r>
      <w:r w:rsidR="00B1225F">
        <w:rPr>
          <w:rFonts w:ascii="Calibri" w:hAnsi="Calibri" w:cs="Calibri"/>
        </w:rPr>
        <w:t>,</w:t>
      </w:r>
      <w:r w:rsidRPr="00944875">
        <w:rPr>
          <w:rFonts w:ascii="Calibri" w:hAnsi="Calibri" w:cs="Calibri"/>
        </w:rPr>
        <w:t xml:space="preserve"> </w:t>
      </w:r>
      <w:r w:rsidR="00B1225F">
        <w:rPr>
          <w:rFonts w:ascii="Calibri" w:hAnsi="Calibri" w:cs="Calibri"/>
        </w:rPr>
        <w:t>s.m.j., a anistia</w:t>
      </w:r>
      <w:r w:rsidRPr="00944875">
        <w:rPr>
          <w:rFonts w:ascii="Calibri" w:hAnsi="Calibri" w:cs="Calibri"/>
        </w:rPr>
        <w:t xml:space="preserve">, </w:t>
      </w:r>
      <w:r w:rsidRPr="00944875">
        <w:rPr>
          <w:rFonts w:ascii="Calibri" w:hAnsi="Calibri" w:cs="Calibri"/>
          <w:i/>
        </w:rPr>
        <w:t>in verbis</w:t>
      </w:r>
      <w:r w:rsidRPr="00944875">
        <w:rPr>
          <w:rFonts w:ascii="Calibri" w:hAnsi="Calibri" w:cs="Calibri"/>
        </w:rPr>
        <w:t xml:space="preserve">: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Art. 14. </w:t>
      </w:r>
      <w:r w:rsidRPr="00944875">
        <w:rPr>
          <w:rFonts w:ascii="Calibri" w:hAnsi="Calibri" w:cs="Calibri"/>
          <w:b/>
          <w:i/>
          <w:sz w:val="22"/>
          <w:szCs w:val="22"/>
        </w:rPr>
        <w:t>A concessão ou ampliação de incentivo ou benefício de natureza tributária da qual decorra renúncia de receita deverá estar acompanhada de estimativa do impacto orçamentário-financeiro</w:t>
      </w:r>
      <w:r w:rsidRPr="00944875">
        <w:rPr>
          <w:rFonts w:ascii="Calibri" w:hAnsi="Calibri" w:cs="Calibri"/>
          <w:i/>
          <w:sz w:val="22"/>
          <w:szCs w:val="22"/>
        </w:rPr>
        <w:t xml:space="preserve"> no exercício em que deva iniciar sua vigência e nos dois seguintes, atender ao disposto na lei de diretrizes orçamentárias e a pelo menos uma das seguintes condições: (Vide Medida Provisória nº 2.159, de 2001) (Vide Lei nº 10.276, de 2001) (Vide ADI </w:t>
      </w:r>
      <w:r w:rsidRPr="00944875">
        <w:rPr>
          <w:rFonts w:ascii="Calibri" w:hAnsi="Calibri" w:cs="Calibri"/>
          <w:i/>
          <w:sz w:val="22"/>
          <w:szCs w:val="22"/>
        </w:rPr>
        <w:t>6357)</w:t>
      </w:r>
      <w:r w:rsidRPr="00944875">
        <w:rPr>
          <w:rFonts w:ascii="Calibri" w:hAnsi="Calibri" w:cs="Calibri"/>
          <w:i/>
          <w:sz w:val="22"/>
          <w:szCs w:val="22"/>
        </w:rPr>
        <w:t xml:space="preserve">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4421CB" w:rsidRPr="00B1225F" w:rsidP="00944875">
      <w:pPr>
        <w:spacing w:after="120" w:line="240" w:lineRule="auto"/>
        <w:ind w:left="2268"/>
        <w:jc w:val="both"/>
        <w:rPr>
          <w:rFonts w:ascii="Calibri" w:hAnsi="Calibri" w:cs="Calibri"/>
          <w:b/>
          <w:i/>
          <w:szCs w:val="24"/>
        </w:rPr>
      </w:pPr>
      <w:r w:rsidRPr="00B1225F">
        <w:rPr>
          <w:rFonts w:ascii="Calibri" w:hAnsi="Calibri" w:cs="Calibri"/>
          <w:i/>
          <w:szCs w:val="24"/>
        </w:rPr>
        <w:t xml:space="preserve">§ </w:t>
      </w:r>
      <w:r w:rsidRPr="00B1225F">
        <w:rPr>
          <w:rFonts w:ascii="Calibri" w:hAnsi="Calibri" w:cs="Calibri"/>
          <w:b/>
          <w:i/>
          <w:szCs w:val="24"/>
        </w:rPr>
        <w:t xml:space="preserve">1º </w:t>
      </w:r>
      <w:r w:rsidRPr="00B1225F">
        <w:rPr>
          <w:rFonts w:ascii="Calibri" w:hAnsi="Calibri" w:cs="Calibri"/>
          <w:b/>
          <w:i/>
          <w:szCs w:val="24"/>
          <w:u w:val="single"/>
        </w:rPr>
        <w:t>A renúncia compreende anistia,</w:t>
      </w:r>
      <w:r w:rsidRPr="00B1225F">
        <w:rPr>
          <w:rFonts w:ascii="Calibri" w:hAnsi="Calibri" w:cs="Calibri"/>
          <w:b/>
          <w:i/>
          <w:szCs w:val="24"/>
        </w:rPr>
        <w:t xml:space="preserve"> </w:t>
      </w:r>
      <w:r w:rsidRPr="00B1225F">
        <w:rPr>
          <w:rFonts w:ascii="Calibri" w:hAnsi="Calibri" w:cs="Calibri"/>
          <w:i/>
          <w:szCs w:val="24"/>
        </w:rPr>
        <w:t>remissão,</w:t>
      </w:r>
      <w:r w:rsidRPr="00B1225F">
        <w:rPr>
          <w:rFonts w:ascii="Calibri" w:hAnsi="Calibri" w:cs="Calibri"/>
          <w:b/>
          <w:i/>
          <w:szCs w:val="24"/>
        </w:rPr>
        <w:t xml:space="preserve"> subsídio, crédito presumido</w:t>
      </w:r>
      <w:r w:rsidRPr="00B1225F">
        <w:rPr>
          <w:rFonts w:ascii="Calibri" w:hAnsi="Calibri" w:cs="Calibri"/>
          <w:i/>
          <w:szCs w:val="24"/>
        </w:rPr>
        <w:t>, concessão de isenção em caráter não geral,</w:t>
      </w:r>
      <w:r w:rsidRPr="00B1225F">
        <w:rPr>
          <w:rFonts w:ascii="Calibri" w:hAnsi="Calibri" w:cs="Calibri"/>
          <w:b/>
          <w:i/>
          <w:szCs w:val="24"/>
        </w:rPr>
        <w:t xml:space="preserve"> alteração de alíquota ou modificação de base de cálculo que implique redução discriminada de tributos ou contribuições, e outros benefícios que correspondam a tratamento diferenciado.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 2º Se o ato de concessão ou ampliação do incentivo ou benefício de que trata o caput deste artigo decorrer da condição contida no inciso II, o benefício só entrará em vigor quando </w:t>
      </w:r>
      <w:r w:rsidRPr="00944875">
        <w:rPr>
          <w:rFonts w:ascii="Calibri" w:hAnsi="Calibri" w:cs="Calibri"/>
          <w:i/>
          <w:sz w:val="22"/>
          <w:szCs w:val="22"/>
        </w:rPr>
        <w:t>implementadas</w:t>
      </w:r>
      <w:r w:rsidRPr="00944875">
        <w:rPr>
          <w:rFonts w:ascii="Calibri" w:hAnsi="Calibri" w:cs="Calibri"/>
          <w:i/>
          <w:sz w:val="22"/>
          <w:szCs w:val="22"/>
        </w:rPr>
        <w:t xml:space="preserve"> as medidas referidas no mencionado inciso.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 3º O disposto neste artigo não se aplica: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I - às alterações das alíquotas dos impostos previstos nos incisos I, II, IV e V do art. 153 da Constituição, na forma do seu§ 1º; </w:t>
      </w:r>
    </w:p>
    <w:p w:rsidR="004421CB" w:rsidRPr="00944875" w:rsidP="00944875">
      <w:pPr>
        <w:spacing w:after="120" w:line="240" w:lineRule="auto"/>
        <w:ind w:left="2268"/>
        <w:jc w:val="both"/>
        <w:rPr>
          <w:rFonts w:ascii="Calibri" w:hAnsi="Calibri" w:cs="Calibri"/>
          <w:i/>
          <w:sz w:val="22"/>
          <w:szCs w:val="22"/>
        </w:rPr>
      </w:pPr>
      <w:r w:rsidRPr="00944875">
        <w:rPr>
          <w:rFonts w:ascii="Calibri" w:hAnsi="Calibri" w:cs="Calibri"/>
          <w:i/>
          <w:sz w:val="22"/>
          <w:szCs w:val="22"/>
        </w:rPr>
        <w:t xml:space="preserve">II - ao cancelamento de débito cujo montante seja inferior ao dos respectivos custos de cobrança. </w:t>
      </w:r>
    </w:p>
    <w:p w:rsidR="004421CB" w:rsidRPr="00823C04" w:rsidP="004421CB">
      <w:pPr>
        <w:autoSpaceDE w:val="0"/>
        <w:autoSpaceDN w:val="0"/>
        <w:adjustRightInd w:val="0"/>
        <w:spacing w:after="120"/>
        <w:ind w:left="2268"/>
        <w:jc w:val="both"/>
        <w:rPr>
          <w:rFonts w:ascii="Calibri" w:hAnsi="Calibri" w:cs="Calibri"/>
          <w:bCs/>
          <w:i/>
          <w:color w:val="FF0000"/>
          <w:sz w:val="12"/>
          <w:szCs w:val="12"/>
        </w:rPr>
      </w:pPr>
    </w:p>
    <w:p w:rsidR="00FB5B67" w:rsidP="00FB5B67">
      <w:pPr>
        <w:spacing w:after="240" w:line="360" w:lineRule="auto"/>
        <w:ind w:firstLine="1701"/>
        <w:jc w:val="both"/>
        <w:rPr>
          <w:rFonts w:asciiTheme="minorHAnsi" w:hAnsiTheme="minorHAnsi" w:cstheme="minorHAnsi"/>
          <w:szCs w:val="24"/>
        </w:rPr>
      </w:pPr>
      <w:r>
        <w:rPr>
          <w:rFonts w:asciiTheme="minorHAnsi" w:hAnsiTheme="minorHAnsi" w:cstheme="minorHAnsi"/>
          <w:szCs w:val="24"/>
        </w:rPr>
        <w:t>Nesse sentido, destacamos decisão do Tribunal de Contas do Estado de São Paulo:</w:t>
      </w:r>
    </w:p>
    <w:p w:rsidR="00FB5B67" w:rsidRPr="00D4084A" w:rsidP="005E6E39">
      <w:pPr>
        <w:spacing w:after="240" w:line="240" w:lineRule="auto"/>
        <w:ind w:left="2268"/>
        <w:jc w:val="both"/>
        <w:rPr>
          <w:rFonts w:asciiTheme="minorHAnsi" w:hAnsiTheme="minorHAnsi" w:cstheme="minorHAnsi"/>
          <w:i/>
          <w:sz w:val="22"/>
          <w:szCs w:val="22"/>
        </w:rPr>
      </w:pPr>
      <w:r w:rsidRPr="00D4084A">
        <w:rPr>
          <w:rFonts w:asciiTheme="minorHAnsi" w:hAnsiTheme="minorHAnsi" w:cstheme="minorHAnsi"/>
          <w:i/>
          <w:sz w:val="22"/>
          <w:szCs w:val="22"/>
        </w:rPr>
        <w:t>(...)</w:t>
      </w:r>
    </w:p>
    <w:p w:rsidR="00FB5B67" w:rsidRPr="00D4084A" w:rsidP="005E6E39">
      <w:pPr>
        <w:spacing w:after="240" w:line="240" w:lineRule="auto"/>
        <w:ind w:left="2268"/>
        <w:jc w:val="both"/>
        <w:rPr>
          <w:rFonts w:asciiTheme="minorHAnsi" w:hAnsiTheme="minorHAnsi" w:cstheme="minorHAnsi"/>
          <w:i/>
          <w:sz w:val="22"/>
          <w:szCs w:val="22"/>
        </w:rPr>
      </w:pPr>
      <w:r w:rsidRPr="00D4084A">
        <w:rPr>
          <w:rFonts w:asciiTheme="minorHAnsi" w:hAnsiTheme="minorHAnsi" w:cstheme="minorHAnsi"/>
          <w:i/>
          <w:sz w:val="22"/>
          <w:szCs w:val="22"/>
        </w:rPr>
        <w:t xml:space="preserve">Referente à renúncia de receitas, sem a observância do artigo 14 da Lei de Responsabilidade Fiscal, em que pesem as alegações da defesa, remanesce o entendimento da Fiscalização, </w:t>
      </w:r>
      <w:r w:rsidRPr="00D4084A">
        <w:rPr>
          <w:rFonts w:asciiTheme="minorHAnsi" w:hAnsiTheme="minorHAnsi" w:cstheme="minorHAnsi"/>
          <w:b/>
          <w:i/>
          <w:sz w:val="22"/>
          <w:szCs w:val="22"/>
        </w:rPr>
        <w:t xml:space="preserve">evidenciando a ocorrência de renúncia de receitas decorrente da instituição do Programa de Recuperação Fiscal da Dívida Ativa Autárquica executada e/ou negociada </w:t>
      </w:r>
      <w:r w:rsidRPr="00D4084A">
        <w:rPr>
          <w:rFonts w:asciiTheme="minorHAnsi" w:hAnsiTheme="minorHAnsi" w:cstheme="minorHAnsi"/>
          <w:i/>
          <w:sz w:val="22"/>
          <w:szCs w:val="22"/>
        </w:rPr>
        <w:t xml:space="preserve">(REFIS-SAAESP/EF/2018), pela Lei Municipal nº 3.833, de 30 de janeiro de 2018, </w:t>
      </w:r>
      <w:r w:rsidRPr="00B1225F">
        <w:rPr>
          <w:rFonts w:asciiTheme="minorHAnsi" w:hAnsiTheme="minorHAnsi" w:cstheme="minorHAnsi"/>
          <w:b/>
          <w:i/>
          <w:sz w:val="22"/>
          <w:szCs w:val="22"/>
          <w:u w:val="single"/>
        </w:rPr>
        <w:t>que autorizou a concessão de benefício financeiro concernente à redução integral de juros e multa de mora,</w:t>
      </w:r>
      <w:r w:rsidRPr="00D4084A">
        <w:rPr>
          <w:rFonts w:asciiTheme="minorHAnsi" w:hAnsiTheme="minorHAnsi" w:cstheme="minorHAnsi"/>
          <w:i/>
          <w:sz w:val="22"/>
          <w:szCs w:val="22"/>
        </w:rPr>
        <w:t xml:space="preserve"> forma legal de aporte para os serviços públicos, prestados de maneira indireta pela Autarquia. </w:t>
      </w:r>
    </w:p>
    <w:p w:rsidR="00FB5B67" w:rsidRPr="00D4084A" w:rsidP="005E6E39">
      <w:pPr>
        <w:spacing w:after="120" w:line="240" w:lineRule="auto"/>
        <w:ind w:left="2268"/>
        <w:jc w:val="both"/>
        <w:rPr>
          <w:rFonts w:asciiTheme="minorHAnsi" w:hAnsiTheme="minorHAnsi" w:cstheme="minorHAnsi"/>
          <w:i/>
          <w:sz w:val="22"/>
          <w:szCs w:val="22"/>
        </w:rPr>
      </w:pPr>
      <w:r w:rsidRPr="00D4084A">
        <w:rPr>
          <w:rFonts w:asciiTheme="minorHAnsi" w:hAnsiTheme="minorHAnsi" w:cstheme="minorHAnsi"/>
          <w:i/>
          <w:sz w:val="22"/>
          <w:szCs w:val="22"/>
        </w:rPr>
        <w:t xml:space="preserve">Dessa forma </w:t>
      </w:r>
      <w:r w:rsidRPr="00A400E3">
        <w:rPr>
          <w:rFonts w:asciiTheme="minorHAnsi" w:hAnsiTheme="minorHAnsi" w:cstheme="minorHAnsi"/>
          <w:b/>
          <w:i/>
          <w:sz w:val="23"/>
          <w:szCs w:val="23"/>
          <w:u w:val="single"/>
        </w:rPr>
        <w:t xml:space="preserve">a concessão da redução integral de juros e multa de mora configura verdadeira hipótese de renúncia de receita, no âmbito do Orçamento do Município, devendo obediência às exigências contidas no artigo 14 da Lei de Responsabilidade Fiscal, quais sejam: estimativa da renúncia da receita para o </w:t>
      </w:r>
      <w:r w:rsidRPr="00A400E3">
        <w:rPr>
          <w:rFonts w:asciiTheme="minorHAnsi" w:hAnsiTheme="minorHAnsi" w:cstheme="minorHAnsi"/>
          <w:b/>
          <w:i/>
          <w:sz w:val="23"/>
          <w:szCs w:val="23"/>
          <w:u w:val="single"/>
        </w:rPr>
        <w:t>exercício vigente e os dois subsequentes, apresentação das medidas de compensação ou comprovação de que a renúncia já está computada na lei orçamentária e não afetará as metas fiscais, bem como a autorização legislativa para alteração das Metas Fiscais</w:t>
      </w:r>
      <w:r w:rsidRPr="00D4084A">
        <w:rPr>
          <w:rFonts w:asciiTheme="minorHAnsi" w:hAnsiTheme="minorHAnsi" w:cstheme="minorHAnsi"/>
          <w:i/>
          <w:sz w:val="22"/>
          <w:szCs w:val="22"/>
        </w:rPr>
        <w:t>. Nessa conformidade recomendo que a Origem observe doravante o disposto no artigo 14 da Lei de Reponsabilidade Fiscal quando efetuar procedimentos da espécie ora em análise.</w:t>
      </w:r>
    </w:p>
    <w:p w:rsidR="00FB5B67" w:rsidRPr="00D4084A" w:rsidP="005E6E39">
      <w:pPr>
        <w:spacing w:after="120" w:line="240" w:lineRule="auto"/>
        <w:ind w:left="2268"/>
        <w:jc w:val="both"/>
        <w:rPr>
          <w:rFonts w:asciiTheme="minorHAnsi" w:hAnsiTheme="minorHAnsi" w:cstheme="minorHAnsi"/>
          <w:i/>
          <w:sz w:val="22"/>
          <w:szCs w:val="22"/>
        </w:rPr>
      </w:pPr>
      <w:r w:rsidRPr="00D4084A">
        <w:rPr>
          <w:rFonts w:asciiTheme="minorHAnsi" w:hAnsiTheme="minorHAnsi" w:cstheme="minorHAnsi"/>
          <w:i/>
          <w:sz w:val="22"/>
          <w:szCs w:val="22"/>
        </w:rPr>
        <w:t>(...)</w:t>
      </w:r>
    </w:p>
    <w:p w:rsidR="00FB5B67" w:rsidP="005E6E39">
      <w:pPr>
        <w:spacing w:after="0" w:line="240" w:lineRule="auto"/>
        <w:ind w:left="2268"/>
        <w:jc w:val="both"/>
        <w:rPr>
          <w:rFonts w:asciiTheme="minorHAnsi" w:hAnsiTheme="minorHAnsi" w:cstheme="minorHAnsi"/>
          <w:i/>
          <w:sz w:val="20"/>
        </w:rPr>
      </w:pPr>
      <w:r w:rsidRPr="00026931">
        <w:rPr>
          <w:rFonts w:asciiTheme="minorHAnsi" w:hAnsiTheme="minorHAnsi" w:cstheme="minorHAnsi"/>
          <w:i/>
          <w:sz w:val="20"/>
        </w:rPr>
        <w:t>(TCESP. TC-00002317.989.18-4. Órgão: SERVIÇO AUTÔNOMO DE ÁGUA E ESGOTO DO MUNICÍPIO DE SÃO PEDRO – SAAESP. Balanço Geral do Exercício</w:t>
      </w:r>
      <w:r w:rsidRPr="00026931">
        <w:rPr>
          <w:rFonts w:asciiTheme="minorHAnsi" w:hAnsiTheme="minorHAnsi" w:cstheme="minorHAnsi"/>
          <w:i/>
          <w:sz w:val="20"/>
        </w:rPr>
        <w:t xml:space="preserve">  </w:t>
      </w:r>
      <w:r w:rsidRPr="00026931">
        <w:rPr>
          <w:rFonts w:asciiTheme="minorHAnsi" w:hAnsiTheme="minorHAnsi" w:cstheme="minorHAnsi"/>
          <w:i/>
          <w:sz w:val="20"/>
        </w:rPr>
        <w:t>- Contas do Exercício de 2018. Data da sentença: 01/09/2020)</w:t>
      </w:r>
    </w:p>
    <w:p w:rsidR="005E6E39" w:rsidP="005E6E39">
      <w:pPr>
        <w:spacing w:after="0" w:line="240" w:lineRule="auto"/>
        <w:ind w:left="2268"/>
        <w:jc w:val="both"/>
        <w:rPr>
          <w:rFonts w:asciiTheme="minorHAnsi" w:hAnsiTheme="minorHAnsi" w:cstheme="minorHAnsi"/>
          <w:i/>
          <w:sz w:val="20"/>
        </w:rPr>
      </w:pPr>
    </w:p>
    <w:p w:rsidR="004421CB" w:rsidRPr="00FB5B67" w:rsidP="004421CB">
      <w:pPr>
        <w:spacing w:after="240" w:line="360" w:lineRule="auto"/>
        <w:ind w:firstLine="1701"/>
        <w:jc w:val="both"/>
        <w:rPr>
          <w:rFonts w:ascii="Calibri" w:hAnsi="Calibri" w:eastAsiaTheme="minorHAnsi" w:cs="Calibri"/>
          <w:szCs w:val="24"/>
          <w:lang w:eastAsia="en-US"/>
        </w:rPr>
      </w:pPr>
      <w:r w:rsidRPr="00FB5B67">
        <w:rPr>
          <w:rFonts w:ascii="Calibri" w:hAnsi="Calibri" w:cs="Calibri"/>
          <w:szCs w:val="24"/>
        </w:rPr>
        <w:t>Do mesmo modo, impende ressaltar hodiern</w:t>
      </w:r>
      <w:r w:rsidRPr="00FB5B67" w:rsidR="00E31B4E">
        <w:rPr>
          <w:rFonts w:ascii="Calibri" w:hAnsi="Calibri" w:cs="Calibri"/>
          <w:szCs w:val="24"/>
        </w:rPr>
        <w:t>o</w:t>
      </w:r>
      <w:r w:rsidRPr="00FB5B67">
        <w:rPr>
          <w:rFonts w:ascii="Calibri" w:hAnsi="Calibri" w:cs="Calibri"/>
          <w:szCs w:val="24"/>
        </w:rPr>
        <w:t xml:space="preserve"> </w:t>
      </w:r>
      <w:r w:rsidRPr="00FB5B67" w:rsidR="007F1685">
        <w:rPr>
          <w:rFonts w:ascii="Calibri" w:hAnsi="Calibri" w:cs="Calibri"/>
          <w:szCs w:val="24"/>
        </w:rPr>
        <w:t>entendimento</w:t>
      </w:r>
      <w:r w:rsidRPr="00FB5B67">
        <w:rPr>
          <w:rFonts w:ascii="Calibri" w:hAnsi="Calibri" w:cs="Calibri"/>
          <w:szCs w:val="24"/>
        </w:rPr>
        <w:t xml:space="preserve"> acerca da extensão da aplicação do art. 113, do Ato das Disposições Constitucionais Transitórias (ADCT) aos Estados e Municípios, que impõe a necessidade de apresentação de estimativa do impacto orçamentário e financeiro nas proposições legislativas que impliquem em renúncia de receita, </w:t>
      </w:r>
      <w:r w:rsidRPr="00FB5B67">
        <w:rPr>
          <w:rFonts w:ascii="Calibri" w:hAnsi="Calibri" w:cs="Calibri"/>
          <w:i/>
          <w:szCs w:val="24"/>
        </w:rPr>
        <w:t>in verbis:</w:t>
      </w:r>
    </w:p>
    <w:p w:rsidR="004421CB" w:rsidRPr="00FB5B67" w:rsidP="005E6E39">
      <w:pPr>
        <w:spacing w:after="240" w:line="240" w:lineRule="auto"/>
        <w:ind w:left="2268"/>
        <w:jc w:val="both"/>
        <w:rPr>
          <w:rFonts w:ascii="Calibri" w:hAnsi="Calibri" w:cs="Calibri"/>
          <w:sz w:val="22"/>
          <w:szCs w:val="22"/>
        </w:rPr>
      </w:pPr>
      <w:r w:rsidRPr="00FB5B67">
        <w:rPr>
          <w:rFonts w:ascii="Calibri" w:hAnsi="Calibri" w:cs="Calibri"/>
          <w:i/>
          <w:iCs/>
          <w:sz w:val="22"/>
          <w:szCs w:val="22"/>
        </w:rPr>
        <w:t xml:space="preserve">Art. 113. </w:t>
      </w:r>
      <w:r w:rsidRPr="00FB5B67">
        <w:rPr>
          <w:rFonts w:ascii="Calibri" w:hAnsi="Calibri" w:cs="Calibri"/>
          <w:b/>
          <w:bCs/>
          <w:i/>
          <w:iCs/>
          <w:sz w:val="22"/>
          <w:szCs w:val="22"/>
        </w:rPr>
        <w:t>A proposição legislativa</w:t>
      </w:r>
      <w:r w:rsidRPr="00FB5B67">
        <w:rPr>
          <w:rFonts w:ascii="Calibri" w:hAnsi="Calibri" w:cs="Calibri"/>
          <w:i/>
          <w:iCs/>
          <w:sz w:val="22"/>
          <w:szCs w:val="22"/>
        </w:rPr>
        <w:t xml:space="preserve"> que crie ou altere despesa obrigatória ou </w:t>
      </w:r>
      <w:r w:rsidRPr="00FB5B67">
        <w:rPr>
          <w:rFonts w:ascii="Calibri" w:hAnsi="Calibri" w:cs="Calibri"/>
          <w:b/>
          <w:bCs/>
          <w:i/>
          <w:iCs/>
          <w:sz w:val="22"/>
          <w:szCs w:val="22"/>
        </w:rPr>
        <w:t>renúncia de receita deverá ser acompanhada da estimativa do seu impacto orçamentário e financeiro</w:t>
      </w:r>
      <w:r w:rsidRPr="00FB5B67">
        <w:rPr>
          <w:rFonts w:ascii="Calibri" w:hAnsi="Calibri" w:cs="Calibri"/>
          <w:i/>
          <w:iCs/>
          <w:sz w:val="22"/>
          <w:szCs w:val="22"/>
        </w:rPr>
        <w:t>. (Incluído pela Emenda Constitucional nº 95, de 2016</w:t>
      </w:r>
      <w:r w:rsidRPr="00FB5B67">
        <w:rPr>
          <w:rFonts w:ascii="Calibri" w:hAnsi="Calibri" w:cs="Calibri"/>
          <w:sz w:val="22"/>
          <w:szCs w:val="22"/>
        </w:rPr>
        <w:t>)</w:t>
      </w:r>
    </w:p>
    <w:p w:rsidR="004421CB" w:rsidRPr="00FB5B67" w:rsidP="004C6A44">
      <w:pPr>
        <w:spacing w:before="100" w:beforeAutospacing="1" w:after="100" w:afterAutospacing="1" w:line="360" w:lineRule="auto"/>
        <w:ind w:firstLine="1701"/>
        <w:jc w:val="both"/>
        <w:rPr>
          <w:rStyle w:val="IntenseEmphasis"/>
          <w:rFonts w:ascii="Calibri" w:hAnsi="Calibri" w:cs="Calibri"/>
          <w:b w:val="0"/>
          <w:i w:val="0"/>
          <w:color w:val="auto"/>
          <w:szCs w:val="24"/>
        </w:rPr>
      </w:pPr>
      <w:r w:rsidRPr="00FB5B67">
        <w:rPr>
          <w:rStyle w:val="IntenseEmphasis"/>
          <w:rFonts w:ascii="Calibri" w:hAnsi="Calibri" w:cs="Calibri"/>
          <w:b w:val="0"/>
          <w:i w:val="0"/>
          <w:color w:val="auto"/>
          <w:szCs w:val="24"/>
        </w:rPr>
        <w:t>No q</w:t>
      </w:r>
      <w:r w:rsidR="005E6E39">
        <w:rPr>
          <w:rStyle w:val="IntenseEmphasis"/>
          <w:rFonts w:ascii="Calibri" w:hAnsi="Calibri" w:cs="Calibri"/>
          <w:b w:val="0"/>
          <w:i w:val="0"/>
          <w:color w:val="auto"/>
          <w:szCs w:val="24"/>
        </w:rPr>
        <w:t>ue tange ao alcance do art. 113,</w:t>
      </w:r>
      <w:r w:rsidRPr="00FB5B67">
        <w:rPr>
          <w:rStyle w:val="IntenseEmphasis"/>
          <w:rFonts w:ascii="Calibri" w:hAnsi="Calibri" w:cs="Calibri"/>
          <w:b w:val="0"/>
          <w:i w:val="0"/>
          <w:color w:val="auto"/>
          <w:szCs w:val="24"/>
        </w:rPr>
        <w:t xml:space="preserve"> do ADCT, cabe frisar que na jurisprudência do C. Órgão Especial do TJ-SP </w:t>
      </w:r>
      <w:r w:rsidRPr="00FB5B67" w:rsidR="002337C6">
        <w:rPr>
          <w:rStyle w:val="IntenseEmphasis"/>
          <w:rFonts w:ascii="Calibri" w:hAnsi="Calibri" w:cs="Calibri"/>
          <w:b w:val="0"/>
          <w:i w:val="0"/>
          <w:color w:val="auto"/>
          <w:szCs w:val="24"/>
        </w:rPr>
        <w:t>prevalecia</w:t>
      </w:r>
      <w:r w:rsidRPr="00FB5B67">
        <w:rPr>
          <w:rStyle w:val="IntenseEmphasis"/>
          <w:rFonts w:ascii="Calibri" w:hAnsi="Calibri" w:cs="Calibri"/>
          <w:b w:val="0"/>
          <w:i w:val="0"/>
          <w:color w:val="auto"/>
          <w:szCs w:val="24"/>
        </w:rPr>
        <w:t xml:space="preserve"> </w:t>
      </w:r>
      <w:r w:rsidRPr="00FB5B67" w:rsidR="002337C6">
        <w:rPr>
          <w:rStyle w:val="IntenseEmphasis"/>
          <w:rFonts w:ascii="Calibri" w:hAnsi="Calibri" w:cs="Calibri"/>
          <w:b w:val="0"/>
          <w:i w:val="0"/>
          <w:color w:val="auto"/>
          <w:szCs w:val="24"/>
        </w:rPr>
        <w:t>o</w:t>
      </w:r>
      <w:r w:rsidRPr="00FB5B67">
        <w:rPr>
          <w:rStyle w:val="IntenseEmphasis"/>
          <w:rFonts w:ascii="Calibri" w:hAnsi="Calibri" w:cs="Calibri"/>
          <w:b w:val="0"/>
          <w:i w:val="0"/>
          <w:color w:val="auto"/>
          <w:szCs w:val="24"/>
        </w:rPr>
        <w:t xml:space="preserve"> entendimento no sentido de sua inaplicabilidade aos Municípios, por não constituir norma de reprodução obrigatória, vejamos algumas decisões:</w:t>
      </w:r>
    </w:p>
    <w:p w:rsidR="004421CB" w:rsidRPr="00FB5B67" w:rsidP="005E6E39">
      <w:pPr>
        <w:spacing w:after="120" w:line="240" w:lineRule="auto"/>
        <w:ind w:left="2268"/>
        <w:jc w:val="both"/>
        <w:rPr>
          <w:rStyle w:val="IntenseEmphasis"/>
          <w:rFonts w:ascii="Calibri" w:hAnsi="Calibri" w:cs="Calibri"/>
          <w:b w:val="0"/>
          <w:bCs w:val="0"/>
          <w:color w:val="auto"/>
          <w:sz w:val="22"/>
          <w:szCs w:val="22"/>
        </w:rPr>
      </w:pPr>
      <w:r w:rsidRPr="00FB5B67">
        <w:rPr>
          <w:rStyle w:val="IntenseEmphasis"/>
          <w:rFonts w:ascii="Calibri" w:hAnsi="Calibri" w:cs="Calibri"/>
          <w:b w:val="0"/>
          <w:color w:val="auto"/>
          <w:sz w:val="22"/>
          <w:szCs w:val="22"/>
        </w:rPr>
        <w:t xml:space="preserve">Ação direta de inconstitucionalidade. Valinhos. Lei Municipal n. 5.872, de 28 de junho de 2019, que incluiu e alterou dispositivos do Código Tributário do Município de Valinhos (Lei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FB5B67">
        <w:rPr>
          <w:rStyle w:val="IntenseEmphasis"/>
          <w:rFonts w:ascii="Calibri" w:hAnsi="Calibri" w:cs="Calibri"/>
          <w:b w:val="0"/>
          <w:color w:val="auto"/>
          <w:sz w:val="22"/>
          <w:szCs w:val="22"/>
        </w:rPr>
        <w:t xml:space="preserve">municipal e dispositivos da Constituição da República de reprodução não </w:t>
      </w:r>
      <w:r w:rsidRPr="00FB5B67">
        <w:rPr>
          <w:rStyle w:val="IntenseEmphasis"/>
          <w:rFonts w:ascii="Calibri" w:hAnsi="Calibri" w:cs="Calibri"/>
          <w:b w:val="0"/>
          <w:color w:val="auto"/>
          <w:sz w:val="22"/>
          <w:szCs w:val="22"/>
        </w:rPr>
        <w:t>obrigatória e da Lei Orgânica Municipal</w:t>
      </w:r>
      <w:r w:rsidRPr="00FB5B67">
        <w:rPr>
          <w:rStyle w:val="IntenseEmphasis"/>
          <w:rFonts w:ascii="Calibri" w:hAnsi="Calibri" w:cs="Calibri"/>
          <w:b w:val="0"/>
          <w:color w:val="auto"/>
          <w:sz w:val="22"/>
          <w:szCs w:val="22"/>
        </w:rPr>
        <w:t xml:space="preserve">. Inadmissibilidade. Inteligência dos arts. 125, § 2º, da Constituição Federal, e 74, </w:t>
      </w:r>
      <w:r w:rsidRPr="00FB5B67">
        <w:rPr>
          <w:rStyle w:val="IntenseEmphasis"/>
          <w:rFonts w:ascii="Calibri" w:hAnsi="Calibri" w:cs="Calibri"/>
          <w:b w:val="0"/>
          <w:color w:val="auto"/>
          <w:sz w:val="22"/>
          <w:szCs w:val="22"/>
        </w:rPr>
        <w:t>VI</w:t>
      </w:r>
      <w:r w:rsidRPr="00FB5B67">
        <w:rPr>
          <w:rStyle w:val="IntenseEmphasis"/>
          <w:rFonts w:ascii="Calibri" w:hAnsi="Calibri" w:cs="Calibri"/>
          <w:b w:val="0"/>
          <w:color w:val="auto"/>
          <w:sz w:val="22"/>
          <w:szCs w:val="22"/>
        </w:rPr>
        <w:t>, da Constituição Paulista. Não incidência de IPTU sobre os imóveis situados fora da zona urbana que tenham até 500m</w:t>
      </w:r>
      <w:r w:rsidRPr="00FB5B67">
        <w:rPr>
          <w:rStyle w:val="IntenseEmphasis"/>
          <w:rFonts w:ascii="Calibri" w:hAnsi="Calibri" w:cs="Calibri"/>
          <w:b w:val="0"/>
          <w:color w:val="auto"/>
          <w:sz w:val="22"/>
          <w:szCs w:val="22"/>
        </w:rPr>
        <w:t>²</w:t>
      </w:r>
      <w:r w:rsidRPr="00FB5B67">
        <w:rPr>
          <w:rStyle w:val="IntenseEmphasis"/>
          <w:rFonts w:ascii="Calibri" w:hAnsi="Calibri" w:cs="Calibri"/>
          <w:b w:val="0"/>
          <w:color w:val="auto"/>
          <w:sz w:val="22"/>
          <w:szCs w:val="22"/>
        </w:rPr>
        <w:t xml:space="preserve"> e sejam destinados ao pequeno comércio ou vinculados à agropecuária, independentemente de ser oriundo do próprio imóvel. Lei local que dispôs sobre matéria tributária, cuja iniciativa não é reservada ao Chefe do Poder Executivo. Tema 682 do Supremo Tribunal Federal.</w:t>
      </w:r>
      <w:r w:rsidRPr="00FB5B67">
        <w:rPr>
          <w:rStyle w:val="IntenseEmphasis"/>
          <w:rFonts w:ascii="Calibri" w:hAnsi="Calibri" w:cs="Calibri"/>
          <w:color w:val="auto"/>
          <w:sz w:val="22"/>
          <w:szCs w:val="22"/>
        </w:rPr>
        <w:t xml:space="preserve"> </w:t>
      </w:r>
      <w:r w:rsidRPr="00FB5B67">
        <w:rPr>
          <w:rStyle w:val="IntenseEmphasis"/>
          <w:rFonts w:ascii="Calibri" w:hAnsi="Calibri" w:cs="Calibri"/>
          <w:color w:val="auto"/>
          <w:sz w:val="22"/>
          <w:szCs w:val="22"/>
          <w:u w:val="single"/>
        </w:rPr>
        <w:t>Inaplicabilidade do art. 113 do ADCT no âmbito dos Municípios. Precedentes do Supremo Tribunal Federal e deste Órgão Especial. Ação improcedente, na parcela conhecida</w:t>
      </w:r>
      <w:r w:rsidRPr="00FB5B67">
        <w:rPr>
          <w:rStyle w:val="IntenseEmphasis"/>
          <w:rFonts w:ascii="Calibri" w:hAnsi="Calibri" w:cs="Calibri"/>
          <w:color w:val="auto"/>
          <w:sz w:val="22"/>
          <w:szCs w:val="22"/>
        </w:rPr>
        <w:t xml:space="preserve">.  </w:t>
      </w:r>
      <w:r w:rsidRPr="00FB5B67">
        <w:rPr>
          <w:rFonts w:ascii="Calibri" w:hAnsi="Calibri" w:cs="Calibri"/>
          <w:i/>
          <w:iCs/>
          <w:sz w:val="22"/>
          <w:szCs w:val="22"/>
          <w:shd w:val="clear" w:color="auto" w:fill="FFFFFF"/>
        </w:rPr>
        <w:t>(Grifo nosso</w:t>
      </w:r>
      <w:r w:rsidRPr="00FB5B67">
        <w:rPr>
          <w:rFonts w:ascii="Calibri" w:hAnsi="Calibri" w:cs="Calibri"/>
          <w:i/>
          <w:iCs/>
          <w:sz w:val="22"/>
          <w:szCs w:val="22"/>
          <w:shd w:val="clear" w:color="auto" w:fill="FFFFFF"/>
        </w:rPr>
        <w:t>)</w:t>
      </w:r>
      <w:r w:rsidRPr="005E6E39">
        <w:rPr>
          <w:rFonts w:ascii="Calibri" w:hAnsi="Calibri" w:cs="Calibri"/>
          <w:i/>
          <w:iCs/>
          <w:sz w:val="20"/>
          <w:shd w:val="clear" w:color="auto" w:fill="FFFFFF"/>
        </w:rPr>
        <w:t>.</w:t>
      </w:r>
      <w:r w:rsidRPr="005E6E39">
        <w:rPr>
          <w:rStyle w:val="IntenseEmphasis"/>
          <w:rFonts w:ascii="Calibri" w:hAnsi="Calibri" w:cs="Calibri"/>
          <w:b w:val="0"/>
          <w:color w:val="auto"/>
          <w:sz w:val="20"/>
        </w:rPr>
        <w:t>(TJSP. Direta de Inconstitucionalidade 2000865-91.2020.8.26.0000; Relator (a): Antonio Celso Aguilar Cortez; Órgão Julgador: Órgão Especial; Tribunal de Justiça de São Paulo - N/A; Data do Julgamento: 14/10/2020; Data de Registro: 19/11/2020)</w:t>
      </w:r>
    </w:p>
    <w:p w:rsidR="004421CB" w:rsidRPr="00FB5B67" w:rsidP="005E6E39">
      <w:pPr>
        <w:pBdr>
          <w:bottom w:val="single" w:sz="12" w:space="1" w:color="auto"/>
        </w:pBdr>
        <w:spacing w:after="120" w:line="240" w:lineRule="auto"/>
        <w:ind w:left="2268"/>
        <w:jc w:val="both"/>
        <w:rPr>
          <w:rStyle w:val="IntenseEmphasis"/>
          <w:rFonts w:ascii="Calibri" w:hAnsi="Calibri" w:cs="Calibri"/>
          <w:b w:val="0"/>
          <w:bCs w:val="0"/>
          <w:color w:val="auto"/>
          <w:sz w:val="4"/>
          <w:szCs w:val="4"/>
        </w:rPr>
      </w:pPr>
    </w:p>
    <w:p w:rsidR="004421CB" w:rsidRPr="00FB5B67" w:rsidP="005E6E39">
      <w:pPr>
        <w:spacing w:after="120" w:line="240" w:lineRule="auto"/>
        <w:ind w:left="2268"/>
        <w:jc w:val="both"/>
        <w:rPr>
          <w:rStyle w:val="IntenseEmphasis"/>
          <w:rFonts w:ascii="Calibri" w:hAnsi="Calibri" w:cs="Calibri"/>
          <w:b w:val="0"/>
          <w:bCs w:val="0"/>
          <w:color w:val="auto"/>
          <w:sz w:val="4"/>
          <w:szCs w:val="4"/>
        </w:rPr>
      </w:pPr>
    </w:p>
    <w:p w:rsidR="004421CB" w:rsidP="005E6E39">
      <w:pPr>
        <w:spacing w:after="120" w:line="240" w:lineRule="auto"/>
        <w:ind w:left="2268"/>
        <w:jc w:val="both"/>
        <w:rPr>
          <w:rFonts w:ascii="Calibri" w:hAnsi="Calibri" w:cs="Calibri"/>
          <w:i/>
          <w:iCs/>
          <w:sz w:val="20"/>
          <w:shd w:val="clear" w:color="auto" w:fill="FFFFFF"/>
        </w:rPr>
      </w:pPr>
      <w:r w:rsidRPr="00FB5B67">
        <w:rPr>
          <w:rFonts w:ascii="Calibri" w:hAnsi="Calibri" w:cs="Calibri"/>
          <w:i/>
          <w:iCs/>
          <w:sz w:val="22"/>
          <w:szCs w:val="22"/>
          <w:shd w:val="clear" w:color="auto" w:fill="FFFFFF"/>
        </w:rPr>
        <w:t xml:space="preserve">Ação direta de inconstitucionalidade. </w:t>
      </w:r>
      <w:r w:rsidRPr="00FB5B67">
        <w:rPr>
          <w:rFonts w:ascii="Calibri" w:hAnsi="Calibri" w:cs="Calibri"/>
          <w:b/>
          <w:i/>
          <w:iCs/>
          <w:sz w:val="22"/>
          <w:szCs w:val="22"/>
          <w:shd w:val="clear" w:color="auto" w:fill="FFFFFF"/>
        </w:rPr>
        <w:t>Lei 5.936, de 27 de novembro de 2019, do Município de Valinhos, que "dispõe sobre a redução da taxa de aprovação de planta para edificação e regularização de construção, na forma que especifica". Vício de iniciativa. Inocorrência.</w:t>
      </w:r>
      <w:r w:rsidRPr="00FB5B67">
        <w:rPr>
          <w:rFonts w:ascii="Calibri" w:hAnsi="Calibri" w:cs="Calibri"/>
          <w:i/>
          <w:iCs/>
          <w:sz w:val="22"/>
          <w:szCs w:val="22"/>
          <w:shd w:val="clear" w:color="auto" w:fill="FFFFFF"/>
        </w:rPr>
        <w:t xml:space="preserve"> Norma de origem parlamentar que versa sobre matéria tributária, mais especificamente sobre a instituição de benefício fiscal em favor de determinada categoria de entidades atuantes no Município. Entendimento sedimentado pelo STF, em sede de repercussão geral, a asseverar que "Inexiste, na Constituição Federal de 1988, reserva de iniciativa para leis de natureza tributária, inclusive para as que concedem renúncia fiscal". Tema 682. </w:t>
      </w:r>
      <w:r w:rsidRPr="00FB5B67">
        <w:rPr>
          <w:rFonts w:ascii="Calibri" w:hAnsi="Calibri" w:cs="Calibri"/>
          <w:b/>
          <w:bCs/>
          <w:i/>
          <w:iCs/>
          <w:sz w:val="22"/>
          <w:szCs w:val="22"/>
          <w:shd w:val="clear" w:color="auto" w:fill="FFFFFF"/>
        </w:rPr>
        <w:t xml:space="preserve">Violação ao art.113, do ADCT, da CF. Não verificação. O art.106 da Emenda Constitucional n°95, de 15 de dezembro de 2016, que instituiu o "Novo Regime Fiscal", deixa claro que o âmbito de incidência de mencionado dispositivo se encontra restrito ao Orçamento Fiscal e da Seguridade Social da União, não sendo aplicável aos Municípios. Além disso, não se tratando de norma de reprodução ou observância </w:t>
      </w:r>
      <w:r w:rsidRPr="00FB5B67">
        <w:rPr>
          <w:rFonts w:ascii="Calibri" w:hAnsi="Calibri" w:cs="Calibri"/>
          <w:b/>
          <w:bCs/>
          <w:i/>
          <w:iCs/>
          <w:sz w:val="22"/>
          <w:szCs w:val="22"/>
          <w:shd w:val="clear" w:color="auto" w:fill="FFFFFF"/>
        </w:rPr>
        <w:t>obrigatórias</w:t>
      </w:r>
      <w:r w:rsidRPr="00FB5B67">
        <w:rPr>
          <w:rFonts w:ascii="Calibri" w:hAnsi="Calibri" w:cs="Calibri"/>
          <w:b/>
          <w:bCs/>
          <w:i/>
          <w:iCs/>
          <w:sz w:val="22"/>
          <w:szCs w:val="22"/>
          <w:shd w:val="clear" w:color="auto" w:fill="FFFFFF"/>
        </w:rPr>
        <w:t xml:space="preserve"> pelos Estados-membros e Municípios, o dispositivo do ADCT Federal não deve ser utilizado como parâmetro para a aferição da validade de lei municipal, sobretudo no controle abstrato de constitucionalidade realizado por Tribunal Estadual. Inteligência do art. 125, §2°, da CF. Entendimento prevalente do Colegiado. Recente julgado do STF confirmando referido posicionamento. Pedido julgado improcedente, revogada a liminar. </w:t>
      </w:r>
      <w:r w:rsidRPr="00FB5B67">
        <w:rPr>
          <w:rFonts w:ascii="Calibri" w:hAnsi="Calibri" w:cs="Calibri"/>
          <w:i/>
          <w:iCs/>
          <w:sz w:val="22"/>
          <w:szCs w:val="22"/>
          <w:shd w:val="clear" w:color="auto" w:fill="FFFFFF"/>
        </w:rPr>
        <w:t>(Grifo nosso</w:t>
      </w:r>
      <w:r w:rsidRPr="00FB5B67">
        <w:rPr>
          <w:rFonts w:ascii="Calibri" w:hAnsi="Calibri" w:cs="Calibri"/>
          <w:i/>
          <w:iCs/>
          <w:sz w:val="22"/>
          <w:szCs w:val="22"/>
          <w:shd w:val="clear" w:color="auto" w:fill="FFFFFF"/>
        </w:rPr>
        <w:t>).</w:t>
      </w:r>
      <w:r w:rsidRPr="005E6E39">
        <w:rPr>
          <w:rFonts w:ascii="Calibri" w:hAnsi="Calibri" w:cs="Calibri"/>
          <w:i/>
          <w:iCs/>
          <w:sz w:val="20"/>
          <w:shd w:val="clear" w:color="auto" w:fill="FFFFFF"/>
        </w:rPr>
        <w:t>(TJSP.  Direta de Inconstitucionalidade 2281123-41.2019.8.26.0000; Relator (a): Márcio Bartoli; Órgão Julgador: Órgão Especial; Tribunal de Justiça de São Paulo - N/A; Data do Julgamento: 14/10/2020; Data de Registro: 19/11/2020)</w:t>
      </w:r>
    </w:p>
    <w:p w:rsidR="005E6E39" w:rsidRPr="005E6E39" w:rsidP="005E6E39">
      <w:pPr>
        <w:spacing w:after="120" w:line="240" w:lineRule="auto"/>
        <w:ind w:left="2268"/>
        <w:jc w:val="both"/>
        <w:rPr>
          <w:rFonts w:ascii="Calibri" w:hAnsi="Calibri" w:cs="Calibri"/>
          <w:i/>
          <w:iCs/>
          <w:sz w:val="12"/>
          <w:szCs w:val="12"/>
          <w:shd w:val="clear" w:color="auto" w:fill="FFFFFF"/>
        </w:rPr>
      </w:pPr>
    </w:p>
    <w:p w:rsidR="004421CB" w:rsidRPr="00FB5B67" w:rsidP="004421CB">
      <w:pPr>
        <w:spacing w:after="240" w:line="360" w:lineRule="auto"/>
        <w:ind w:firstLine="1701"/>
        <w:jc w:val="both"/>
        <w:rPr>
          <w:rFonts w:ascii="Calibri" w:hAnsi="Calibri" w:cs="Calibri"/>
          <w:b/>
          <w:szCs w:val="24"/>
          <w:u w:val="single"/>
        </w:rPr>
      </w:pPr>
      <w:r w:rsidRPr="00FB5B67">
        <w:rPr>
          <w:rFonts w:ascii="Calibri" w:hAnsi="Calibri" w:cs="Calibri"/>
          <w:b/>
          <w:szCs w:val="24"/>
          <w:u w:val="single"/>
        </w:rPr>
        <w:t>Entretanto, a Suprema Corte firmou entendimento no sentido da extensão do art. 113, do ADCT aos Estados e Municípios, vejamos:</w:t>
      </w:r>
    </w:p>
    <w:p w:rsidR="004421CB" w:rsidRPr="00FB5B67" w:rsidP="005E6E39">
      <w:pPr>
        <w:autoSpaceDE w:val="0"/>
        <w:autoSpaceDN w:val="0"/>
        <w:adjustRightInd w:val="0"/>
        <w:spacing w:after="0" w:line="240" w:lineRule="auto"/>
        <w:ind w:left="2268"/>
        <w:jc w:val="both"/>
        <w:rPr>
          <w:rFonts w:ascii="Calibri" w:hAnsi="Calibri" w:cs="Calibri"/>
          <w:b/>
          <w:i/>
          <w:sz w:val="22"/>
          <w:szCs w:val="22"/>
        </w:rPr>
      </w:pPr>
      <w:r w:rsidRPr="00FB5B67">
        <w:rPr>
          <w:rFonts w:ascii="Calibri" w:hAnsi="Calibri" w:cs="Calibri"/>
          <w:b/>
          <w:i/>
          <w:sz w:val="22"/>
          <w:szCs w:val="22"/>
        </w:rPr>
        <w:t xml:space="preserve">RECURSO EXTRAORDINÁRIO 1.339.302 SÃO PAULO </w:t>
      </w:r>
    </w:p>
    <w:p w:rsidR="004421CB" w:rsidRPr="00FB5B67" w:rsidP="005E6E39">
      <w:pPr>
        <w:autoSpaceDE w:val="0"/>
        <w:autoSpaceDN w:val="0"/>
        <w:adjustRightInd w:val="0"/>
        <w:spacing w:after="0" w:line="240" w:lineRule="auto"/>
        <w:ind w:left="2268"/>
        <w:jc w:val="both"/>
        <w:rPr>
          <w:rFonts w:ascii="Calibri" w:hAnsi="Calibri" w:cs="Calibri"/>
          <w:b/>
          <w:i/>
          <w:sz w:val="22"/>
          <w:szCs w:val="22"/>
        </w:rPr>
      </w:pPr>
      <w:r w:rsidRPr="00FB5B67">
        <w:rPr>
          <w:rFonts w:ascii="Calibri" w:hAnsi="Calibri" w:cs="Calibri"/>
          <w:b/>
          <w:i/>
          <w:sz w:val="22"/>
          <w:szCs w:val="22"/>
        </w:rPr>
        <w:t>RELATOR :</w:t>
      </w:r>
      <w:r w:rsidRPr="00FB5B67">
        <w:rPr>
          <w:rFonts w:ascii="Calibri" w:hAnsi="Calibri" w:cs="Calibri"/>
          <w:b/>
          <w:i/>
          <w:sz w:val="22"/>
          <w:szCs w:val="22"/>
        </w:rPr>
        <w:t xml:space="preserve"> MIN. ALEXANDRE DE MORAES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RECTE.</w:t>
      </w:r>
      <w:r w:rsidRPr="00FB5B67">
        <w:rPr>
          <w:rFonts w:ascii="Calibri" w:hAnsi="Calibri" w:cs="Calibri"/>
          <w:i/>
          <w:sz w:val="22"/>
          <w:szCs w:val="22"/>
        </w:rPr>
        <w:t xml:space="preserve">(S) :PROCURADOR GERAL DE JUSTIÇA DO ESTADO DE SÃO PAULO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ADV.(A/S</w:t>
      </w:r>
      <w:r w:rsidRPr="00FB5B67">
        <w:rPr>
          <w:rFonts w:ascii="Calibri" w:hAnsi="Calibri" w:cs="Calibri"/>
          <w:i/>
          <w:sz w:val="22"/>
          <w:szCs w:val="22"/>
        </w:rPr>
        <w:t>) :</w:t>
      </w:r>
      <w:r w:rsidRPr="00FB5B67">
        <w:rPr>
          <w:rFonts w:ascii="Calibri" w:hAnsi="Calibri" w:cs="Calibri"/>
          <w:i/>
          <w:sz w:val="22"/>
          <w:szCs w:val="22"/>
        </w:rPr>
        <w:t xml:space="preserve">PROCURADOR-GERAL DE JUSTIÇA DO ESTADO DE SÃO PAULO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RECDO.</w:t>
      </w:r>
      <w:r w:rsidRPr="00FB5B67">
        <w:rPr>
          <w:rFonts w:ascii="Calibri" w:hAnsi="Calibri" w:cs="Calibri"/>
          <w:i/>
          <w:sz w:val="22"/>
          <w:szCs w:val="22"/>
        </w:rPr>
        <w:t xml:space="preserve">(A/S) :PRESIDENTE DA CÂMARA MUNICIPAL DE VALINHOS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ADV.(A/S</w:t>
      </w:r>
      <w:r w:rsidRPr="00FB5B67">
        <w:rPr>
          <w:rFonts w:ascii="Calibri" w:hAnsi="Calibri" w:cs="Calibri"/>
          <w:i/>
          <w:sz w:val="22"/>
          <w:szCs w:val="22"/>
        </w:rPr>
        <w:t>) :</w:t>
      </w:r>
      <w:r w:rsidRPr="00FB5B67">
        <w:rPr>
          <w:rFonts w:ascii="Calibri" w:hAnsi="Calibri" w:cs="Calibri"/>
          <w:i/>
          <w:sz w:val="22"/>
          <w:szCs w:val="22"/>
        </w:rPr>
        <w:t xml:space="preserve">ALINE CRISTINE PADILHA </w:t>
      </w:r>
    </w:p>
    <w:p w:rsidR="007F1685" w:rsidRPr="00FB5B67" w:rsidP="005E6E39">
      <w:pPr>
        <w:autoSpaceDE w:val="0"/>
        <w:autoSpaceDN w:val="0"/>
        <w:adjustRightInd w:val="0"/>
        <w:spacing w:after="0" w:line="240" w:lineRule="auto"/>
        <w:ind w:left="2268"/>
        <w:jc w:val="both"/>
        <w:rPr>
          <w:rFonts w:ascii="Calibri" w:hAnsi="Calibri" w:cs="Calibri"/>
          <w:b/>
          <w:i/>
          <w:sz w:val="4"/>
          <w:szCs w:val="4"/>
        </w:rPr>
      </w:pPr>
    </w:p>
    <w:p w:rsidR="004421CB" w:rsidRPr="00FB5B67" w:rsidP="005E6E39">
      <w:pPr>
        <w:autoSpaceDE w:val="0"/>
        <w:autoSpaceDN w:val="0"/>
        <w:adjustRightInd w:val="0"/>
        <w:spacing w:after="0" w:line="240" w:lineRule="auto"/>
        <w:ind w:left="2268"/>
        <w:jc w:val="both"/>
        <w:rPr>
          <w:rFonts w:ascii="Calibri" w:hAnsi="Calibri" w:cs="Calibri"/>
          <w:b/>
          <w:i/>
          <w:sz w:val="22"/>
          <w:szCs w:val="22"/>
        </w:rPr>
      </w:pPr>
      <w:r w:rsidRPr="00FB5B67">
        <w:rPr>
          <w:rFonts w:ascii="Calibri" w:hAnsi="Calibri" w:cs="Calibri"/>
          <w:b/>
          <w:i/>
          <w:sz w:val="22"/>
          <w:szCs w:val="22"/>
        </w:rPr>
        <w:t xml:space="preserve">DECISÃO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Trata-se de Recurso Extraordinário interposto em face de acórdão proferido pelo Órgão Especial do Tribunal de Justiça do Estado de São Paulo em sede de Ação Direta de Inconstitucionalidade.</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Na origem, o Prefeito do Município de Valinhos propôs Ação Direta de Inconstitucionalidade, com pedido de medida cautelar, em face da Lei Municipal 5.872/2019, de iniciativa parlamentar, que dispõe sobre alteração e inclusão de dispositivos legais constantes da Lei 3.915/2005 (Código Tributário Municipal), acrescentando hipóteses de isenção do Imposto Predial e Territorial Urbano – IPTU, bem como novas modalidades de incidência de taxa (Doc. </w:t>
      </w:r>
      <w:r w:rsidRPr="00FB5B67">
        <w:rPr>
          <w:rFonts w:ascii="Calibri" w:hAnsi="Calibri" w:cs="Calibri"/>
          <w:i/>
          <w:sz w:val="22"/>
          <w:szCs w:val="22"/>
        </w:rPr>
        <w:t>1</w:t>
      </w: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O Órgão Especial do Tribunal de Justiça do Estado de São Paulo julgou improcedente a Ação, em acórdão assim ementado (fl. 2, Doc. </w:t>
      </w:r>
      <w:r w:rsidRPr="00FB5B67">
        <w:rPr>
          <w:rFonts w:ascii="Calibri" w:hAnsi="Calibri" w:cs="Calibri"/>
          <w:i/>
          <w:sz w:val="22"/>
          <w:szCs w:val="22"/>
        </w:rPr>
        <w:t>6</w:t>
      </w: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552"/>
        <w:jc w:val="both"/>
        <w:rPr>
          <w:rFonts w:ascii="Calibri" w:hAnsi="Calibri" w:cs="Calibri"/>
          <w:i/>
          <w:sz w:val="22"/>
          <w:szCs w:val="22"/>
        </w:rPr>
      </w:pPr>
      <w:r w:rsidRPr="00FB5B67">
        <w:rPr>
          <w:rFonts w:ascii="Calibri" w:hAnsi="Calibri" w:cs="Calibri"/>
          <w:i/>
          <w:sz w:val="22"/>
          <w:szCs w:val="22"/>
        </w:rPr>
        <w:t xml:space="preserve">“Ação direta de inconstitucionalidade. Valinhos. Lei Municipal n. 5.872, de 28 de junho de 2019, que incluiu e alterou dispositivo do Código Tributário do Município de Valinhos (Lei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FB5B67">
        <w:rPr>
          <w:rFonts w:ascii="Calibri" w:hAnsi="Calibri" w:cs="Calibri"/>
          <w:i/>
          <w:sz w:val="22"/>
          <w:szCs w:val="22"/>
        </w:rPr>
        <w:t>municipal e dispositivos da Constituição da República de reprodução não obrigatória e da Lei Orgânica Municipal</w:t>
      </w:r>
      <w:r w:rsidRPr="00FB5B67">
        <w:rPr>
          <w:rFonts w:ascii="Calibri" w:hAnsi="Calibri" w:cs="Calibri"/>
          <w:i/>
          <w:sz w:val="22"/>
          <w:szCs w:val="22"/>
        </w:rPr>
        <w:t xml:space="preserve">. Inadmissibilidade. Inteligência dos arts. 125, § 2º, da Constituição Federal, e 74, IV, da Constituição Paulista. Não incidência de IPTU sobre imóveis situados fora da zona urbana que tenham até 500m² e sejam destinados ao pequeno comércio ou vinculados à agropecuária, independentemente de ser oriundo do próprio imóvel. Lei local que dispôs sobre matéria tributária, cuja iniciativa não é reservada ao Chefe do Poder </w:t>
      </w:r>
      <w:r w:rsidRPr="00FB5B67">
        <w:rPr>
          <w:rFonts w:ascii="Calibri" w:hAnsi="Calibri" w:cs="Calibri"/>
          <w:i/>
          <w:sz w:val="22"/>
          <w:szCs w:val="22"/>
        </w:rPr>
        <w:t>Executivo. Tema 682 do Supremo Tribunal Federal. Inaplicabilidade do art. 113 do ADCT no âmbito dos Municípios. Precedentes do Supremo Tribunal Federal e deste Órgão Especial. Ação improcedente, na parcela conhecida.”</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No RE (Doc. 10), interposto com amparo no art. 102, III, “a”, da Constituição Federal, o Procurador-Geral de Justiça do Estado de São Paulo sustenta que o acórdão recorrido, ao reconhecer a constitucionalidade de lei municipal que estabelece hipótese de não incidência do IPTU, implicando em renúncia de receita tributária, violou o disposto no art. 113 do ADCT - o qual estabelece que a proposição legislativa que cria ou altera despesa obrigatória ou renúncia de receitas deverá ser acompanhada de estimativa do seu impacto orçamentário e financeiro.</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É o relatório. Decido.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Cuida-se de matéria eminentemente constitucional, devidamente </w:t>
      </w:r>
      <w:r w:rsidRPr="00FB5B67">
        <w:rPr>
          <w:rFonts w:ascii="Calibri" w:hAnsi="Calibri" w:cs="Calibri"/>
          <w:i/>
          <w:sz w:val="22"/>
          <w:szCs w:val="22"/>
        </w:rPr>
        <w:t>prequestionada</w:t>
      </w:r>
      <w:r w:rsidRPr="00FB5B67">
        <w:rPr>
          <w:rFonts w:ascii="Calibri" w:hAnsi="Calibri" w:cs="Calibri"/>
          <w:i/>
          <w:sz w:val="22"/>
          <w:szCs w:val="22"/>
        </w:rPr>
        <w:t xml:space="preserve"> na instância de origem. Ausentes outros óbices processuais, passo à análise do mérito.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Eis o teor da Lei 5.872/2019 do Município de Valinhos, que incluiu e alterou dispositivos legais no Código Tributário Municipal - Lei Municipal 3.915/2005:</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Conforme se verifica da leitura acima, a norma municipal impugnada instituiu hipótese de não incidência do IPTU sobre imóvel localizado fora da zona urbana do Município que tenha até 500 m² de sua área total e seja destinado à instalação de atividade de comércio e serviços de pequeno porte ou vinculadas à agropecuária, independentemente de ser produção oriunda do próprio imóvel, o que, indiscutivelmente, implica em redução das receitas municipais.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Mostra-se incontroverso dos autos que o processo legislativo correspondente à Lei Municipal supracitada ocorreu sem análise do respectivo impacto orçamentário e financeiro.</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Por sua vez, o Tribunal de origem afastou a incidência do artigo 113 do ADCT e julgou improcedente a Ação Direta, reconhecendo a constitucionalidade da Lei 5.872/2019 do Município de Valinhos. Por oportuno, veja-se o seguinte trecho do acórdão recorrido na parte que aqui interessa (fl. 10, Doc. </w:t>
      </w:r>
      <w:r w:rsidRPr="00FB5B67">
        <w:rPr>
          <w:rFonts w:ascii="Calibri" w:hAnsi="Calibri" w:cs="Calibri"/>
          <w:i/>
          <w:sz w:val="22"/>
          <w:szCs w:val="22"/>
        </w:rPr>
        <w:t>6</w:t>
      </w: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A respeito da matéria, o Plenário do SUPREMO TRIBUNAL FEDERAL, no julgamento da ADI 5.816, de minha relatoria, firmou entendimento no sentido de que o art. 113 do ADCT, inserido pela Emenda Constitucional 95/2016, é de observância obrigatória a todos os entes federados. Veja-se a ementa do referido julgado:</w:t>
      </w:r>
    </w:p>
    <w:p w:rsidR="004421CB" w:rsidRPr="00FB5B67" w:rsidP="005E6E39">
      <w:pPr>
        <w:autoSpaceDE w:val="0"/>
        <w:autoSpaceDN w:val="0"/>
        <w:adjustRightInd w:val="0"/>
        <w:spacing w:after="0" w:line="240" w:lineRule="auto"/>
        <w:ind w:left="2268"/>
        <w:jc w:val="both"/>
        <w:rPr>
          <w:rFonts w:ascii="Calibri" w:hAnsi="Calibri" w:cs="Calibri"/>
          <w:i/>
          <w:sz w:val="12"/>
          <w:szCs w:val="12"/>
        </w:rPr>
      </w:pPr>
    </w:p>
    <w:p w:rsidR="004421CB" w:rsidRPr="00FB5B67" w:rsidP="005E6E39">
      <w:pPr>
        <w:autoSpaceDE w:val="0"/>
        <w:autoSpaceDN w:val="0"/>
        <w:adjustRightInd w:val="0"/>
        <w:spacing w:after="0" w:line="240" w:lineRule="auto"/>
        <w:ind w:left="2552"/>
        <w:jc w:val="both"/>
        <w:rPr>
          <w:rFonts w:ascii="Calibri" w:hAnsi="Calibri" w:cs="Calibri"/>
          <w:i/>
          <w:sz w:val="22"/>
          <w:szCs w:val="22"/>
        </w:rPr>
      </w:pPr>
      <w:r w:rsidRPr="00FB5B67">
        <w:rPr>
          <w:rFonts w:ascii="Calibri" w:hAnsi="Calibri" w:cs="Calibri"/>
          <w:i/>
          <w:sz w:val="22"/>
          <w:szCs w:val="22"/>
        </w:rPr>
        <w:t>“CONSTITUCIONAL.</w:t>
      </w:r>
      <w:r w:rsidRPr="00FB5B67">
        <w:rPr>
          <w:rFonts w:ascii="Calibri" w:hAnsi="Calibri" w:cs="Calibri"/>
          <w:i/>
          <w:sz w:val="22"/>
          <w:szCs w:val="22"/>
        </w:rPr>
        <w:t xml:space="preserve"> TRIBUTÁRIO. IMUNIDADE DE IGREJAS E TEMPLOS DE QUALQUER CRENÇA. ICMS. TRIBUTAÇÃO INDIRETA. GUERRA FISCAL. CONCESSÃO DE BENEFÍCIO FISCAL E ANÁLISE DE IMPACTO ORÇAMENTÁRIO. ART. 113 DO ADCT (REDAÇÃO DA EC 95/2016). EXTENSÃO A TODOS OS ENTES FEDERATIVOS. INCONSTITUCIONALIDADE. </w:t>
      </w:r>
    </w:p>
    <w:p w:rsidR="004421CB" w:rsidRPr="00FB5B67" w:rsidP="005E6E39">
      <w:pPr>
        <w:autoSpaceDE w:val="0"/>
        <w:autoSpaceDN w:val="0"/>
        <w:adjustRightInd w:val="0"/>
        <w:spacing w:after="0" w:line="240" w:lineRule="auto"/>
        <w:ind w:left="2552"/>
        <w:jc w:val="both"/>
        <w:rPr>
          <w:rFonts w:ascii="Calibri" w:hAnsi="Calibri" w:cs="Calibri"/>
          <w:i/>
          <w:sz w:val="22"/>
          <w:szCs w:val="22"/>
        </w:rPr>
      </w:pPr>
      <w:r w:rsidRPr="00FB5B67">
        <w:rPr>
          <w:rFonts w:ascii="Calibri" w:hAnsi="Calibri" w:cs="Calibri"/>
          <w:i/>
          <w:sz w:val="22"/>
          <w:szCs w:val="22"/>
        </w:rPr>
        <w:t xml:space="preserve">1. A imunidade de templos não afasta a incidência de tributos sobre operações em que as entidades imunes figurem como contribuintes de fato. Precedentes. </w:t>
      </w:r>
    </w:p>
    <w:p w:rsidR="004421CB" w:rsidRPr="00FB5B67" w:rsidP="005E6E39">
      <w:pPr>
        <w:autoSpaceDE w:val="0"/>
        <w:autoSpaceDN w:val="0"/>
        <w:adjustRightInd w:val="0"/>
        <w:spacing w:after="0" w:line="240" w:lineRule="auto"/>
        <w:ind w:left="2552"/>
        <w:jc w:val="both"/>
        <w:rPr>
          <w:rFonts w:ascii="Calibri" w:hAnsi="Calibri" w:cs="Calibri"/>
          <w:i/>
          <w:sz w:val="22"/>
          <w:szCs w:val="22"/>
        </w:rPr>
      </w:pPr>
      <w:r w:rsidRPr="00FB5B67">
        <w:rPr>
          <w:rFonts w:ascii="Calibri" w:hAnsi="Calibri" w:cs="Calibri"/>
          <w:i/>
          <w:sz w:val="22"/>
          <w:szCs w:val="22"/>
        </w:rPr>
        <w:t xml:space="preserve">2. A norma estadual, ao pretender ampliar o alcance da imunidade prevista na Constituição, veiculou benefício fiscal em matéria de ICMS, 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w:t>
      </w:r>
    </w:p>
    <w:p w:rsidR="004421CB" w:rsidRPr="00FB5B67" w:rsidP="005E6E39">
      <w:pPr>
        <w:autoSpaceDE w:val="0"/>
        <w:autoSpaceDN w:val="0"/>
        <w:adjustRightInd w:val="0"/>
        <w:spacing w:after="0" w:line="240" w:lineRule="auto"/>
        <w:ind w:left="2552"/>
        <w:jc w:val="both"/>
        <w:rPr>
          <w:rFonts w:ascii="Calibri" w:hAnsi="Calibri" w:cs="Calibri"/>
          <w:i/>
          <w:sz w:val="22"/>
          <w:szCs w:val="22"/>
        </w:rPr>
      </w:pPr>
      <w:r w:rsidRPr="00FB5B67">
        <w:rPr>
          <w:rFonts w:ascii="Calibri" w:hAnsi="Calibri" w:cs="Calibri"/>
          <w:i/>
          <w:sz w:val="22"/>
          <w:szCs w:val="22"/>
        </w:rPr>
        <w:t>3.</w:t>
      </w:r>
      <w:r w:rsidRPr="00FB5B67">
        <w:rPr>
          <w:rFonts w:ascii="Calibri" w:hAnsi="Calibri" w:cs="Calibri"/>
          <w:b/>
          <w:i/>
          <w:sz w:val="22"/>
          <w:szCs w:val="22"/>
        </w:rPr>
        <w:t xml:space="preserve"> </w:t>
      </w:r>
      <w:r w:rsidRPr="005E6E39">
        <w:rPr>
          <w:rFonts w:ascii="Calibri" w:hAnsi="Calibri" w:cs="Calibri"/>
          <w:b/>
          <w:i/>
          <w:szCs w:val="24"/>
          <w:u w:val="single"/>
        </w:rPr>
        <w:t xml:space="preserve">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w:t>
      </w:r>
      <w:r w:rsidRPr="005E6E39">
        <w:rPr>
          <w:rFonts w:ascii="Calibri" w:hAnsi="Calibri" w:cs="Calibri"/>
          <w:b/>
          <w:i/>
          <w:szCs w:val="24"/>
          <w:u w:val="single"/>
        </w:rPr>
        <w:t>dirigi-se</w:t>
      </w:r>
      <w:r w:rsidRPr="005E6E39">
        <w:rPr>
          <w:rFonts w:ascii="Calibri" w:hAnsi="Calibri" w:cs="Calibri"/>
          <w:b/>
          <w:i/>
          <w:szCs w:val="24"/>
          <w:u w:val="single"/>
        </w:rPr>
        <w:t xml:space="preserve"> a todos os níveis federativos.</w:t>
      </w:r>
      <w:r w:rsidRPr="00FB5B67">
        <w:rPr>
          <w:rFonts w:ascii="Calibri" w:hAnsi="Calibri" w:cs="Calibri"/>
          <w:b/>
          <w:i/>
          <w:sz w:val="22"/>
          <w:szCs w:val="22"/>
        </w:rPr>
        <w:t xml:space="preserve"> </w:t>
      </w:r>
    </w:p>
    <w:p w:rsidR="004421CB" w:rsidRPr="00FB5B67" w:rsidP="005E6E39">
      <w:pPr>
        <w:autoSpaceDE w:val="0"/>
        <w:autoSpaceDN w:val="0"/>
        <w:adjustRightInd w:val="0"/>
        <w:spacing w:after="0" w:line="240" w:lineRule="auto"/>
        <w:ind w:left="2552"/>
        <w:jc w:val="both"/>
        <w:rPr>
          <w:rFonts w:ascii="Calibri" w:hAnsi="Calibri" w:cs="Calibri"/>
          <w:i/>
          <w:sz w:val="22"/>
          <w:szCs w:val="22"/>
        </w:rPr>
      </w:pPr>
      <w:r w:rsidRPr="00FB5B67">
        <w:rPr>
          <w:rFonts w:ascii="Calibri" w:hAnsi="Calibri" w:cs="Calibri"/>
          <w:i/>
          <w:sz w:val="22"/>
          <w:szCs w:val="22"/>
        </w:rPr>
        <w:t xml:space="preserve">4. </w:t>
      </w:r>
      <w:r w:rsidRPr="00FB5B67">
        <w:rPr>
          <w:rFonts w:ascii="Calibri" w:hAnsi="Calibri" w:cs="Calibri"/>
          <w:i/>
          <w:sz w:val="22"/>
          <w:szCs w:val="22"/>
        </w:rPr>
        <w:t>Medida cautelar confirmada e Ação Direta julgada procedente.”</w:t>
      </w:r>
      <w:r w:rsidRPr="00FB5B67">
        <w:rPr>
          <w:rFonts w:ascii="Calibri" w:hAnsi="Calibri" w:cs="Calibri"/>
          <w:i/>
          <w:sz w:val="22"/>
          <w:szCs w:val="22"/>
        </w:rPr>
        <w:t xml:space="preserve"> (Tribunal Pleno, </w:t>
      </w:r>
      <w:r w:rsidRPr="00FB5B67">
        <w:rPr>
          <w:rFonts w:ascii="Calibri" w:hAnsi="Calibri" w:cs="Calibri"/>
          <w:i/>
          <w:sz w:val="22"/>
          <w:szCs w:val="22"/>
        </w:rPr>
        <w:t>DJe</w:t>
      </w:r>
      <w:r w:rsidRPr="00FB5B67">
        <w:rPr>
          <w:rFonts w:ascii="Calibri" w:hAnsi="Calibri" w:cs="Calibri"/>
          <w:i/>
          <w:sz w:val="22"/>
          <w:szCs w:val="22"/>
        </w:rPr>
        <w:t xml:space="preserve"> de 26/11/2019 – grifo nosso)</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O Tribunal de origem divergiu desse entendimento, razão pela qual o acórdão recorrido merece ser reformado.</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Diante do exposto, com base no art. 21, §§ 1º e 2º, do Regimento Interno do Supremo Tribunal Federal, DOU PROVIMENTO AO RECURSO EXTRAORDINÁRIO, para julgar procedente o pedido e declarar a inconstitucionalidade da Lei 5.872, de 28 de junho de 2019, do Município de Valinhos.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Publique-se.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 xml:space="preserve">Brasília, 27 de agosto de 2021. </w:t>
      </w:r>
    </w:p>
    <w:p w:rsidR="004421CB" w:rsidRPr="00FB5B67" w:rsidP="005E6E39">
      <w:pPr>
        <w:autoSpaceDE w:val="0"/>
        <w:autoSpaceDN w:val="0"/>
        <w:adjustRightInd w:val="0"/>
        <w:spacing w:after="0" w:line="240" w:lineRule="auto"/>
        <w:ind w:left="2268"/>
        <w:jc w:val="both"/>
        <w:rPr>
          <w:rFonts w:ascii="Calibri" w:hAnsi="Calibri" w:cs="Calibri"/>
          <w:i/>
          <w:sz w:val="22"/>
          <w:szCs w:val="22"/>
        </w:rPr>
      </w:pPr>
      <w:r w:rsidRPr="00FB5B67">
        <w:rPr>
          <w:rFonts w:ascii="Calibri" w:hAnsi="Calibri" w:cs="Calibri"/>
          <w:i/>
          <w:sz w:val="22"/>
          <w:szCs w:val="22"/>
        </w:rPr>
        <w:t>Ministro ALEXANDRE DE MORAES - Relator</w:t>
      </w:r>
    </w:p>
    <w:p w:rsidR="004421CB" w:rsidRPr="00FB5B67" w:rsidP="005E6E39">
      <w:pPr>
        <w:pBdr>
          <w:bottom w:val="single" w:sz="12" w:space="1" w:color="auto"/>
        </w:pBdr>
        <w:autoSpaceDE w:val="0"/>
        <w:autoSpaceDN w:val="0"/>
        <w:adjustRightInd w:val="0"/>
        <w:spacing w:after="0" w:line="240" w:lineRule="auto"/>
        <w:ind w:left="2268"/>
        <w:jc w:val="both"/>
        <w:rPr>
          <w:rFonts w:ascii="Calibri" w:hAnsi="Calibri" w:cs="Calibri"/>
          <w:sz w:val="4"/>
          <w:szCs w:val="4"/>
        </w:rPr>
      </w:pPr>
    </w:p>
    <w:p w:rsidR="004421CB" w:rsidRPr="00FB5B67" w:rsidP="005E6E39">
      <w:pPr>
        <w:autoSpaceDE w:val="0"/>
        <w:autoSpaceDN w:val="0"/>
        <w:adjustRightInd w:val="0"/>
        <w:spacing w:after="0" w:line="240" w:lineRule="auto"/>
        <w:ind w:left="2268"/>
        <w:jc w:val="both"/>
        <w:rPr>
          <w:rFonts w:ascii="Calibri" w:hAnsi="Calibri" w:eastAsiaTheme="minorHAnsi" w:cs="Calibri"/>
          <w:b/>
          <w:bCs/>
          <w:i/>
          <w:sz w:val="4"/>
          <w:szCs w:val="4"/>
          <w:lang w:eastAsia="en-US"/>
        </w:rPr>
      </w:pPr>
    </w:p>
    <w:p w:rsidR="004421CB" w:rsidRPr="00FB5B67" w:rsidP="005E6E39">
      <w:pPr>
        <w:autoSpaceDE w:val="0"/>
        <w:autoSpaceDN w:val="0"/>
        <w:adjustRightInd w:val="0"/>
        <w:spacing w:after="0" w:line="240" w:lineRule="auto"/>
        <w:ind w:left="2268"/>
        <w:jc w:val="both"/>
        <w:rPr>
          <w:rFonts w:ascii="Calibri" w:hAnsi="Calibri" w:eastAsiaTheme="minorHAnsi" w:cs="Calibri"/>
          <w:b/>
          <w:bCs/>
          <w:i/>
          <w:sz w:val="22"/>
          <w:szCs w:val="22"/>
          <w:lang w:eastAsia="en-US"/>
        </w:rPr>
      </w:pPr>
      <w:r w:rsidRPr="00FB5B67">
        <w:rPr>
          <w:rFonts w:ascii="Calibri" w:hAnsi="Calibri" w:eastAsiaTheme="minorHAnsi" w:cs="Calibri"/>
          <w:b/>
          <w:bCs/>
          <w:i/>
          <w:sz w:val="22"/>
          <w:szCs w:val="22"/>
          <w:lang w:eastAsia="en-US"/>
        </w:rPr>
        <w:t xml:space="preserve">AÇÃO DIRETA DE INCONSTITUCIONALIDADE. DIREITO TRIBUTÁRIO E FINANCEIRO. LEI Nº 1.293, DE 29 DE NOVEMBRO DE 2018, DO ESTADO DE RORAIMA. ISENÇÃO DO IMPOSTO SOBRE A PROPRIEDADE DE VEÍCULOS AUTOMOTORES (IPVA) PARA PESSOAS PORTADORAS DE DOENÇAS GRAVES. ALEGAÇÃO DE OFENSA AOS </w:t>
      </w:r>
      <w:r w:rsidRPr="00FB5B67">
        <w:rPr>
          <w:rFonts w:ascii="Calibri" w:hAnsi="Calibri" w:eastAsiaTheme="minorHAnsi" w:cs="Calibri"/>
          <w:b/>
          <w:bCs/>
          <w:i/>
          <w:sz w:val="22"/>
          <w:szCs w:val="22"/>
          <w:lang w:eastAsia="en-US"/>
        </w:rPr>
        <w:t xml:space="preserve">ARTIGOS 150, II, DA CONSTITUIÇÃO FEDERAL, E 113 DO ATO DAS DISPOSIÇÕES CONSTITUCIONAIS TRANSITÓRIAS – ADCT. O ARTIGO 113 DO ADCT DIRIGE-SE A TODOS OS ENTES FEDERATIVOS. RENÚNCIA DE RECEITA SEM ESTIMATIVA DE IMPACTO ORÇAMENTÁRIO E FINANCEIRO DA LEI IMPUGNADA. INCONSTITUCIONALIDADE FORMAL RECONHECIDA. AUSÊNCIA DE VIOLAÇÃO DO ARTIGO 150, II, DA CARTA MAGNA: CARÁER EXTRAFISCAL DA ISENÇÃO COMO CONCRETIZAÇÃO DA IGUALDADE MATERIAL. PRECEDENTES. AÇÃO DIRETA CONHECIDA E JULGADA PROCEDENTE. MODULAÇÃO DOS EFEITOS DA DECISÃO. </w:t>
      </w:r>
    </w:p>
    <w:p w:rsidR="004421CB" w:rsidRPr="00FB5B67" w:rsidP="005E6E39">
      <w:pPr>
        <w:autoSpaceDE w:val="0"/>
        <w:autoSpaceDN w:val="0"/>
        <w:adjustRightInd w:val="0"/>
        <w:spacing w:after="0" w:line="240" w:lineRule="auto"/>
        <w:ind w:left="2268"/>
        <w:jc w:val="both"/>
        <w:rPr>
          <w:rFonts w:ascii="Calibri" w:hAnsi="Calibri" w:eastAsiaTheme="minorHAnsi" w:cs="Calibri"/>
          <w:i/>
          <w:sz w:val="22"/>
          <w:szCs w:val="22"/>
          <w:lang w:eastAsia="en-US"/>
        </w:rPr>
      </w:pPr>
      <w:r w:rsidRPr="00FB5B67">
        <w:rPr>
          <w:rFonts w:ascii="Calibri" w:hAnsi="Calibri" w:eastAsiaTheme="minorHAnsi" w:cs="Calibri"/>
          <w:b/>
          <w:bCs/>
          <w:i/>
          <w:sz w:val="22"/>
          <w:szCs w:val="22"/>
          <w:lang w:eastAsia="en-US"/>
        </w:rPr>
        <w:t xml:space="preserve">1. </w:t>
      </w:r>
      <w:r w:rsidRPr="00FB5B67">
        <w:rPr>
          <w:rFonts w:ascii="Calibri" w:hAnsi="Calibri" w:eastAsiaTheme="minorHAnsi" w:cs="Calibri"/>
          <w:i/>
          <w:sz w:val="22"/>
          <w:szCs w:val="22"/>
          <w:lang w:eastAsia="en-US"/>
        </w:rPr>
        <w:t>A Lei nº 1.293/2018 do Estado de Roraima gera renúncia de receita de forma a acarretar impacto orçamentário. A ausência de prévia instrução da proposta legislativa com a estimativa do impacto financeiro e orçamentário, nos termos do art. 113 do ADCT, aplicável a todos os entes federativos, implica inconstitucionalidade formal.</w:t>
      </w:r>
    </w:p>
    <w:p w:rsidR="004421CB" w:rsidRPr="00FB5B67" w:rsidP="005E6E39">
      <w:pPr>
        <w:autoSpaceDE w:val="0"/>
        <w:autoSpaceDN w:val="0"/>
        <w:adjustRightInd w:val="0"/>
        <w:spacing w:after="0" w:line="240" w:lineRule="auto"/>
        <w:ind w:left="2268"/>
        <w:jc w:val="both"/>
        <w:rPr>
          <w:rFonts w:ascii="Calibri" w:hAnsi="Calibri" w:eastAsiaTheme="minorHAnsi" w:cs="Calibri"/>
          <w:i/>
          <w:sz w:val="22"/>
          <w:szCs w:val="22"/>
          <w:lang w:eastAsia="en-US"/>
        </w:rPr>
      </w:pPr>
      <w:r w:rsidRPr="00FB5B67">
        <w:rPr>
          <w:rFonts w:ascii="Calibri" w:hAnsi="Calibri" w:eastAsiaTheme="minorHAnsi" w:cs="Calibri"/>
          <w:b/>
          <w:bCs/>
          <w:i/>
          <w:sz w:val="22"/>
          <w:szCs w:val="22"/>
          <w:lang w:eastAsia="en-US"/>
        </w:rPr>
        <w:t xml:space="preserve">2. </w:t>
      </w:r>
      <w:r w:rsidRPr="00FB5B67">
        <w:rPr>
          <w:rFonts w:ascii="Calibri" w:hAnsi="Calibri" w:eastAsiaTheme="minorHAnsi" w:cs="Calibri"/>
          <w:i/>
          <w:sz w:val="22"/>
          <w:szCs w:val="22"/>
          <w:lang w:eastAsia="en-US"/>
        </w:rPr>
        <w:t>A previsão de incentivos fiscais para atenuar situações caracterizadoras de vulnerabilidades, como ocorre com os portadores de doenças graves, não agride o princípio da isonomia tributária. Função extrafiscal, sem desbordar do princípio da proporcionalidade. Previsão abstrata e impessoal. Precedentes. Ausência de inconstitucionalidade material.</w:t>
      </w:r>
    </w:p>
    <w:p w:rsidR="004421CB" w:rsidRPr="00FB5B67" w:rsidP="005E6E39">
      <w:pPr>
        <w:autoSpaceDE w:val="0"/>
        <w:autoSpaceDN w:val="0"/>
        <w:adjustRightInd w:val="0"/>
        <w:spacing w:after="0" w:line="240" w:lineRule="auto"/>
        <w:ind w:left="2268"/>
        <w:jc w:val="both"/>
        <w:rPr>
          <w:rFonts w:ascii="Calibri" w:hAnsi="Calibri" w:eastAsiaTheme="minorHAnsi" w:cs="Calibri"/>
          <w:i/>
          <w:sz w:val="22"/>
          <w:szCs w:val="22"/>
          <w:lang w:eastAsia="en-US"/>
        </w:rPr>
      </w:pPr>
      <w:r w:rsidRPr="00FB5B67">
        <w:rPr>
          <w:rFonts w:ascii="Calibri" w:hAnsi="Calibri" w:eastAsiaTheme="minorHAnsi" w:cs="Calibri"/>
          <w:b/>
          <w:bCs/>
          <w:i/>
          <w:sz w:val="22"/>
          <w:szCs w:val="22"/>
          <w:lang w:eastAsia="en-US"/>
        </w:rPr>
        <w:t xml:space="preserve">3. </w:t>
      </w:r>
      <w:r w:rsidRPr="00FB5B67">
        <w:rPr>
          <w:rFonts w:ascii="Calibri" w:hAnsi="Calibri" w:eastAsiaTheme="minorHAnsi" w:cs="Calibri"/>
          <w:i/>
          <w:sz w:val="22"/>
          <w:szCs w:val="22"/>
          <w:lang w:eastAsia="en-US"/>
        </w:rPr>
        <w:t>O ato normativo, não obstante viciado na sua origem, acarretou a isenção do IPVA a diversos beneficiários proprietários de veículos portadores de doenças graves, de modo a inviabilizar o ressarcimento dos valores. Modulação dos efeitos da decisão para proteger a confiança legítima que resultou na aplicação da lei e preservar a boa-fé objetiva.</w:t>
      </w:r>
    </w:p>
    <w:p w:rsidR="004421CB" w:rsidRPr="00FB5B67" w:rsidP="005E6E39">
      <w:pPr>
        <w:autoSpaceDE w:val="0"/>
        <w:autoSpaceDN w:val="0"/>
        <w:adjustRightInd w:val="0"/>
        <w:spacing w:after="0" w:line="240" w:lineRule="auto"/>
        <w:ind w:left="2268"/>
        <w:jc w:val="both"/>
        <w:rPr>
          <w:rFonts w:ascii="Calibri" w:hAnsi="Calibri" w:eastAsiaTheme="minorHAnsi" w:cs="Calibri"/>
          <w:i/>
          <w:sz w:val="22"/>
          <w:szCs w:val="22"/>
          <w:lang w:eastAsia="en-US"/>
        </w:rPr>
      </w:pPr>
      <w:r w:rsidRPr="00FB5B67">
        <w:rPr>
          <w:rFonts w:ascii="Calibri" w:hAnsi="Calibri" w:eastAsiaTheme="minorHAnsi" w:cs="Calibri"/>
          <w:b/>
          <w:bCs/>
          <w:i/>
          <w:sz w:val="22"/>
          <w:szCs w:val="22"/>
          <w:lang w:eastAsia="en-US"/>
        </w:rPr>
        <w:t xml:space="preserve">4. </w:t>
      </w:r>
      <w:r w:rsidRPr="00FB5B67">
        <w:rPr>
          <w:rFonts w:ascii="Calibri" w:hAnsi="Calibri" w:eastAsiaTheme="minorHAnsi" w:cs="Calibri"/>
          <w:i/>
          <w:sz w:val="22"/>
          <w:szCs w:val="22"/>
          <w:lang w:eastAsia="en-US"/>
        </w:rPr>
        <w:t xml:space="preserve">Ação direta conhecida e julgada procedente para declarar a inconstitucionalidade da Lei nº 1.293, de 29 de novembro de 2018, do Estado de Roraima, com efeitos </w:t>
      </w:r>
      <w:r w:rsidRPr="00FB5B67">
        <w:rPr>
          <w:rFonts w:ascii="Calibri" w:hAnsi="Calibri" w:eastAsiaTheme="minorHAnsi" w:cs="Calibri"/>
          <w:i/>
          <w:iCs/>
          <w:sz w:val="22"/>
          <w:szCs w:val="22"/>
          <w:lang w:eastAsia="en-US"/>
        </w:rPr>
        <w:t>ex</w:t>
      </w:r>
      <w:r w:rsidRPr="00FB5B67">
        <w:rPr>
          <w:rFonts w:ascii="Calibri" w:hAnsi="Calibri" w:eastAsiaTheme="minorHAnsi" w:cs="Calibri"/>
          <w:i/>
          <w:iCs/>
          <w:sz w:val="22"/>
          <w:szCs w:val="22"/>
          <w:lang w:eastAsia="en-US"/>
        </w:rPr>
        <w:t xml:space="preserve"> nunc </w:t>
      </w:r>
      <w:r w:rsidRPr="00FB5B67">
        <w:rPr>
          <w:rFonts w:ascii="Calibri" w:hAnsi="Calibri" w:eastAsiaTheme="minorHAnsi" w:cs="Calibri"/>
          <w:i/>
          <w:sz w:val="22"/>
          <w:szCs w:val="22"/>
          <w:lang w:eastAsia="en-US"/>
        </w:rPr>
        <w:t xml:space="preserve">a contar da data da publicação da ata do julgamento. </w:t>
      </w:r>
    </w:p>
    <w:p w:rsidR="004421CB" w:rsidRPr="00FB5B67" w:rsidP="005E6E39">
      <w:pPr>
        <w:autoSpaceDE w:val="0"/>
        <w:autoSpaceDN w:val="0"/>
        <w:adjustRightInd w:val="0"/>
        <w:spacing w:after="0" w:line="240" w:lineRule="auto"/>
        <w:ind w:left="2268"/>
        <w:jc w:val="both"/>
        <w:rPr>
          <w:rFonts w:ascii="Calibri" w:hAnsi="Calibri" w:eastAsiaTheme="minorHAnsi" w:cs="Calibri"/>
          <w:i/>
          <w:sz w:val="22"/>
          <w:szCs w:val="22"/>
          <w:lang w:eastAsia="en-US"/>
        </w:rPr>
      </w:pPr>
      <w:r w:rsidRPr="00FB5B67">
        <w:rPr>
          <w:rFonts w:ascii="Calibri" w:hAnsi="Calibri" w:eastAsiaTheme="minorHAnsi" w:cs="Calibri"/>
          <w:i/>
          <w:sz w:val="22"/>
          <w:szCs w:val="22"/>
          <w:lang w:eastAsia="en-US"/>
        </w:rPr>
        <w:t xml:space="preserve">(STF. </w:t>
      </w:r>
      <w:r w:rsidRPr="00FB5B67">
        <w:rPr>
          <w:rFonts w:ascii="Calibri" w:hAnsi="Calibri" w:eastAsiaTheme="minorHAnsi" w:cs="Calibri"/>
          <w:bCs/>
          <w:i/>
          <w:sz w:val="22"/>
          <w:szCs w:val="22"/>
          <w:lang w:eastAsia="en-US"/>
        </w:rPr>
        <w:t>AÇÃO DIRETA DE INCONSTITUCIONALIDADE 6.074 RORAIMA. RELATORA MIN. ROSA WEBER. DATA JULGAMENTO 21/12/2020</w:t>
      </w:r>
      <w:r w:rsidRPr="00FB5B67">
        <w:rPr>
          <w:rFonts w:ascii="Calibri" w:hAnsi="Calibri" w:eastAsiaTheme="minorHAnsi" w:cs="Calibri"/>
          <w:i/>
          <w:sz w:val="22"/>
          <w:szCs w:val="22"/>
          <w:lang w:eastAsia="en-US"/>
        </w:rPr>
        <w:t>)</w:t>
      </w:r>
    </w:p>
    <w:p w:rsidR="004421CB" w:rsidRPr="00FB5B67" w:rsidP="004421CB">
      <w:pPr>
        <w:autoSpaceDE w:val="0"/>
        <w:autoSpaceDN w:val="0"/>
        <w:adjustRightInd w:val="0"/>
        <w:ind w:left="2268"/>
        <w:jc w:val="both"/>
        <w:rPr>
          <w:rFonts w:ascii="Calibri" w:hAnsi="Calibri" w:cs="Calibri"/>
          <w:i/>
          <w:sz w:val="12"/>
          <w:szCs w:val="12"/>
          <w:u w:val="single"/>
        </w:rPr>
      </w:pPr>
    </w:p>
    <w:p w:rsidR="004421CB" w:rsidRPr="00FB5B67" w:rsidP="004421CB">
      <w:pPr>
        <w:spacing w:after="120" w:line="360" w:lineRule="auto"/>
        <w:ind w:firstLine="1701"/>
        <w:jc w:val="both"/>
        <w:rPr>
          <w:rFonts w:ascii="Calibri" w:hAnsi="Calibri" w:cs="Calibri"/>
          <w:szCs w:val="24"/>
        </w:rPr>
      </w:pPr>
      <w:r w:rsidRPr="00FB5B67">
        <w:rPr>
          <w:rFonts w:ascii="Calibri" w:hAnsi="Calibri" w:cs="Calibri"/>
          <w:szCs w:val="24"/>
        </w:rPr>
        <w:t>Destarte, consoante entendimento firmado pela Suprema Corte o art. 113 do ADCT aplica-se a todos os entes da federação, sendo requisito de validade formal de leis que criem despesa ou concedam b</w:t>
      </w:r>
      <w:r w:rsidRPr="00FB5B67" w:rsidR="008A33BE">
        <w:rPr>
          <w:rFonts w:ascii="Calibri" w:hAnsi="Calibri" w:cs="Calibri"/>
          <w:szCs w:val="24"/>
        </w:rPr>
        <w:t>enefícios fiscais a instrução do processo</w:t>
      </w:r>
      <w:r w:rsidRPr="00FB5B67">
        <w:rPr>
          <w:rFonts w:ascii="Calibri" w:hAnsi="Calibri" w:cs="Calibri"/>
          <w:szCs w:val="24"/>
        </w:rPr>
        <w:t xml:space="preserve"> legislativa com a estimativa do impacto financeir</w:t>
      </w:r>
      <w:r w:rsidRPr="00FB5B67" w:rsidR="007F1685">
        <w:rPr>
          <w:rFonts w:ascii="Calibri" w:hAnsi="Calibri" w:cs="Calibri"/>
          <w:szCs w:val="24"/>
        </w:rPr>
        <w:t>o e orçamentário.</w:t>
      </w:r>
    </w:p>
    <w:p w:rsidR="007F1685" w:rsidP="004421CB">
      <w:pPr>
        <w:spacing w:after="120" w:line="360" w:lineRule="auto"/>
        <w:ind w:firstLine="1701"/>
        <w:jc w:val="both"/>
        <w:rPr>
          <w:rFonts w:ascii="Calibri" w:hAnsi="Calibri" w:cs="Calibri"/>
          <w:szCs w:val="24"/>
        </w:rPr>
      </w:pPr>
      <w:r w:rsidRPr="00FB5B67">
        <w:rPr>
          <w:rFonts w:ascii="Calibri" w:hAnsi="Calibri" w:cs="Calibri"/>
          <w:szCs w:val="24"/>
        </w:rPr>
        <w:t xml:space="preserve">Neste particular, </w:t>
      </w:r>
      <w:r w:rsidRPr="00FB5B67" w:rsidR="00FB5B67">
        <w:rPr>
          <w:rFonts w:ascii="Calibri" w:hAnsi="Calibri" w:cs="Calibri"/>
          <w:szCs w:val="24"/>
        </w:rPr>
        <w:t xml:space="preserve">cumpre observar que </w:t>
      </w:r>
      <w:r w:rsidRPr="003F1581" w:rsidR="00FB5B67">
        <w:rPr>
          <w:rFonts w:ascii="Calibri" w:hAnsi="Calibri" w:cs="Calibri"/>
          <w:b/>
          <w:szCs w:val="24"/>
          <w:u w:val="single"/>
        </w:rPr>
        <w:t>NÃO</w:t>
      </w:r>
      <w:r w:rsidRPr="00FB5B67" w:rsidR="00FB5B67">
        <w:rPr>
          <w:rFonts w:ascii="Calibri" w:hAnsi="Calibri" w:cs="Calibri"/>
          <w:szCs w:val="24"/>
        </w:rPr>
        <w:t xml:space="preserve"> </w:t>
      </w:r>
      <w:r w:rsidRPr="00FB5B67">
        <w:rPr>
          <w:rFonts w:ascii="Calibri" w:hAnsi="Calibri" w:cs="Calibri"/>
          <w:szCs w:val="24"/>
        </w:rPr>
        <w:t xml:space="preserve">consta </w:t>
      </w:r>
      <w:r w:rsidR="00FB5B67">
        <w:rPr>
          <w:rFonts w:ascii="Calibri" w:hAnsi="Calibri" w:cs="Calibri"/>
          <w:szCs w:val="24"/>
        </w:rPr>
        <w:t>do projeto</w:t>
      </w:r>
      <w:r w:rsidR="003F1581">
        <w:rPr>
          <w:rFonts w:ascii="Calibri" w:hAnsi="Calibri" w:cs="Calibri"/>
          <w:szCs w:val="24"/>
        </w:rPr>
        <w:t xml:space="preserve"> a</w:t>
      </w:r>
      <w:r w:rsidR="00FB5B67">
        <w:rPr>
          <w:rFonts w:ascii="Calibri" w:hAnsi="Calibri" w:cs="Calibri"/>
          <w:szCs w:val="24"/>
        </w:rPr>
        <w:t xml:space="preserve"> estimativa do i</w:t>
      </w:r>
      <w:r w:rsidRPr="00FB5B67" w:rsidR="00B813F6">
        <w:rPr>
          <w:rFonts w:ascii="Calibri" w:hAnsi="Calibri" w:cs="Calibri"/>
          <w:szCs w:val="24"/>
        </w:rPr>
        <w:t xml:space="preserve">mpacto </w:t>
      </w:r>
      <w:r w:rsidRPr="00FB5B67" w:rsidR="00FB5B67">
        <w:rPr>
          <w:rFonts w:ascii="Calibri" w:hAnsi="Calibri" w:cs="Calibri"/>
          <w:szCs w:val="24"/>
        </w:rPr>
        <w:t>orçamentário-financeiro.</w:t>
      </w:r>
    </w:p>
    <w:p w:rsidR="001404E0" w:rsidP="001404E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Noutro aspecto, quanto à exclusão do con</w:t>
      </w:r>
      <w:r>
        <w:rPr>
          <w:rFonts w:asciiTheme="minorHAnsi" w:hAnsiTheme="minorHAnsi" w:cstheme="minorHAnsi"/>
          <w:szCs w:val="24"/>
        </w:rPr>
        <w:t>tribuinte do REFIS-Valinhos/2023 (art. 4º)</w:t>
      </w:r>
      <w:r>
        <w:rPr>
          <w:rFonts w:asciiTheme="minorHAnsi" w:hAnsiTheme="minorHAnsi" w:cstheme="minorHAnsi"/>
          <w:szCs w:val="24"/>
        </w:rPr>
        <w:t xml:space="preserve"> cumpre ressaltar que por </w:t>
      </w:r>
      <w:r w:rsidRPr="004F3E6B">
        <w:rPr>
          <w:rFonts w:asciiTheme="minorHAnsi" w:hAnsiTheme="minorHAnsi" w:cstheme="minorHAnsi"/>
          <w:szCs w:val="24"/>
        </w:rPr>
        <w:t>restringir direit</w:t>
      </w:r>
      <w:r>
        <w:rPr>
          <w:rFonts w:asciiTheme="minorHAnsi" w:hAnsiTheme="minorHAnsi" w:cstheme="minorHAnsi"/>
          <w:szCs w:val="24"/>
        </w:rPr>
        <w:t>os patrimoniais do contribuinte</w:t>
      </w:r>
      <w:r w:rsidRPr="004F3E6B">
        <w:rPr>
          <w:rFonts w:asciiTheme="minorHAnsi" w:hAnsiTheme="minorHAnsi" w:cstheme="minorHAnsi"/>
          <w:szCs w:val="24"/>
        </w:rPr>
        <w:t xml:space="preserve"> deverá observar os princípios do contraditório, ampla defesa e devido processo legal.</w:t>
      </w:r>
    </w:p>
    <w:p w:rsidR="001404E0" w:rsidRPr="004F3E6B" w:rsidP="001404E0">
      <w:pPr>
        <w:spacing w:after="120" w:line="360" w:lineRule="auto"/>
        <w:ind w:firstLine="1701"/>
        <w:jc w:val="both"/>
        <w:rPr>
          <w:rFonts w:asciiTheme="minorHAnsi" w:hAnsiTheme="minorHAnsi" w:cstheme="minorHAnsi"/>
          <w:szCs w:val="24"/>
        </w:rPr>
      </w:pPr>
      <w:r w:rsidRPr="004F3E6B">
        <w:rPr>
          <w:rFonts w:asciiTheme="minorHAnsi" w:hAnsiTheme="minorHAnsi" w:cstheme="minorHAnsi"/>
          <w:i/>
          <w:szCs w:val="24"/>
        </w:rPr>
        <w:t>In casu</w:t>
      </w:r>
      <w:r w:rsidRPr="004F3E6B">
        <w:rPr>
          <w:rFonts w:asciiTheme="minorHAnsi" w:hAnsiTheme="minorHAnsi" w:cstheme="minorHAnsi"/>
          <w:szCs w:val="24"/>
        </w:rPr>
        <w:t xml:space="preserve">, </w:t>
      </w:r>
      <w:r>
        <w:rPr>
          <w:rFonts w:asciiTheme="minorHAnsi" w:hAnsiTheme="minorHAnsi" w:cstheme="minorHAnsi"/>
          <w:szCs w:val="24"/>
        </w:rPr>
        <w:t>salientamos que a exclusão</w:t>
      </w:r>
      <w:r w:rsidRPr="004F3E6B">
        <w:rPr>
          <w:rFonts w:asciiTheme="minorHAnsi" w:hAnsiTheme="minorHAnsi" w:cstheme="minorHAnsi"/>
          <w:szCs w:val="24"/>
        </w:rPr>
        <w:t xml:space="preserve"> </w:t>
      </w:r>
      <w:r>
        <w:rPr>
          <w:rFonts w:asciiTheme="minorHAnsi" w:hAnsiTheme="minorHAnsi" w:cstheme="minorHAnsi"/>
          <w:szCs w:val="24"/>
        </w:rPr>
        <w:t xml:space="preserve">do contribuinte do programa de recuperação fiscal consubstancia </w:t>
      </w:r>
      <w:r w:rsidRPr="004F3E6B">
        <w:rPr>
          <w:rFonts w:asciiTheme="minorHAnsi" w:hAnsiTheme="minorHAnsi" w:cstheme="minorHAnsi"/>
          <w:szCs w:val="24"/>
        </w:rPr>
        <w:t>o e</w:t>
      </w:r>
      <w:r>
        <w:rPr>
          <w:rFonts w:asciiTheme="minorHAnsi" w:hAnsiTheme="minorHAnsi" w:cstheme="minorHAnsi"/>
          <w:szCs w:val="24"/>
        </w:rPr>
        <w:t>xercício da autotutela estatal que</w:t>
      </w:r>
      <w:r w:rsidRPr="004F3E6B">
        <w:rPr>
          <w:rFonts w:asciiTheme="minorHAnsi" w:hAnsiTheme="minorHAnsi" w:cstheme="minorHAnsi"/>
          <w:szCs w:val="24"/>
        </w:rPr>
        <w:t xml:space="preserve"> deve ocorrer por meio de procedimento administrativo que confira àqueles que eventualmente venham a ser atingidos pela decisão </w:t>
      </w:r>
      <w:r>
        <w:rPr>
          <w:rFonts w:asciiTheme="minorHAnsi" w:hAnsiTheme="minorHAnsi" w:cstheme="minorHAnsi"/>
          <w:szCs w:val="24"/>
        </w:rPr>
        <w:t>de exclusão a</w:t>
      </w:r>
      <w:r w:rsidRPr="004F3E6B">
        <w:rPr>
          <w:rFonts w:asciiTheme="minorHAnsi" w:hAnsiTheme="minorHAnsi" w:cstheme="minorHAnsi"/>
          <w:szCs w:val="24"/>
        </w:rPr>
        <w:t xml:space="preserve"> oportunidade de manifestação prévia, observados os desdobramentos da ampla defesa. Nesse sentido:</w:t>
      </w:r>
    </w:p>
    <w:p w:rsidR="001404E0" w:rsidRPr="0054510B" w:rsidP="0054510B">
      <w:pPr>
        <w:spacing w:after="120" w:line="240" w:lineRule="auto"/>
        <w:ind w:left="2268"/>
        <w:jc w:val="both"/>
        <w:rPr>
          <w:rFonts w:asciiTheme="minorHAnsi" w:hAnsiTheme="minorHAnsi" w:cstheme="minorHAnsi"/>
          <w:i/>
          <w:iCs/>
          <w:sz w:val="20"/>
        </w:rPr>
      </w:pPr>
      <w:r w:rsidRPr="006C261D">
        <w:rPr>
          <w:rFonts w:asciiTheme="minorHAnsi" w:hAnsiTheme="minorHAnsi" w:cstheme="minorHAnsi"/>
          <w:i/>
          <w:iCs/>
          <w:sz w:val="22"/>
          <w:szCs w:val="22"/>
        </w:rPr>
        <w:t>Decisão: O Tribunal, por unanimidade, apreciando o tema 668 da repercussão geral, negou provimento ao recurso extraordinário, nos termos do voto do Relator. Foi fixada a seguinte tese: "</w:t>
      </w:r>
      <w:r w:rsidRPr="006C261D">
        <w:rPr>
          <w:rFonts w:asciiTheme="minorHAnsi" w:hAnsiTheme="minorHAnsi" w:cstheme="minorHAnsi"/>
          <w:b/>
          <w:bCs/>
          <w:i/>
          <w:iCs/>
          <w:sz w:val="22"/>
          <w:szCs w:val="22"/>
          <w:u w:val="single"/>
        </w:rPr>
        <w:t xml:space="preserve">É inconstitucional o art. 1º da Resolução CG/REFIS nº 20/2001, no que suprimiu a notificação da pessoa jurídica optante </w:t>
      </w:r>
      <w:r w:rsidRPr="006C261D">
        <w:rPr>
          <w:rFonts w:asciiTheme="minorHAnsi" w:hAnsiTheme="minorHAnsi" w:cstheme="minorHAnsi"/>
          <w:b/>
          <w:bCs/>
          <w:i/>
          <w:iCs/>
          <w:sz w:val="22"/>
          <w:szCs w:val="22"/>
          <w:u w:val="single"/>
        </w:rPr>
        <w:t>do REFIS</w:t>
      </w:r>
      <w:r w:rsidRPr="006C261D">
        <w:rPr>
          <w:rFonts w:asciiTheme="minorHAnsi" w:hAnsiTheme="minorHAnsi" w:cstheme="minorHAnsi"/>
          <w:b/>
          <w:bCs/>
          <w:i/>
          <w:iCs/>
          <w:sz w:val="22"/>
          <w:szCs w:val="22"/>
          <w:u w:val="single"/>
        </w:rPr>
        <w:t>, prévia ao ato de exclusão</w:t>
      </w:r>
      <w:r w:rsidRPr="006C261D">
        <w:rPr>
          <w:rFonts w:asciiTheme="minorHAnsi" w:hAnsiTheme="minorHAnsi" w:cstheme="minorHAnsi"/>
          <w:i/>
          <w:iCs/>
          <w:sz w:val="22"/>
          <w:szCs w:val="22"/>
        </w:rPr>
        <w:t>".</w:t>
      </w:r>
      <w:r w:rsidRPr="006C261D">
        <w:rPr>
          <w:rFonts w:asciiTheme="minorHAnsi" w:hAnsiTheme="minorHAnsi" w:cstheme="minorHAnsi"/>
          <w:sz w:val="22"/>
          <w:szCs w:val="22"/>
        </w:rPr>
        <w:t xml:space="preserve"> </w:t>
      </w:r>
      <w:r w:rsidRPr="0054510B">
        <w:rPr>
          <w:rFonts w:asciiTheme="minorHAnsi" w:hAnsiTheme="minorHAnsi" w:cstheme="minorHAnsi"/>
          <w:i/>
          <w:iCs/>
          <w:sz w:val="20"/>
        </w:rPr>
        <w:t xml:space="preserve">STF. Plenário. RE 669196/DF, Rel. Min. Dias </w:t>
      </w:r>
      <w:r w:rsidRPr="0054510B">
        <w:rPr>
          <w:rFonts w:asciiTheme="minorHAnsi" w:hAnsiTheme="minorHAnsi" w:cstheme="minorHAnsi"/>
          <w:i/>
          <w:iCs/>
          <w:sz w:val="20"/>
        </w:rPr>
        <w:t>Toffoli</w:t>
      </w:r>
      <w:r w:rsidRPr="0054510B">
        <w:rPr>
          <w:rFonts w:asciiTheme="minorHAnsi" w:hAnsiTheme="minorHAnsi" w:cstheme="minorHAnsi"/>
          <w:i/>
          <w:iCs/>
          <w:sz w:val="20"/>
        </w:rPr>
        <w:t>, julgado em 23/10/2020 (Repercussão Geral – Tema 668) (Info 996).</w:t>
      </w:r>
    </w:p>
    <w:p w:rsidR="001404E0" w:rsidRPr="004F3E6B" w:rsidP="001404E0">
      <w:pPr>
        <w:spacing w:line="360" w:lineRule="auto"/>
        <w:ind w:firstLine="1701"/>
        <w:rPr>
          <w:rFonts w:asciiTheme="minorHAnsi" w:hAnsiTheme="minorHAnsi" w:cstheme="minorHAnsi"/>
          <w:szCs w:val="24"/>
        </w:rPr>
      </w:pPr>
      <w:r>
        <w:rPr>
          <w:rFonts w:asciiTheme="minorHAnsi" w:hAnsiTheme="minorHAnsi" w:cstheme="minorHAnsi"/>
          <w:szCs w:val="24"/>
        </w:rPr>
        <w:t>Neste mesmo sentido entendimento do</w:t>
      </w:r>
      <w:r w:rsidRPr="004F3E6B">
        <w:rPr>
          <w:rFonts w:asciiTheme="minorHAnsi" w:hAnsiTheme="minorHAnsi" w:cstheme="minorHAnsi"/>
          <w:szCs w:val="24"/>
        </w:rPr>
        <w:t xml:space="preserve"> Superior Tribunal de Justiça: </w:t>
      </w:r>
    </w:p>
    <w:p w:rsidR="001404E0" w:rsidRPr="004F3E6B" w:rsidP="0054510B">
      <w:pPr>
        <w:spacing w:line="240" w:lineRule="auto"/>
        <w:ind w:left="2268"/>
        <w:jc w:val="both"/>
        <w:rPr>
          <w:i/>
          <w:sz w:val="20"/>
        </w:rPr>
      </w:pPr>
      <w:r w:rsidRPr="006C261D">
        <w:rPr>
          <w:rFonts w:asciiTheme="minorHAnsi" w:hAnsiTheme="minorHAnsi" w:cstheme="minorHAnsi"/>
          <w:i/>
          <w:iCs/>
          <w:sz w:val="22"/>
          <w:szCs w:val="22"/>
        </w:rPr>
        <w:t xml:space="preserve">RECURSO ESPECIAL Nº 1.586.687 - DF (2016/0062758-6) </w:t>
      </w:r>
      <w:r w:rsidRPr="006C261D">
        <w:rPr>
          <w:rFonts w:asciiTheme="minorHAnsi" w:hAnsiTheme="minorHAnsi" w:cstheme="minorHAnsi"/>
          <w:i/>
          <w:iCs/>
          <w:sz w:val="22"/>
          <w:szCs w:val="22"/>
        </w:rPr>
        <w:t>RELATORA :</w:t>
      </w:r>
      <w:r w:rsidRPr="006C261D">
        <w:rPr>
          <w:rFonts w:asciiTheme="minorHAnsi" w:hAnsiTheme="minorHAnsi" w:cstheme="minorHAnsi"/>
          <w:i/>
          <w:iCs/>
          <w:sz w:val="22"/>
          <w:szCs w:val="22"/>
        </w:rPr>
        <w:t xml:space="preserve"> MINISTRA DIVA MALERBI (DESEMBARGADORA CONVOCADA TRF 3ª REGIÃO) RECORRENTE : FAZENDA NACIONAL RECORRIDO : INDUSTRIA OPTICA BREVIL LTDA ADVOGADO : JOSE ROBERTO SILVEIRA BATISTA E OUTRO(S) DECISÃO Vistos. Trata-se de recurso especial interposto contra acórdão publicado na vigência do Código de Processo Civil de 1973, assim ementado: PROCESSUAL CIVIL. TRIBUTÁRIO. EXCLUSÃO DO PROGRAMA DE RECUPERAÇÃO FISCAL - REFIS. RESOLUÇÃO CO/REFIS 20 DE 2001. OFENSA ÀS GARANTIAS E AOS PRINCÍPIOS </w:t>
      </w:r>
      <w:r w:rsidRPr="006C261D">
        <w:rPr>
          <w:rFonts w:asciiTheme="minorHAnsi" w:hAnsiTheme="minorHAnsi" w:cstheme="minorHAnsi"/>
          <w:i/>
          <w:iCs/>
          <w:sz w:val="22"/>
          <w:szCs w:val="22"/>
        </w:rPr>
        <w:t>CONSTITUCIONAIS DO DEVIDO PROCESSO LEGAL, CONTRADITÓRIO</w:t>
      </w:r>
      <w:r w:rsidRPr="006C261D">
        <w:rPr>
          <w:rFonts w:asciiTheme="minorHAnsi" w:hAnsiTheme="minorHAnsi" w:cstheme="minorHAnsi"/>
          <w:i/>
          <w:iCs/>
          <w:sz w:val="22"/>
          <w:szCs w:val="22"/>
        </w:rPr>
        <w:t xml:space="preserve"> E AMPLA DEFESA. INCIDENTE DE INCONSTITUCIONALIDADE SUSCITADO. RESERVA DE PLENÁRIO. ARGUIÇÃO ACOLHIDA PELA CORTE ESPECIAL DO TRF/1ª REGIÃO. SENTENÇA REFORMADA. </w:t>
      </w:r>
      <w:r w:rsidRPr="006C261D">
        <w:rPr>
          <w:rFonts w:asciiTheme="minorHAnsi" w:hAnsiTheme="minorHAnsi" w:cstheme="minorHAnsi"/>
          <w:b/>
          <w:i/>
          <w:iCs/>
          <w:sz w:val="22"/>
          <w:szCs w:val="22"/>
          <w:u w:val="single"/>
        </w:rPr>
        <w:t>I- Afigura-se inconstitucional a Resolução CG/REFIS 20 de 2001, que alterou a Resolução CG/REFIS 9/2001, por ofensa aos princípios constitucionais do devido processo legal, da ampla defesa e do contraditório, bem como às garantias estabelecidas no art. 37 da CF/1988,</w:t>
      </w:r>
      <w:r w:rsidRPr="006C261D">
        <w:rPr>
          <w:i/>
          <w:sz w:val="22"/>
          <w:szCs w:val="22"/>
        </w:rPr>
        <w:t xml:space="preserve"> </w:t>
      </w:r>
      <w:r w:rsidRPr="006C261D">
        <w:rPr>
          <w:rFonts w:asciiTheme="minorHAnsi" w:hAnsiTheme="minorHAnsi" w:cstheme="minorHAnsi"/>
          <w:i/>
          <w:iCs/>
          <w:sz w:val="22"/>
          <w:szCs w:val="22"/>
        </w:rPr>
        <w:t xml:space="preserve">conforme decidiu a colenda Corte Especial deste Tribunal, no Incidente de Inconstitucionalidade n. 2007.34.00.022211-3/DF, publicado no e-DJF1, em 16/11/2009. II- No </w:t>
      </w:r>
      <w:r w:rsidRPr="006C261D">
        <w:rPr>
          <w:rFonts w:asciiTheme="minorHAnsi" w:hAnsiTheme="minorHAnsi" w:cstheme="minorHAnsi"/>
          <w:i/>
          <w:iCs/>
          <w:sz w:val="22"/>
          <w:szCs w:val="22"/>
        </w:rPr>
        <w:t xml:space="preserve">caso dos autos, portanto, tem-se por inválida a intimação da empresa apelante, realizada pelo Diário Oficial ou pela Internet, e ilegal o ato de exclusão do Programa de Recuperação Fiscal - REFIS. Prevalência do controle difuso de constitucionalidade sobre decisões judiciais tomadas no plano da </w:t>
      </w:r>
      <w:r w:rsidRPr="006C261D">
        <w:rPr>
          <w:rFonts w:asciiTheme="minorHAnsi" w:hAnsiTheme="minorHAnsi" w:cstheme="minorHAnsi"/>
          <w:i/>
          <w:iCs/>
          <w:sz w:val="22"/>
          <w:szCs w:val="22"/>
        </w:rPr>
        <w:t>infraconstitucionalidade</w:t>
      </w:r>
      <w:r w:rsidRPr="006C261D">
        <w:rPr>
          <w:rFonts w:asciiTheme="minorHAnsi" w:hAnsiTheme="minorHAnsi" w:cstheme="minorHAnsi"/>
          <w:i/>
          <w:iCs/>
          <w:sz w:val="22"/>
          <w:szCs w:val="22"/>
        </w:rPr>
        <w:t xml:space="preserve">. III- Apelação provida. </w:t>
      </w:r>
      <w:r w:rsidRPr="006C261D">
        <w:rPr>
          <w:rFonts w:asciiTheme="minorHAnsi" w:hAnsiTheme="minorHAnsi" w:cstheme="minorHAnsi"/>
          <w:b/>
          <w:i/>
          <w:iCs/>
          <w:sz w:val="22"/>
          <w:szCs w:val="22"/>
          <w:u w:val="single"/>
        </w:rPr>
        <w:t>Sentença reformada para determinar a reintegração da empresa impetrante no Programa de Recuperação Fiscal - Refis, restando-lhe asseguradas as garantias e os princípios constitucionais do devido processo legal, do contraditório e da ampla defesa para fins de eventual procedimento de exclusão</w:t>
      </w:r>
      <w:r w:rsidRPr="006C261D">
        <w:rPr>
          <w:b/>
          <w:i/>
          <w:sz w:val="22"/>
          <w:szCs w:val="22"/>
          <w:u w:val="single"/>
        </w:rPr>
        <w:t xml:space="preserve"> </w:t>
      </w:r>
      <w:r w:rsidRPr="006C261D">
        <w:rPr>
          <w:i/>
          <w:sz w:val="22"/>
          <w:szCs w:val="22"/>
        </w:rPr>
        <w:t xml:space="preserve"> </w:t>
      </w:r>
      <w:r w:rsidRPr="004F3E6B">
        <w:rPr>
          <w:rFonts w:asciiTheme="minorHAnsi" w:hAnsiTheme="minorHAnsi" w:cstheme="minorHAnsi"/>
          <w:i/>
          <w:iCs/>
          <w:sz w:val="20"/>
        </w:rPr>
        <w:t xml:space="preserve">(STJ - </w:t>
      </w:r>
      <w:r w:rsidRPr="004F3E6B">
        <w:rPr>
          <w:rFonts w:asciiTheme="minorHAnsi" w:hAnsiTheme="minorHAnsi" w:cstheme="minorHAnsi"/>
          <w:i/>
          <w:iCs/>
          <w:sz w:val="20"/>
        </w:rPr>
        <w:t>REsp</w:t>
      </w:r>
      <w:r w:rsidRPr="004F3E6B">
        <w:rPr>
          <w:rFonts w:asciiTheme="minorHAnsi" w:hAnsiTheme="minorHAnsi" w:cstheme="minorHAnsi"/>
          <w:i/>
          <w:iCs/>
          <w:sz w:val="20"/>
        </w:rPr>
        <w:t>: 1586687 DF 2016/0062758-6, Relator: Ministra DIVA MALERBI (DESEMBARGADORA CONVOCADA TRF 3ª REGIÃO), Data de Publicação: DJ 21/06/2016)</w:t>
      </w:r>
    </w:p>
    <w:p w:rsidR="001404E0" w:rsidP="0054510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Na mesma linha</w:t>
      </w:r>
      <w:r w:rsidRPr="004F3E6B">
        <w:rPr>
          <w:rFonts w:asciiTheme="minorHAnsi" w:hAnsiTheme="minorHAnsi" w:cstheme="minorHAnsi"/>
          <w:szCs w:val="24"/>
        </w:rPr>
        <w:t>,</w:t>
      </w:r>
      <w:r>
        <w:rPr>
          <w:rFonts w:asciiTheme="minorHAnsi" w:hAnsiTheme="minorHAnsi" w:cstheme="minorHAnsi"/>
          <w:szCs w:val="24"/>
        </w:rPr>
        <w:t xml:space="preserve"> a</w:t>
      </w:r>
      <w:r w:rsidRPr="004F3E6B">
        <w:rPr>
          <w:rFonts w:asciiTheme="minorHAnsi" w:hAnsiTheme="minorHAnsi" w:cstheme="minorHAnsi"/>
          <w:szCs w:val="24"/>
        </w:rPr>
        <w:t xml:space="preserve"> Súmula 355, do Superior Tribunal de Justiça</w:t>
      </w:r>
      <w:r>
        <w:rPr>
          <w:rFonts w:asciiTheme="minorHAnsi" w:hAnsiTheme="minorHAnsi" w:cstheme="minorHAnsi"/>
          <w:szCs w:val="24"/>
        </w:rPr>
        <w:t xml:space="preserve"> estabelece</w:t>
      </w:r>
      <w:r w:rsidRPr="004F3E6B">
        <w:rPr>
          <w:rFonts w:asciiTheme="minorHAnsi" w:hAnsiTheme="minorHAnsi" w:cstheme="minorHAnsi"/>
          <w:szCs w:val="24"/>
        </w:rPr>
        <w:t xml:space="preserve">: “É válida a notificação do ato de exclusão do programa de recuperação fiscal </w:t>
      </w:r>
      <w:r w:rsidRPr="004F3E6B">
        <w:rPr>
          <w:rFonts w:asciiTheme="minorHAnsi" w:hAnsiTheme="minorHAnsi" w:cstheme="minorHAnsi"/>
          <w:szCs w:val="24"/>
        </w:rPr>
        <w:t>do Refis</w:t>
      </w:r>
      <w:r w:rsidRPr="004F3E6B">
        <w:rPr>
          <w:rFonts w:asciiTheme="minorHAnsi" w:hAnsiTheme="minorHAnsi" w:cstheme="minorHAnsi"/>
          <w:szCs w:val="24"/>
        </w:rPr>
        <w:t xml:space="preserve"> pelo Diário Oficial ou pela Internet”.</w:t>
      </w:r>
    </w:p>
    <w:p w:rsidR="001404E0" w:rsidP="0054510B">
      <w:pPr>
        <w:spacing w:after="120" w:line="360" w:lineRule="auto"/>
        <w:ind w:firstLine="1701"/>
        <w:jc w:val="both"/>
        <w:rPr>
          <w:rFonts w:asciiTheme="minorHAnsi" w:hAnsiTheme="minorHAnsi" w:cstheme="minorHAnsi"/>
          <w:szCs w:val="24"/>
          <w:u w:val="single"/>
        </w:rPr>
      </w:pPr>
      <w:r w:rsidRPr="000A00A8">
        <w:rPr>
          <w:rFonts w:asciiTheme="minorHAnsi" w:hAnsiTheme="minorHAnsi" w:cstheme="minorHAnsi"/>
          <w:szCs w:val="24"/>
          <w:u w:val="single"/>
        </w:rPr>
        <w:t>Deste modo, s.m.j., sugerimos a inclusão de dispositivo estabelecendo que o</w:t>
      </w:r>
      <w:r w:rsidR="004C6A44">
        <w:rPr>
          <w:rFonts w:asciiTheme="minorHAnsi" w:hAnsiTheme="minorHAnsi" w:cstheme="minorHAnsi"/>
          <w:szCs w:val="24"/>
          <w:u w:val="single"/>
        </w:rPr>
        <w:t xml:space="preserve"> contribuinte devedor </w:t>
      </w:r>
      <w:r w:rsidR="004C6A44">
        <w:rPr>
          <w:rFonts w:asciiTheme="minorHAnsi" w:hAnsiTheme="minorHAnsi" w:cstheme="minorHAnsi"/>
          <w:szCs w:val="24"/>
          <w:u w:val="single"/>
        </w:rPr>
        <w:t>será</w:t>
      </w:r>
      <w:r w:rsidRPr="000A00A8">
        <w:rPr>
          <w:rFonts w:asciiTheme="minorHAnsi" w:hAnsiTheme="minorHAnsi" w:cstheme="minorHAnsi"/>
          <w:szCs w:val="24"/>
          <w:u w:val="single"/>
        </w:rPr>
        <w:t xml:space="preserve"> previamente notificado, </w:t>
      </w:r>
      <w:r w:rsidR="004C6A44">
        <w:rPr>
          <w:rFonts w:asciiTheme="minorHAnsi" w:hAnsiTheme="minorHAnsi" w:cstheme="minorHAnsi"/>
          <w:szCs w:val="24"/>
          <w:u w:val="single"/>
        </w:rPr>
        <w:t>a fim de que</w:t>
      </w:r>
      <w:r w:rsidRPr="000A00A8">
        <w:rPr>
          <w:rFonts w:asciiTheme="minorHAnsi" w:hAnsiTheme="minorHAnsi" w:cstheme="minorHAnsi"/>
          <w:szCs w:val="24"/>
          <w:u w:val="single"/>
        </w:rPr>
        <w:t xml:space="preserve"> </w:t>
      </w:r>
      <w:r w:rsidR="004C6A44">
        <w:rPr>
          <w:rFonts w:asciiTheme="minorHAnsi" w:hAnsiTheme="minorHAnsi" w:cstheme="minorHAnsi"/>
          <w:szCs w:val="24"/>
          <w:u w:val="single"/>
        </w:rPr>
        <w:t xml:space="preserve">possa se manifestar </w:t>
      </w:r>
      <w:r w:rsidR="007D0EC6">
        <w:rPr>
          <w:rFonts w:asciiTheme="minorHAnsi" w:hAnsiTheme="minorHAnsi" w:cstheme="minorHAnsi"/>
          <w:szCs w:val="24"/>
          <w:u w:val="single"/>
        </w:rPr>
        <w:t>antes de ser excluído</w:t>
      </w:r>
      <w:r w:rsidRPr="000A00A8">
        <w:rPr>
          <w:rFonts w:asciiTheme="minorHAnsi" w:hAnsiTheme="minorHAnsi" w:cstheme="minorHAnsi"/>
          <w:szCs w:val="24"/>
          <w:u w:val="single"/>
        </w:rPr>
        <w:t xml:space="preserve"> do programa de recuperação fiscal. </w:t>
      </w:r>
    </w:p>
    <w:p w:rsidR="004421CB" w:rsidRPr="005E6E39" w:rsidP="0054510B">
      <w:pPr>
        <w:pStyle w:val="NormalWeb"/>
        <w:spacing w:after="120" w:afterAutospacing="0" w:line="360" w:lineRule="auto"/>
        <w:ind w:firstLine="1701"/>
        <w:jc w:val="both"/>
        <w:rPr>
          <w:rFonts w:ascii="Calibri" w:hAnsi="Calibri" w:cs="Calibri"/>
          <w:color w:val="FF0000"/>
          <w:u w:val="single"/>
        </w:rPr>
      </w:pPr>
      <w:r w:rsidRPr="002337C6">
        <w:rPr>
          <w:rFonts w:ascii="Calibri" w:hAnsi="Calibri" w:cs="Calibri"/>
          <w:color w:val="000000" w:themeColor="text1"/>
        </w:rPr>
        <w:t>Por fim, no que tange aos preceitos da Lei Complementar nº 95/98 que dispõe sobre a elaboração, a redação, a alteração e a consolidação das leis, conforme determina o parágrafo único do</w:t>
      </w:r>
      <w:r w:rsidR="00FB5B67">
        <w:rPr>
          <w:rFonts w:ascii="Calibri" w:hAnsi="Calibri" w:cs="Calibri"/>
          <w:color w:val="000000" w:themeColor="text1"/>
        </w:rPr>
        <w:t xml:space="preserve"> art. 59 da Constituição Federal, </w:t>
      </w:r>
      <w:r w:rsidRPr="005E6E39" w:rsidR="00FB5B67">
        <w:rPr>
          <w:rFonts w:ascii="Calibri" w:hAnsi="Calibri" w:cs="Calibri"/>
          <w:color w:val="000000" w:themeColor="text1"/>
          <w:u w:val="single"/>
        </w:rPr>
        <w:t xml:space="preserve">cumpre atentar para necessidade de correção </w:t>
      </w:r>
      <w:r w:rsidR="005E6E39">
        <w:rPr>
          <w:rFonts w:ascii="Calibri" w:hAnsi="Calibri" w:cs="Calibri"/>
          <w:color w:val="000000" w:themeColor="text1"/>
          <w:u w:val="single"/>
        </w:rPr>
        <w:t>do período constante da tabela do art. 3º</w:t>
      </w:r>
      <w:r w:rsidRPr="005E6E39">
        <w:rPr>
          <w:rFonts w:ascii="Calibri" w:hAnsi="Calibri" w:cs="Calibri"/>
          <w:color w:val="000000" w:themeColor="text1"/>
          <w:u w:val="single"/>
        </w:rPr>
        <w:t>.</w:t>
      </w:r>
    </w:p>
    <w:p w:rsidR="004421CB" w:rsidRPr="002E776F" w:rsidP="0054510B">
      <w:pPr>
        <w:spacing w:after="120" w:line="360" w:lineRule="auto"/>
        <w:ind w:firstLine="1701"/>
        <w:jc w:val="both"/>
        <w:rPr>
          <w:rFonts w:ascii="Calibri" w:hAnsi="Calibri" w:cs="Calibri"/>
          <w:szCs w:val="24"/>
        </w:rPr>
      </w:pPr>
      <w:r w:rsidRPr="002E776F">
        <w:rPr>
          <w:rFonts w:ascii="Calibri" w:hAnsi="Calibri" w:cs="Calibri"/>
          <w:szCs w:val="24"/>
        </w:rPr>
        <w:t xml:space="preserve">Ante todo o exposto, </w:t>
      </w:r>
      <w:r w:rsidR="00FB5B67">
        <w:rPr>
          <w:rFonts w:ascii="Calibri" w:hAnsi="Calibri" w:cs="Calibri"/>
          <w:szCs w:val="24"/>
        </w:rPr>
        <w:t xml:space="preserve">infere-se que o projeto </w:t>
      </w:r>
      <w:r w:rsidRPr="005E6E39" w:rsidR="00FB5B67">
        <w:rPr>
          <w:rFonts w:ascii="Calibri" w:hAnsi="Calibri" w:cs="Calibri"/>
          <w:b/>
          <w:szCs w:val="24"/>
          <w:u w:val="single"/>
        </w:rPr>
        <w:t>poderá</w:t>
      </w:r>
      <w:r w:rsidR="00FB5B67">
        <w:rPr>
          <w:rFonts w:ascii="Calibri" w:hAnsi="Calibri" w:cs="Calibri"/>
          <w:szCs w:val="24"/>
        </w:rPr>
        <w:t xml:space="preserve"> reunir condições de </w:t>
      </w:r>
      <w:r w:rsidRPr="002E776F">
        <w:rPr>
          <w:rFonts w:ascii="Calibri" w:hAnsi="Calibri" w:cs="Calibri"/>
          <w:szCs w:val="24"/>
        </w:rPr>
        <w:t>constitucionalidade e legalidade</w:t>
      </w:r>
      <w:r w:rsidRPr="002E776F" w:rsidR="002E776F">
        <w:rPr>
          <w:rFonts w:ascii="Calibri" w:hAnsi="Calibri" w:cs="Calibri"/>
          <w:szCs w:val="24"/>
        </w:rPr>
        <w:t xml:space="preserve"> do projeto</w:t>
      </w:r>
      <w:r w:rsidR="00FB5B67">
        <w:rPr>
          <w:rFonts w:ascii="Calibri" w:hAnsi="Calibri" w:cs="Calibri"/>
          <w:szCs w:val="24"/>
        </w:rPr>
        <w:t>, desde que observada</w:t>
      </w:r>
      <w:r w:rsidR="0054510B">
        <w:rPr>
          <w:rFonts w:ascii="Calibri" w:hAnsi="Calibri" w:cs="Calibri"/>
          <w:szCs w:val="24"/>
        </w:rPr>
        <w:t xml:space="preserve">s </w:t>
      </w:r>
      <w:r w:rsidR="009321BF">
        <w:rPr>
          <w:rFonts w:ascii="Calibri" w:hAnsi="Calibri" w:cs="Calibri"/>
          <w:szCs w:val="24"/>
        </w:rPr>
        <w:t>às</w:t>
      </w:r>
      <w:r w:rsidR="00FB5B67">
        <w:rPr>
          <w:rFonts w:ascii="Calibri" w:hAnsi="Calibri" w:cs="Calibri"/>
          <w:szCs w:val="24"/>
        </w:rPr>
        <w:t xml:space="preserve"> ressalva</w:t>
      </w:r>
      <w:r w:rsidR="0054510B">
        <w:rPr>
          <w:rFonts w:ascii="Calibri" w:hAnsi="Calibri" w:cs="Calibri"/>
          <w:szCs w:val="24"/>
        </w:rPr>
        <w:t>s</w:t>
      </w:r>
      <w:r w:rsidR="00FB5B67">
        <w:rPr>
          <w:rFonts w:ascii="Calibri" w:hAnsi="Calibri" w:cs="Calibri"/>
          <w:szCs w:val="24"/>
        </w:rPr>
        <w:t xml:space="preserve"> acima</w:t>
      </w:r>
      <w:r w:rsidRPr="002E776F" w:rsidR="002E776F">
        <w:rPr>
          <w:rFonts w:ascii="Calibri" w:hAnsi="Calibri" w:cs="Calibri"/>
          <w:szCs w:val="24"/>
        </w:rPr>
        <w:t xml:space="preserve">. </w:t>
      </w:r>
      <w:r w:rsidRPr="002E776F">
        <w:rPr>
          <w:rFonts w:ascii="Calibri" w:hAnsi="Calibri" w:cs="Calibri"/>
          <w:szCs w:val="24"/>
        </w:rPr>
        <w:t>Sobre o mérito, o Plenário é soberano.</w:t>
      </w:r>
      <w:bookmarkStart w:id="2" w:name="_GoBack"/>
      <w:bookmarkEnd w:id="2"/>
    </w:p>
    <w:p w:rsidR="004421CB" w:rsidRPr="002337C6" w:rsidP="0054510B">
      <w:pPr>
        <w:spacing w:after="120" w:line="360" w:lineRule="auto"/>
        <w:ind w:firstLine="1701"/>
        <w:jc w:val="both"/>
        <w:rPr>
          <w:rFonts w:ascii="Calibri" w:hAnsi="Calibri" w:cs="Calibri"/>
          <w:szCs w:val="24"/>
        </w:rPr>
      </w:pPr>
      <w:r w:rsidRPr="002337C6">
        <w:rPr>
          <w:rFonts w:ascii="Calibri" w:hAnsi="Calibri" w:cs="Calibri"/>
          <w:szCs w:val="24"/>
        </w:rPr>
        <w:t>É o parecer.</w:t>
      </w:r>
    </w:p>
    <w:p w:rsidR="005D54F2" w:rsidP="0054510B">
      <w:pPr>
        <w:spacing w:after="120" w:line="360" w:lineRule="auto"/>
        <w:ind w:firstLine="1701"/>
        <w:jc w:val="both"/>
        <w:rPr>
          <w:rFonts w:ascii="Calibri" w:hAnsi="Calibri" w:cs="Calibri"/>
          <w:szCs w:val="24"/>
        </w:rPr>
      </w:pPr>
      <w:r w:rsidRPr="00E00E40">
        <w:rPr>
          <w:rFonts w:ascii="Calibri" w:hAnsi="Calibri" w:cs="Calibri"/>
          <w:szCs w:val="24"/>
        </w:rPr>
        <w:t xml:space="preserve">Procuradoria, </w:t>
      </w:r>
      <w:r w:rsidR="00823C04">
        <w:rPr>
          <w:rFonts w:ascii="Calibri" w:hAnsi="Calibri" w:cs="Calibri"/>
          <w:szCs w:val="24"/>
        </w:rPr>
        <w:t>08</w:t>
      </w:r>
      <w:r w:rsidRPr="00E00E40">
        <w:rPr>
          <w:rFonts w:ascii="Calibri" w:hAnsi="Calibri" w:cs="Calibri"/>
          <w:szCs w:val="24"/>
        </w:rPr>
        <w:t xml:space="preserve"> de </w:t>
      </w:r>
      <w:r w:rsidR="00823C04">
        <w:rPr>
          <w:rFonts w:ascii="Calibri" w:hAnsi="Calibri" w:cs="Calibri"/>
          <w:szCs w:val="24"/>
        </w:rPr>
        <w:t>novembro</w:t>
      </w:r>
      <w:r w:rsidRPr="00E00E40" w:rsidR="00E00E40">
        <w:rPr>
          <w:rFonts w:ascii="Calibri" w:hAnsi="Calibri" w:cs="Calibri"/>
          <w:szCs w:val="24"/>
        </w:rPr>
        <w:t xml:space="preserve"> </w:t>
      </w:r>
      <w:r w:rsidRPr="00E00E40">
        <w:rPr>
          <w:rFonts w:ascii="Calibri" w:hAnsi="Calibri" w:cs="Calibri"/>
          <w:szCs w:val="24"/>
        </w:rPr>
        <w:t>de 202</w:t>
      </w:r>
      <w:r w:rsidR="00823C04">
        <w:rPr>
          <w:rFonts w:ascii="Calibri" w:hAnsi="Calibri" w:cs="Calibri"/>
          <w:szCs w:val="24"/>
        </w:rPr>
        <w:t>3</w:t>
      </w:r>
      <w:r w:rsidRPr="00E00E40">
        <w:rPr>
          <w:rFonts w:ascii="Calibri" w:hAnsi="Calibri" w:cs="Calibri"/>
          <w:szCs w:val="24"/>
        </w:rPr>
        <w:t>.</w:t>
      </w:r>
    </w:p>
    <w:p w:rsidR="0054510B" w:rsidRPr="0054510B" w:rsidP="0054510B">
      <w:pPr>
        <w:spacing w:after="120" w:line="360" w:lineRule="auto"/>
        <w:ind w:firstLine="1701"/>
        <w:jc w:val="both"/>
        <w:rPr>
          <w:rFonts w:ascii="Calibri" w:hAnsi="Calibri" w:cs="Calibri"/>
          <w:sz w:val="12"/>
          <w:szCs w:val="12"/>
        </w:rPr>
      </w:pPr>
    </w:p>
    <w:p w:rsidR="005D54F2" w:rsidRPr="002337C6" w:rsidP="005D54F2">
      <w:pPr>
        <w:pStyle w:val="BodyText"/>
        <w:spacing w:after="0" w:line="240" w:lineRule="auto"/>
        <w:ind w:firstLine="709"/>
        <w:jc w:val="center"/>
        <w:rPr>
          <w:rFonts w:ascii="Calibri" w:hAnsi="Calibri" w:cs="Calibri"/>
          <w:b/>
          <w:szCs w:val="24"/>
        </w:rPr>
      </w:pPr>
      <w:r w:rsidRPr="002337C6">
        <w:rPr>
          <w:rFonts w:ascii="Calibri" w:hAnsi="Calibri" w:cs="Calibri"/>
          <w:b/>
          <w:szCs w:val="24"/>
        </w:rPr>
        <w:t>Rosemeire de Souza Cardoso Barbosa</w:t>
      </w:r>
    </w:p>
    <w:p w:rsidR="005D54F2" w:rsidRPr="002337C6" w:rsidP="005D54F2">
      <w:pPr>
        <w:pStyle w:val="BodyText"/>
        <w:spacing w:after="0" w:line="240" w:lineRule="auto"/>
        <w:ind w:firstLine="709"/>
        <w:jc w:val="center"/>
        <w:rPr>
          <w:rFonts w:ascii="Calibri" w:hAnsi="Calibri" w:cs="Calibri"/>
          <w:b/>
          <w:szCs w:val="24"/>
        </w:rPr>
      </w:pPr>
      <w:r w:rsidRPr="002337C6">
        <w:rPr>
          <w:rFonts w:ascii="Calibri" w:hAnsi="Calibri" w:cs="Calibri"/>
          <w:b/>
          <w:szCs w:val="24"/>
        </w:rPr>
        <w:t>Procuradora – OAB/SP 308.298</w:t>
      </w:r>
    </w:p>
    <w:p w:rsidR="00387C85" w:rsidRPr="002337C6" w:rsidP="002337C6">
      <w:pPr>
        <w:pStyle w:val="BodyText"/>
        <w:spacing w:after="0" w:line="240" w:lineRule="auto"/>
        <w:ind w:firstLine="709"/>
        <w:jc w:val="center"/>
        <w:rPr>
          <w:rFonts w:ascii="Calibri" w:hAnsi="Calibri" w:cs="Calibri"/>
        </w:rPr>
      </w:pPr>
      <w:r w:rsidRPr="002337C6">
        <w:rPr>
          <w:rFonts w:ascii="Calibri" w:hAnsi="Calibri" w:cs="Calibri"/>
          <w:szCs w:val="24"/>
        </w:rPr>
        <w:t>Assina</w:t>
      </w:r>
      <w:r w:rsidR="00065CFC">
        <w:rPr>
          <w:rFonts w:ascii="Calibri" w:hAnsi="Calibri" w:cs="Calibri"/>
          <w:szCs w:val="24"/>
        </w:rPr>
        <w:t>tura Eletrônica</w:t>
      </w:r>
    </w:p>
    <w:sectPr w:rsidSect="004E7FA7">
      <w:headerReference w:type="default" r:id="rId8"/>
      <w:footerReference w:type="default" r:id="rId9"/>
      <w:pgSz w:w="11906" w:h="16838"/>
      <w:pgMar w:top="280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0296574"/>
      <w:docPartObj>
        <w:docPartGallery w:val="Page Numbers (Bottom of Page)"/>
        <w:docPartUnique/>
      </w:docPartObj>
    </w:sdtPr>
    <w:sdtContent>
      <w:sdt>
        <w:sdtPr>
          <w:id w:val="-1036495249"/>
          <w:docPartObj>
            <w:docPartGallery w:val="Page Numbers (Top of Page)"/>
            <w:docPartUnique/>
          </w:docPartObj>
        </w:sdtPr>
        <w:sdtContent>
          <w:sdt>
            <w:sdtPr>
              <w:id w:val="1220480929"/>
              <w:docPartObj>
                <w:docPartGallery w:val="Page Numbers (Bottom of Page)"/>
                <w:docPartUnique/>
              </w:docPartObj>
            </w:sdtPr>
            <w:sdtContent>
              <w:sdt>
                <w:sdtPr>
                  <w:id w:val="-824123576"/>
                  <w:docPartObj>
                    <w:docPartGallery w:val="Page Numbers (Top of Page)"/>
                    <w:docPartUnique/>
                  </w:docPartObj>
                </w:sdtPr>
                <w:sdtContent>
                  <w:p w:rsidR="00F7566B" w:rsidP="004421CB">
                    <w:pPr>
                      <w:pStyle w:val="Footer"/>
                      <w:jc w:val="right"/>
                      <w:rPr>
                        <w:sz w:val="18"/>
                        <w:lang w:val="pt-PT"/>
                      </w:rPr>
                    </w:pPr>
                    <w:r>
                      <w:rPr>
                        <w:sz w:val="18"/>
                        <w:lang w:val="pt-PT"/>
                      </w:rPr>
                      <w:t>___________________________________________________________________________________          Rua Antônio Schiavinato, 59, Residencial São Luis - Tel: (19) 3829.5310 - CEP: 13270-</w:t>
                    </w:r>
                    <w:r>
                      <w:rPr>
                        <w:sz w:val="18"/>
                        <w:lang w:val="pt-PT"/>
                      </w:rPr>
                      <w:t>470</w:t>
                    </w:r>
                  </w:p>
                  <w:p w:rsidR="00F7566B" w:rsidP="004421CB">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F7566B" w:rsidP="004421CB">
                    <w:pPr>
                      <w:pStyle w:val="Footer"/>
                      <w:jc w:val="right"/>
                    </w:pPr>
                  </w:p>
                </w:sdtContent>
              </w:sdt>
            </w:sdtContent>
          </w:sdt>
          <w:p w:rsidR="00F7566B" w:rsidP="004421CB">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321BF">
              <w:rPr>
                <w:b/>
                <w:bCs/>
                <w:noProof/>
                <w:sz w:val="18"/>
                <w:szCs w:val="18"/>
              </w:rPr>
              <w:t>18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321BF">
              <w:rPr>
                <w:b/>
                <w:bCs/>
                <w:noProof/>
                <w:sz w:val="18"/>
                <w:szCs w:val="18"/>
              </w:rPr>
              <w:t>18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566B">
      <w:pPr>
        <w:spacing w:after="0" w:line="240" w:lineRule="auto"/>
      </w:pPr>
      <w:r>
        <w:separator/>
      </w:r>
    </w:p>
  </w:footnote>
  <w:footnote w:type="continuationSeparator" w:id="1">
    <w:p w:rsidR="00F7566B">
      <w:pPr>
        <w:spacing w:after="0" w:line="240" w:lineRule="auto"/>
      </w:pPr>
      <w:r>
        <w:continuationSeparator/>
      </w:r>
    </w:p>
  </w:footnote>
  <w:footnote w:id="2">
    <w:p w:rsidR="004E7FA7" w:rsidRPr="004E7FA7" w:rsidP="004E7FA7">
      <w:pPr>
        <w:autoSpaceDE w:val="0"/>
        <w:autoSpaceDN w:val="0"/>
        <w:adjustRightInd w:val="0"/>
        <w:spacing w:after="240" w:line="240" w:lineRule="auto"/>
        <w:jc w:val="both"/>
        <w:rPr>
          <w:rFonts w:asciiTheme="minorHAnsi" w:hAnsiTheme="minorHAnsi" w:cs="Calibri"/>
          <w:i/>
          <w:color w:val="000000"/>
          <w:sz w:val="20"/>
        </w:rPr>
      </w:pPr>
      <w:r w:rsidRPr="004E7FA7">
        <w:rPr>
          <w:rStyle w:val="FootnoteReference"/>
          <w:rFonts w:asciiTheme="minorHAnsi" w:hAnsiTheme="minorHAnsi"/>
          <w:sz w:val="20"/>
        </w:rPr>
        <w:footnoteRef/>
      </w:r>
      <w:r w:rsidRPr="004E7FA7">
        <w:rPr>
          <w:rFonts w:asciiTheme="minorHAnsi" w:hAnsiTheme="minorHAnsi"/>
          <w:sz w:val="20"/>
        </w:rPr>
        <w:t xml:space="preserve"> </w:t>
      </w:r>
      <w:r w:rsidRPr="004E7FA7">
        <w:rPr>
          <w:rFonts w:asciiTheme="minorHAnsi" w:hAnsiTheme="minorHAnsi" w:cs="Calibri"/>
          <w:color w:val="000000"/>
          <w:sz w:val="20"/>
        </w:rPr>
        <w:t>Nesse sentido é o entendimento do C. Supremo Tribunal Federal:</w:t>
      </w:r>
      <w:r w:rsidRPr="004E7FA7">
        <w:rPr>
          <w:rFonts w:asciiTheme="minorHAnsi" w:hAnsiTheme="minorHAnsi" w:cs="Calibri"/>
          <w:i/>
          <w:color w:val="000000"/>
          <w:sz w:val="20"/>
        </w:rPr>
        <w:t xml:space="preserve"> </w:t>
      </w:r>
      <w:r w:rsidRPr="004E7FA7">
        <w:rPr>
          <w:rFonts w:asciiTheme="minorHAnsi" w:hAnsiTheme="minorHAnsi" w:cs="Calibri"/>
          <w:i/>
          <w:color w:val="000000"/>
          <w:sz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4E7FA7">
        <w:rPr>
          <w:rFonts w:asciiTheme="minorHAnsi" w:hAnsiTheme="minorHAnsi" w:cs="Calibri"/>
          <w:i/>
          <w:color w:val="000000"/>
          <w:sz w:val="20"/>
        </w:rPr>
        <w:t>ex</w:t>
      </w:r>
      <w:r w:rsidRPr="004E7FA7">
        <w:rPr>
          <w:rFonts w:asciiTheme="minorHAnsi" w:hAnsiTheme="minorHAnsi" w:cs="Calibri"/>
          <w:i/>
          <w:color w:val="000000"/>
          <w:sz w:val="20"/>
        </w:rPr>
        <w:t xml:space="preserve"> </w:t>
      </w:r>
      <w:r w:rsidRPr="004E7FA7">
        <w:rPr>
          <w:rFonts w:asciiTheme="minorHAnsi" w:hAnsiTheme="minorHAnsi" w:cs="Calibri"/>
          <w:i/>
          <w:color w:val="000000"/>
          <w:sz w:val="20"/>
        </w:rPr>
        <w:t>oficio</w:t>
      </w:r>
      <w:r w:rsidRPr="004E7FA7">
        <w:rPr>
          <w:rFonts w:asciiTheme="minorHAnsi" w:hAnsiTheme="minorHAnsi" w:cs="Calibri"/>
          <w:i/>
          <w:color w:val="000000"/>
          <w:sz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4E7FA7">
      <w:pPr>
        <w:pStyle w:val="FootnoteText"/>
      </w:pPr>
    </w:p>
  </w:footnote>
  <w:footnote w:id="3">
    <w:p w:rsidR="00F7566B" w:rsidP="004421CB">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66B" w:rsidP="004421CB">
    <w:pPr>
      <w:pStyle w:val="Header"/>
      <w:jc w:val="center"/>
      <w:rPr>
        <w:b/>
        <w:sz w:val="26"/>
        <w:lang w:val="pt-PT"/>
      </w:rPr>
    </w:pPr>
  </w:p>
  <w:p w:rsidR="00F7566B" w:rsidP="004421CB">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7566B" w:rsidP="004421CB">
                          <w:r>
                            <w:rPr>
                              <w:noProof/>
                            </w:rPr>
                            <w:drawing>
                              <wp:inline distT="0" distB="0" distL="0" distR="0">
                                <wp:extent cx="876300" cy="850900"/>
                                <wp:effectExtent l="19050" t="0" r="0" b="0"/>
                                <wp:docPr id="1514038234"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6933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096312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7566B" w:rsidP="004421CB">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81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60963128" r:id="rId4"/>
                    </w:object>
                  </w:p>
                </w:txbxContent>
              </v:textbox>
              <w10:wrap type="square"/>
            </v:shape>
          </w:pict>
        </mc:Fallback>
      </mc:AlternateContent>
    </w:r>
  </w:p>
  <w:p w:rsidR="00F7566B" w:rsidP="004421CB">
    <w:pPr>
      <w:pStyle w:val="Header"/>
      <w:jc w:val="center"/>
      <w:rPr>
        <w:b/>
        <w:sz w:val="28"/>
        <w:lang w:val="pt-PT"/>
      </w:rPr>
    </w:pPr>
    <w:r>
      <w:rPr>
        <w:b/>
        <w:sz w:val="28"/>
        <w:lang w:val="pt-PT"/>
      </w:rPr>
      <w:t>CÂMARA MUNICIPAL DE VALINHOS</w:t>
    </w:r>
  </w:p>
  <w:p w:rsidR="00F7566B" w:rsidP="004421CB">
    <w:pPr>
      <w:pStyle w:val="Header"/>
      <w:jc w:val="center"/>
      <w:rPr>
        <w:sz w:val="20"/>
        <w:lang w:val="pt-PT"/>
      </w:rPr>
    </w:pPr>
    <w:r>
      <w:rPr>
        <w:sz w:val="20"/>
        <w:lang w:val="pt-PT"/>
      </w:rPr>
      <w:t>ESTADO DE SÃO PAULO</w:t>
    </w:r>
  </w:p>
  <w:p w:rsidR="00F7566B" w:rsidP="00442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F2"/>
    <w:rsid w:val="00026931"/>
    <w:rsid w:val="00065CFC"/>
    <w:rsid w:val="000A00A8"/>
    <w:rsid w:val="001404E0"/>
    <w:rsid w:val="002337C6"/>
    <w:rsid w:val="002A369E"/>
    <w:rsid w:val="002E776F"/>
    <w:rsid w:val="002F561C"/>
    <w:rsid w:val="00333BFE"/>
    <w:rsid w:val="00387C85"/>
    <w:rsid w:val="003F1581"/>
    <w:rsid w:val="004421CB"/>
    <w:rsid w:val="004844EB"/>
    <w:rsid w:val="004C603C"/>
    <w:rsid w:val="004C6A44"/>
    <w:rsid w:val="004E7FA7"/>
    <w:rsid w:val="004F3E6B"/>
    <w:rsid w:val="0054510B"/>
    <w:rsid w:val="005D54F2"/>
    <w:rsid w:val="005E6E39"/>
    <w:rsid w:val="00677856"/>
    <w:rsid w:val="006C261D"/>
    <w:rsid w:val="00770578"/>
    <w:rsid w:val="007A4066"/>
    <w:rsid w:val="007B54FC"/>
    <w:rsid w:val="007D0EC6"/>
    <w:rsid w:val="007F1685"/>
    <w:rsid w:val="00823C04"/>
    <w:rsid w:val="008351A6"/>
    <w:rsid w:val="008A33BE"/>
    <w:rsid w:val="008A767C"/>
    <w:rsid w:val="00916CF0"/>
    <w:rsid w:val="009321BF"/>
    <w:rsid w:val="00944875"/>
    <w:rsid w:val="00A400E3"/>
    <w:rsid w:val="00B1225F"/>
    <w:rsid w:val="00B813F6"/>
    <w:rsid w:val="00B97636"/>
    <w:rsid w:val="00D06A92"/>
    <w:rsid w:val="00D4084A"/>
    <w:rsid w:val="00DD6D04"/>
    <w:rsid w:val="00DF35F9"/>
    <w:rsid w:val="00E00E40"/>
    <w:rsid w:val="00E05A14"/>
    <w:rsid w:val="00E15698"/>
    <w:rsid w:val="00E31B4E"/>
    <w:rsid w:val="00E414D8"/>
    <w:rsid w:val="00E47399"/>
    <w:rsid w:val="00F53BEF"/>
    <w:rsid w:val="00F7566B"/>
    <w:rsid w:val="00FB5B6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F2"/>
    <w:rPr>
      <w:rFonts w:ascii="Arial" w:eastAsia="Times New Roman" w:hAnsi="Arial" w:cs="Times New Roman"/>
      <w:sz w:val="24"/>
      <w:szCs w:val="20"/>
      <w:lang w:eastAsia="pt-BR"/>
    </w:rPr>
  </w:style>
  <w:style w:type="paragraph" w:styleId="Heading3">
    <w:name w:val="heading 3"/>
    <w:basedOn w:val="Normal"/>
    <w:link w:val="Ttulo3Char"/>
    <w:uiPriority w:val="9"/>
    <w:qFormat/>
    <w:rsid w:val="004421C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4F2"/>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5D54F2"/>
    <w:pPr>
      <w:spacing w:after="120"/>
    </w:pPr>
  </w:style>
  <w:style w:type="character" w:customStyle="1" w:styleId="CorpodetextoChar">
    <w:name w:val="Corpo de texto Char"/>
    <w:basedOn w:val="DefaultParagraphFont"/>
    <w:link w:val="BodyText"/>
    <w:uiPriority w:val="99"/>
    <w:rsid w:val="005D54F2"/>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5D54F2"/>
    <w:pPr>
      <w:spacing w:after="120" w:line="480" w:lineRule="auto"/>
    </w:pPr>
  </w:style>
  <w:style w:type="character" w:customStyle="1" w:styleId="Corpodetexto2Char">
    <w:name w:val="Corpo de texto 2 Char"/>
    <w:basedOn w:val="DefaultParagraphFont"/>
    <w:link w:val="BodyText2"/>
    <w:uiPriority w:val="99"/>
    <w:rsid w:val="005D54F2"/>
    <w:rPr>
      <w:rFonts w:ascii="Arial" w:eastAsia="Times New Roman" w:hAnsi="Arial" w:cs="Times New Roman"/>
      <w:sz w:val="24"/>
      <w:szCs w:val="20"/>
      <w:lang w:eastAsia="pt-BR"/>
    </w:rPr>
  </w:style>
  <w:style w:type="paragraph" w:customStyle="1" w:styleId="Default">
    <w:name w:val="Default"/>
    <w:rsid w:val="005D54F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5D54F2"/>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D54F2"/>
  </w:style>
  <w:style w:type="paragraph" w:styleId="Header">
    <w:name w:val="header"/>
    <w:basedOn w:val="Normal"/>
    <w:link w:val="CabealhoChar"/>
    <w:rsid w:val="005D54F2"/>
    <w:pPr>
      <w:tabs>
        <w:tab w:val="center" w:pos="4419"/>
        <w:tab w:val="right" w:pos="8838"/>
      </w:tabs>
      <w:spacing w:after="0" w:line="240" w:lineRule="auto"/>
    </w:pPr>
  </w:style>
  <w:style w:type="character" w:customStyle="1" w:styleId="CabealhoChar">
    <w:name w:val="Cabeçalho Char"/>
    <w:basedOn w:val="DefaultParagraphFont"/>
    <w:link w:val="Header"/>
    <w:rsid w:val="005D54F2"/>
    <w:rPr>
      <w:rFonts w:ascii="Arial" w:eastAsia="Times New Roman" w:hAnsi="Arial" w:cs="Times New Roman"/>
      <w:sz w:val="24"/>
      <w:szCs w:val="20"/>
      <w:lang w:eastAsia="pt-BR"/>
    </w:rPr>
  </w:style>
  <w:style w:type="paragraph" w:styleId="Footer">
    <w:name w:val="footer"/>
    <w:basedOn w:val="Normal"/>
    <w:link w:val="RodapChar"/>
    <w:uiPriority w:val="99"/>
    <w:rsid w:val="005D54F2"/>
    <w:pPr>
      <w:tabs>
        <w:tab w:val="center" w:pos="4419"/>
        <w:tab w:val="right" w:pos="8838"/>
      </w:tabs>
      <w:spacing w:after="0" w:line="240" w:lineRule="auto"/>
    </w:pPr>
  </w:style>
  <w:style w:type="character" w:customStyle="1" w:styleId="RodapChar">
    <w:name w:val="Rodapé Char"/>
    <w:basedOn w:val="DefaultParagraphFont"/>
    <w:link w:val="Footer"/>
    <w:uiPriority w:val="99"/>
    <w:rsid w:val="005D54F2"/>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5D54F2"/>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5D54F2"/>
    <w:rPr>
      <w:rFonts w:ascii="Tahoma" w:eastAsia="Times New Roman" w:hAnsi="Tahoma" w:cs="Tahoma"/>
      <w:sz w:val="16"/>
      <w:szCs w:val="16"/>
      <w:lang w:eastAsia="pt-BR"/>
    </w:rPr>
  </w:style>
  <w:style w:type="character" w:customStyle="1" w:styleId="Ttulo3Char">
    <w:name w:val="Título 3 Char"/>
    <w:basedOn w:val="DefaultParagraphFont"/>
    <w:link w:val="Heading3"/>
    <w:uiPriority w:val="9"/>
    <w:rsid w:val="004421CB"/>
    <w:rPr>
      <w:rFonts w:ascii="Times New Roman" w:eastAsia="Times New Roman" w:hAnsi="Times New Roman" w:cs="Times New Roman"/>
      <w:b/>
      <w:bCs/>
      <w:sz w:val="27"/>
      <w:szCs w:val="27"/>
      <w:lang w:eastAsia="pt-BR"/>
    </w:rPr>
  </w:style>
  <w:style w:type="character" w:styleId="Hyperlink">
    <w:name w:val="Hyperlink"/>
    <w:basedOn w:val="DefaultParagraphFont"/>
    <w:unhideWhenUsed/>
    <w:rsid w:val="004421CB"/>
    <w:rPr>
      <w:color w:val="0000FF"/>
      <w:u w:val="single"/>
    </w:rPr>
  </w:style>
  <w:style w:type="paragraph" w:styleId="FootnoteText">
    <w:name w:val="footnote text"/>
    <w:basedOn w:val="Normal"/>
    <w:link w:val="TextodenotaderodapChar"/>
    <w:uiPriority w:val="99"/>
    <w:semiHidden/>
    <w:unhideWhenUsed/>
    <w:rsid w:val="004421CB"/>
    <w:pPr>
      <w:spacing w:after="0" w:line="240" w:lineRule="auto"/>
    </w:pPr>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4421CB"/>
    <w:rPr>
      <w:sz w:val="20"/>
      <w:szCs w:val="20"/>
    </w:rPr>
  </w:style>
  <w:style w:type="character" w:styleId="FootnoteReference">
    <w:name w:val="footnote reference"/>
    <w:basedOn w:val="DefaultParagraphFont"/>
    <w:uiPriority w:val="99"/>
    <w:semiHidden/>
    <w:unhideWhenUsed/>
    <w:rsid w:val="004421CB"/>
    <w:rPr>
      <w:vertAlign w:val="superscript"/>
    </w:rPr>
  </w:style>
  <w:style w:type="character" w:styleId="IntenseEmphasis">
    <w:name w:val="Intense Emphasis"/>
    <w:basedOn w:val="DefaultParagraphFont"/>
    <w:uiPriority w:val="21"/>
    <w:qFormat/>
    <w:rsid w:val="004421C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yperlink" Target="https://www.al.sp.gov.br/norma/130354"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D08A-1BED-470D-825C-1968B8E5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5975</Words>
  <Characters>32270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13</cp:revision>
  <dcterms:created xsi:type="dcterms:W3CDTF">2023-11-08T16:21:00Z</dcterms:created>
  <dcterms:modified xsi:type="dcterms:W3CDTF">2023-11-08T18:39:00Z</dcterms:modified>
</cp:coreProperties>
</file>