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77DD66" w14:textId="0781DD4D" w:rsidR="00503D6E" w:rsidRPr="001E51A4" w:rsidRDefault="00503D6E" w:rsidP="00503D6E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 w:rsidRPr="001E51A4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MENSAGEM Nº </w:t>
      </w:r>
      <w:r w:rsidR="005F3126">
        <w:rPr>
          <w:rFonts w:ascii="Arial" w:hAnsi="Arial" w:cs="Arial"/>
          <w:b/>
          <w:color w:val="000000"/>
          <w:sz w:val="24"/>
          <w:szCs w:val="24"/>
          <w:u w:val="single"/>
        </w:rPr>
        <w:t>63</w:t>
      </w:r>
      <w:r w:rsidRPr="001E51A4">
        <w:rPr>
          <w:rFonts w:ascii="Arial" w:hAnsi="Arial" w:cs="Arial"/>
          <w:b/>
          <w:color w:val="000000"/>
          <w:sz w:val="24"/>
          <w:szCs w:val="24"/>
          <w:u w:val="single"/>
        </w:rPr>
        <w:t>/2023</w:t>
      </w:r>
    </w:p>
    <w:p w14:paraId="2D10EE17" w14:textId="77777777" w:rsidR="006210B0" w:rsidRDefault="006210B0" w:rsidP="00503D6E">
      <w:pPr>
        <w:spacing w:before="240"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648C3B0" w14:textId="77777777" w:rsidR="00751226" w:rsidRDefault="00751226" w:rsidP="00503D6E">
      <w:pPr>
        <w:spacing w:before="240"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866DF9E" w14:textId="77777777" w:rsidR="00751226" w:rsidRDefault="00751226" w:rsidP="00503D6E">
      <w:pPr>
        <w:spacing w:before="240"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492CC68" w14:textId="77777777" w:rsidR="00751226" w:rsidRDefault="00751226" w:rsidP="00503D6E">
      <w:pPr>
        <w:spacing w:before="240"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43D575C" w14:textId="77777777" w:rsidR="0064519F" w:rsidRDefault="0064519F" w:rsidP="00503D6E">
      <w:pPr>
        <w:spacing w:before="240"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A947022" w14:textId="77777777" w:rsidR="00751226" w:rsidRDefault="00751226" w:rsidP="00503D6E">
      <w:pPr>
        <w:spacing w:before="240"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B4CCC7E" w14:textId="4A85502C" w:rsidR="00503D6E" w:rsidRPr="00751226" w:rsidRDefault="00503D6E" w:rsidP="00503D6E">
      <w:pPr>
        <w:spacing w:before="240" w:after="240" w:line="360" w:lineRule="auto"/>
        <w:rPr>
          <w:rFonts w:ascii="Arial" w:hAnsi="Arial" w:cs="Arial"/>
          <w:b/>
          <w:color w:val="000000"/>
          <w:sz w:val="26"/>
          <w:szCs w:val="26"/>
        </w:rPr>
      </w:pPr>
      <w:r w:rsidRPr="00751226">
        <w:rPr>
          <w:rFonts w:ascii="Arial" w:hAnsi="Arial" w:cs="Arial"/>
          <w:b/>
          <w:color w:val="000000"/>
          <w:sz w:val="26"/>
          <w:szCs w:val="26"/>
        </w:rPr>
        <w:t>Excelentíssimo Senhor Presidente,</w:t>
      </w:r>
    </w:p>
    <w:p w14:paraId="2B256BDC" w14:textId="77777777" w:rsidR="00DB3593" w:rsidRPr="00751226" w:rsidRDefault="00DB3593" w:rsidP="001B3E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1701"/>
        <w:jc w:val="both"/>
        <w:rPr>
          <w:rFonts w:ascii="Arial" w:hAnsi="Arial" w:cs="Arial"/>
          <w:b/>
          <w:bCs/>
          <w:sz w:val="26"/>
          <w:szCs w:val="26"/>
        </w:rPr>
      </w:pPr>
    </w:p>
    <w:p w14:paraId="659372C3" w14:textId="0CD11B63" w:rsidR="00AB35E8" w:rsidRPr="00751226" w:rsidRDefault="00AB35E8" w:rsidP="00AB35E8">
      <w:pPr>
        <w:widowControl w:val="0"/>
        <w:spacing w:line="360" w:lineRule="auto"/>
        <w:ind w:firstLine="1701"/>
        <w:jc w:val="both"/>
        <w:rPr>
          <w:rFonts w:ascii="Arial" w:hAnsi="Arial" w:cs="Arial"/>
          <w:b/>
          <w:bCs/>
          <w:sz w:val="26"/>
          <w:szCs w:val="26"/>
        </w:rPr>
      </w:pPr>
      <w:r w:rsidRPr="00751226">
        <w:rPr>
          <w:rFonts w:ascii="Arial" w:hAnsi="Arial" w:cs="Arial"/>
          <w:sz w:val="26"/>
          <w:szCs w:val="26"/>
        </w:rPr>
        <w:t xml:space="preserve">Cumprimentando Vossa Excelência, encaminho para a devida apreciação dessa insigne Casa de Leis o incluso Projeto de Lei que </w:t>
      </w:r>
      <w:r w:rsidRPr="00751226">
        <w:rPr>
          <w:rFonts w:ascii="Arial" w:hAnsi="Arial" w:cs="Arial"/>
          <w:b/>
          <w:sz w:val="26"/>
          <w:szCs w:val="26"/>
        </w:rPr>
        <w:t>“</w:t>
      </w:r>
      <w:r w:rsidRPr="00751226">
        <w:rPr>
          <w:rFonts w:ascii="Arial" w:hAnsi="Arial" w:cs="Arial"/>
          <w:b/>
          <w:bCs/>
          <w:sz w:val="26"/>
          <w:szCs w:val="26"/>
        </w:rPr>
        <w:t>d</w:t>
      </w:r>
      <w:r w:rsidRPr="00751226">
        <w:rPr>
          <w:rFonts w:ascii="Arial" w:hAnsi="Arial" w:cs="Arial"/>
          <w:b/>
          <w:color w:val="000000"/>
          <w:sz w:val="26"/>
          <w:szCs w:val="26"/>
        </w:rPr>
        <w:t>ispõe sobre os procedimentos e prazos para a operacionalização das emendas individuais impositivas no Município de Valinhos, na forma que especifica</w:t>
      </w:r>
      <w:r w:rsidRPr="00751226">
        <w:rPr>
          <w:rFonts w:ascii="Arial" w:hAnsi="Arial" w:cs="Arial"/>
          <w:b/>
          <w:sz w:val="26"/>
          <w:szCs w:val="26"/>
        </w:rPr>
        <w:t>.”</w:t>
      </w:r>
      <w:r w:rsidRPr="00751226">
        <w:rPr>
          <w:rFonts w:ascii="Arial" w:hAnsi="Arial" w:cs="Arial"/>
          <w:sz w:val="26"/>
          <w:szCs w:val="26"/>
        </w:rPr>
        <w:t>.</w:t>
      </w:r>
    </w:p>
    <w:p w14:paraId="64A6854B" w14:textId="77777777" w:rsidR="00AB35E8" w:rsidRPr="00751226" w:rsidRDefault="00AB35E8" w:rsidP="00AB35E8">
      <w:pPr>
        <w:pStyle w:val="Corpodetexto"/>
        <w:spacing w:line="360" w:lineRule="auto"/>
        <w:ind w:firstLine="1701"/>
        <w:jc w:val="both"/>
        <w:rPr>
          <w:sz w:val="26"/>
          <w:szCs w:val="26"/>
        </w:rPr>
      </w:pPr>
    </w:p>
    <w:p w14:paraId="3CD40CFD" w14:textId="34122BEF" w:rsidR="00FF2546" w:rsidRPr="00751226" w:rsidRDefault="00FF2546" w:rsidP="00AB35E8">
      <w:pPr>
        <w:pStyle w:val="Corpodetexto"/>
        <w:spacing w:line="360" w:lineRule="auto"/>
        <w:ind w:firstLine="1701"/>
        <w:jc w:val="both"/>
        <w:rPr>
          <w:color w:val="000000" w:themeColor="text1"/>
          <w:sz w:val="26"/>
          <w:szCs w:val="26"/>
          <w:lang w:val="pt-BR"/>
        </w:rPr>
      </w:pPr>
      <w:r w:rsidRPr="00FF2546">
        <w:rPr>
          <w:color w:val="000000" w:themeColor="text1"/>
          <w:sz w:val="26"/>
          <w:szCs w:val="26"/>
          <w:lang w:val="pt-BR"/>
        </w:rPr>
        <w:t xml:space="preserve">Esta proposta, originada do Processo Administrativo Eletrônico nº </w:t>
      </w:r>
      <w:r w:rsidR="004171D9">
        <w:rPr>
          <w:color w:val="000000" w:themeColor="text1"/>
          <w:sz w:val="26"/>
          <w:szCs w:val="26"/>
          <w:lang w:val="pt-BR"/>
        </w:rPr>
        <w:t>24.930</w:t>
      </w:r>
      <w:r w:rsidRPr="00FF2546">
        <w:rPr>
          <w:color w:val="000000" w:themeColor="text1"/>
          <w:sz w:val="26"/>
          <w:szCs w:val="26"/>
          <w:lang w:val="pt-BR"/>
        </w:rPr>
        <w:t>/</w:t>
      </w:r>
      <w:r w:rsidR="004171D9">
        <w:rPr>
          <w:color w:val="000000" w:themeColor="text1"/>
          <w:sz w:val="26"/>
          <w:szCs w:val="26"/>
          <w:lang w:val="pt-BR"/>
        </w:rPr>
        <w:t>20</w:t>
      </w:r>
      <w:r w:rsidRPr="00FF2546">
        <w:rPr>
          <w:color w:val="000000" w:themeColor="text1"/>
          <w:sz w:val="26"/>
          <w:szCs w:val="26"/>
          <w:lang w:val="pt-BR"/>
        </w:rPr>
        <w:t>23, é resultado de uma cooperação e uma harmonia entre o Executivo e o Legislativo e tem como objetivo estabelecer as normas para a execução das emendas parlamentares impositivas no município de Valinhos, em benefício de atender aos anseios e às necessidades de nossa cidade.</w:t>
      </w:r>
    </w:p>
    <w:p w14:paraId="16254061" w14:textId="77777777" w:rsidR="00AB35E8" w:rsidRPr="00751226" w:rsidRDefault="00AB35E8" w:rsidP="001B3E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77B51625" w14:textId="2986DAB5" w:rsidR="00AB35E8" w:rsidRPr="00751226" w:rsidRDefault="00AB35E8" w:rsidP="00097681">
      <w:pPr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51226">
        <w:rPr>
          <w:rFonts w:ascii="Arial" w:hAnsi="Arial" w:cs="Arial"/>
          <w:color w:val="000000" w:themeColor="text1"/>
          <w:sz w:val="26"/>
          <w:szCs w:val="26"/>
        </w:rPr>
        <w:lastRenderedPageBreak/>
        <w:t>Este projeto de lei tem como objetivo regulamentar o envio e o acompanhamento das emendas impositivas, que são recursos destinados pelos vereadores a ações e projetos de interesse da comunidade</w:t>
      </w:r>
      <w:r w:rsidR="00207BA0" w:rsidRPr="00751226">
        <w:rPr>
          <w:rFonts w:ascii="Arial" w:hAnsi="Arial" w:cs="Arial"/>
          <w:color w:val="000000" w:themeColor="text1"/>
          <w:sz w:val="26"/>
          <w:szCs w:val="26"/>
        </w:rPr>
        <w:t>, e</w:t>
      </w:r>
      <w:r w:rsidRPr="00751226">
        <w:rPr>
          <w:rFonts w:ascii="Arial" w:hAnsi="Arial" w:cs="Arial"/>
          <w:color w:val="000000" w:themeColor="text1"/>
          <w:sz w:val="26"/>
          <w:szCs w:val="26"/>
        </w:rPr>
        <w:t>ssas emendas devem ser executadas pelo Poder Executivo, respeitando os prazos e as normas estabelecidos nesta lei, bem como os princípios da eficiência e da transparência.</w:t>
      </w:r>
    </w:p>
    <w:p w14:paraId="791F8BF7" w14:textId="77777777" w:rsidR="00AB35E8" w:rsidRPr="00751226" w:rsidRDefault="00AB35E8" w:rsidP="00AB35E8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4A496CC1" w14:textId="54EBD9B4" w:rsidR="00AB35E8" w:rsidRPr="00751226" w:rsidRDefault="00AB35E8" w:rsidP="00097681">
      <w:pPr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51226">
        <w:rPr>
          <w:rFonts w:ascii="Arial" w:hAnsi="Arial" w:cs="Arial"/>
          <w:color w:val="000000" w:themeColor="text1"/>
          <w:sz w:val="26"/>
          <w:szCs w:val="26"/>
        </w:rPr>
        <w:t>As emendas impositivas são instrumentos de participação popular na definição das prioridades do orçamento municipal, conforme previsto nas constituições Federal, Estadual e na Lei Orgânica Municipal</w:t>
      </w:r>
      <w:r w:rsidR="00207BA0" w:rsidRPr="00751226">
        <w:rPr>
          <w:rFonts w:ascii="Arial" w:hAnsi="Arial" w:cs="Arial"/>
          <w:color w:val="000000" w:themeColor="text1"/>
          <w:sz w:val="26"/>
          <w:szCs w:val="26"/>
        </w:rPr>
        <w:t>, e</w:t>
      </w:r>
      <w:r w:rsidRPr="00751226">
        <w:rPr>
          <w:rFonts w:ascii="Arial" w:hAnsi="Arial" w:cs="Arial"/>
          <w:color w:val="000000" w:themeColor="text1"/>
          <w:sz w:val="26"/>
          <w:szCs w:val="26"/>
        </w:rPr>
        <w:t>las permitem que os vereadores indiquem a destinação de recursos para áreas essenciais da gestão pública, como saúde, educação, cultura, assistência social, entre outras.</w:t>
      </w:r>
    </w:p>
    <w:p w14:paraId="7DDE02D9" w14:textId="77777777" w:rsidR="00AB35E8" w:rsidRPr="00751226" w:rsidRDefault="00AB35E8" w:rsidP="00097681">
      <w:pPr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4CB24EBC" w14:textId="1AD7778E" w:rsidR="00AB35E8" w:rsidRPr="00751226" w:rsidRDefault="00207BA0" w:rsidP="00097681">
      <w:pPr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51226">
        <w:rPr>
          <w:rFonts w:ascii="Arial" w:hAnsi="Arial" w:cs="Arial"/>
          <w:color w:val="000000" w:themeColor="text1"/>
          <w:sz w:val="26"/>
          <w:szCs w:val="26"/>
        </w:rPr>
        <w:t>Ademais, são</w:t>
      </w:r>
      <w:r w:rsidR="00AB35E8" w:rsidRPr="00751226">
        <w:rPr>
          <w:rFonts w:ascii="Arial" w:hAnsi="Arial" w:cs="Arial"/>
          <w:color w:val="000000" w:themeColor="text1"/>
          <w:sz w:val="26"/>
          <w:szCs w:val="26"/>
        </w:rPr>
        <w:t xml:space="preserve"> defin</w:t>
      </w:r>
      <w:r w:rsidRPr="00751226">
        <w:rPr>
          <w:rFonts w:ascii="Arial" w:hAnsi="Arial" w:cs="Arial"/>
          <w:color w:val="000000" w:themeColor="text1"/>
          <w:sz w:val="26"/>
          <w:szCs w:val="26"/>
        </w:rPr>
        <w:t>idos</w:t>
      </w:r>
      <w:r w:rsidR="00AB35E8" w:rsidRPr="00751226">
        <w:rPr>
          <w:rFonts w:ascii="Arial" w:hAnsi="Arial" w:cs="Arial"/>
          <w:color w:val="000000" w:themeColor="text1"/>
          <w:sz w:val="26"/>
          <w:szCs w:val="26"/>
        </w:rPr>
        <w:t xml:space="preserve"> os critérios e as condições para que as entidades sociais cadastradas na Prefeitura possam receber e aplicar os recursos das emendas impositivas</w:t>
      </w:r>
      <w:r w:rsidRPr="00751226">
        <w:rPr>
          <w:rFonts w:ascii="Arial" w:hAnsi="Arial" w:cs="Arial"/>
          <w:color w:val="000000" w:themeColor="text1"/>
          <w:sz w:val="26"/>
          <w:szCs w:val="26"/>
        </w:rPr>
        <w:t>, e</w:t>
      </w:r>
      <w:r w:rsidR="00AB35E8" w:rsidRPr="00751226">
        <w:rPr>
          <w:rFonts w:ascii="Arial" w:hAnsi="Arial" w:cs="Arial"/>
          <w:color w:val="000000" w:themeColor="text1"/>
          <w:sz w:val="26"/>
          <w:szCs w:val="26"/>
        </w:rPr>
        <w:t>ssas entidades realizam um trabalho social importante e reconhecido junto a crianças, idosos e adolescentes, que merecem o apoio do poder público.</w:t>
      </w:r>
    </w:p>
    <w:p w14:paraId="2E89A509" w14:textId="77777777" w:rsidR="00AB35E8" w:rsidRPr="00751226" w:rsidRDefault="00AB35E8" w:rsidP="00AB35E8">
      <w:pPr>
        <w:spacing w:line="360" w:lineRule="auto"/>
        <w:ind w:firstLine="1134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6EE33F7D" w14:textId="4BAF9210" w:rsidR="00AB35E8" w:rsidRPr="00751226" w:rsidRDefault="00097681" w:rsidP="00097681">
      <w:pPr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51226">
        <w:rPr>
          <w:rFonts w:ascii="Arial" w:hAnsi="Arial" w:cs="Arial"/>
          <w:color w:val="000000" w:themeColor="text1"/>
          <w:sz w:val="26"/>
          <w:szCs w:val="26"/>
        </w:rPr>
        <w:t xml:space="preserve">Além </w:t>
      </w:r>
      <w:r w:rsidR="00207BA0" w:rsidRPr="00751226">
        <w:rPr>
          <w:rFonts w:ascii="Arial" w:hAnsi="Arial" w:cs="Arial"/>
          <w:color w:val="000000" w:themeColor="text1"/>
          <w:sz w:val="26"/>
          <w:szCs w:val="26"/>
        </w:rPr>
        <w:t xml:space="preserve">disso, </w:t>
      </w:r>
      <w:r w:rsidRPr="00751226">
        <w:rPr>
          <w:rFonts w:ascii="Arial" w:hAnsi="Arial" w:cs="Arial"/>
          <w:color w:val="000000" w:themeColor="text1"/>
          <w:sz w:val="26"/>
          <w:szCs w:val="26"/>
        </w:rPr>
        <w:t xml:space="preserve">os critérios básicos </w:t>
      </w:r>
      <w:r w:rsidR="00207BA0" w:rsidRPr="00751226">
        <w:rPr>
          <w:rFonts w:ascii="Arial" w:hAnsi="Arial" w:cs="Arial"/>
          <w:color w:val="000000" w:themeColor="text1"/>
          <w:sz w:val="26"/>
          <w:szCs w:val="26"/>
        </w:rPr>
        <w:t xml:space="preserve">para apresentação das emendas são </w:t>
      </w:r>
      <w:r w:rsidRPr="00751226">
        <w:rPr>
          <w:rFonts w:ascii="Arial" w:hAnsi="Arial" w:cs="Arial"/>
          <w:color w:val="000000" w:themeColor="text1"/>
          <w:sz w:val="26"/>
          <w:szCs w:val="26"/>
        </w:rPr>
        <w:t xml:space="preserve">estabelecidos na Lei de Diretrizes Orçamentárias, </w:t>
      </w:r>
      <w:r w:rsidR="00207BA0" w:rsidRPr="00751226">
        <w:rPr>
          <w:rFonts w:ascii="Arial" w:hAnsi="Arial" w:cs="Arial"/>
          <w:color w:val="000000" w:themeColor="text1"/>
          <w:sz w:val="26"/>
          <w:szCs w:val="26"/>
        </w:rPr>
        <w:t xml:space="preserve">e </w:t>
      </w:r>
      <w:r w:rsidRPr="00751226">
        <w:rPr>
          <w:rFonts w:ascii="Arial" w:hAnsi="Arial" w:cs="Arial"/>
          <w:color w:val="000000" w:themeColor="text1"/>
          <w:sz w:val="26"/>
          <w:szCs w:val="26"/>
        </w:rPr>
        <w:t xml:space="preserve">também devem estar em conformidade com as normas do Tribunal de Contas do Estado, da União e da própria Lei de Diretrizes Orçamentárias. </w:t>
      </w:r>
    </w:p>
    <w:p w14:paraId="2F4D07FF" w14:textId="77777777" w:rsidR="00AB35E8" w:rsidRPr="00751226" w:rsidRDefault="00AB35E8" w:rsidP="001B3E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1701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30B4842C" w14:textId="510B25D5" w:rsidR="00097681" w:rsidRPr="00751226" w:rsidRDefault="00097681" w:rsidP="00097681">
      <w:pPr>
        <w:pStyle w:val="Corpodetexto2"/>
        <w:tabs>
          <w:tab w:val="left" w:pos="2835"/>
        </w:tabs>
        <w:spacing w:after="0" w:line="360" w:lineRule="auto"/>
        <w:ind w:firstLine="1701"/>
        <w:jc w:val="both"/>
        <w:rPr>
          <w:rFonts w:ascii="Arial" w:hAnsi="Arial"/>
          <w:color w:val="000000" w:themeColor="text1"/>
          <w:sz w:val="26"/>
          <w:szCs w:val="26"/>
        </w:rPr>
      </w:pPr>
      <w:r w:rsidRPr="00751226">
        <w:rPr>
          <w:rFonts w:ascii="Arial" w:hAnsi="Arial"/>
          <w:color w:val="000000" w:themeColor="text1"/>
          <w:sz w:val="26"/>
          <w:szCs w:val="26"/>
        </w:rPr>
        <w:t xml:space="preserve">Em face da relevância da medida proposta, de justo, real e legítimo interesse público e pelos motivos expostos, solicito que a sua apreciação se faça em </w:t>
      </w:r>
      <w:r w:rsidRPr="00751226">
        <w:rPr>
          <w:rFonts w:ascii="Arial" w:hAnsi="Arial"/>
          <w:b/>
          <w:color w:val="000000" w:themeColor="text1"/>
          <w:sz w:val="26"/>
          <w:szCs w:val="26"/>
        </w:rPr>
        <w:t>regime de urgência</w:t>
      </w:r>
      <w:r w:rsidRPr="00751226">
        <w:rPr>
          <w:rFonts w:ascii="Arial" w:hAnsi="Arial"/>
          <w:color w:val="000000" w:themeColor="text1"/>
          <w:sz w:val="26"/>
          <w:szCs w:val="26"/>
        </w:rPr>
        <w:t>, na forma das disposições constantes do art. 52 da Lei Orgânica do Município de Valinhos, plenamente justificada, de modo a possibilitar o desenvolvimento da Administração Pública.</w:t>
      </w:r>
    </w:p>
    <w:p w14:paraId="183F539E" w14:textId="77777777" w:rsidR="00097681" w:rsidRPr="00751226" w:rsidRDefault="00097681" w:rsidP="00097681">
      <w:pPr>
        <w:tabs>
          <w:tab w:val="left" w:pos="2835"/>
        </w:tabs>
        <w:spacing w:line="360" w:lineRule="auto"/>
        <w:jc w:val="both"/>
        <w:rPr>
          <w:rFonts w:ascii="Arial" w:hAnsi="Arial"/>
          <w:color w:val="000000" w:themeColor="text1"/>
          <w:sz w:val="26"/>
          <w:szCs w:val="26"/>
        </w:rPr>
      </w:pPr>
    </w:p>
    <w:p w14:paraId="5077A0C0" w14:textId="77777777" w:rsidR="00097681" w:rsidRPr="00751226" w:rsidRDefault="00097681" w:rsidP="00097681">
      <w:pPr>
        <w:tabs>
          <w:tab w:val="left" w:pos="2835"/>
        </w:tabs>
        <w:spacing w:line="360" w:lineRule="auto"/>
        <w:ind w:firstLine="1701"/>
        <w:jc w:val="both"/>
        <w:rPr>
          <w:rFonts w:ascii="Arial" w:hAnsi="Arial"/>
          <w:color w:val="000000" w:themeColor="text1"/>
          <w:sz w:val="26"/>
          <w:szCs w:val="26"/>
        </w:rPr>
      </w:pPr>
      <w:r w:rsidRPr="00751226">
        <w:rPr>
          <w:rFonts w:ascii="Arial" w:hAnsi="Arial"/>
          <w:color w:val="000000" w:themeColor="text1"/>
          <w:sz w:val="26"/>
          <w:szCs w:val="26"/>
        </w:rPr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185EC31D" w14:textId="77777777" w:rsidR="00097681" w:rsidRPr="00751226" w:rsidRDefault="00097681" w:rsidP="00097681">
      <w:pPr>
        <w:pStyle w:val="Corpodetexto21"/>
        <w:tabs>
          <w:tab w:val="clear" w:pos="2835"/>
          <w:tab w:val="left" w:pos="2977"/>
        </w:tabs>
        <w:spacing w:line="360" w:lineRule="auto"/>
        <w:rPr>
          <w:rFonts w:ascii="Arial" w:hAnsi="Arial" w:cs="Arial"/>
          <w:b w:val="0"/>
          <w:sz w:val="26"/>
          <w:szCs w:val="26"/>
        </w:rPr>
      </w:pPr>
    </w:p>
    <w:p w14:paraId="066FEF74" w14:textId="1A98C961" w:rsidR="00097681" w:rsidRPr="00751226" w:rsidRDefault="00097681" w:rsidP="00097681">
      <w:pPr>
        <w:pStyle w:val="Corpodetexto31"/>
        <w:tabs>
          <w:tab w:val="clear" w:pos="2835"/>
          <w:tab w:val="left" w:pos="2834"/>
        </w:tabs>
        <w:spacing w:line="360" w:lineRule="auto"/>
        <w:ind w:firstLine="1701"/>
        <w:rPr>
          <w:sz w:val="26"/>
          <w:szCs w:val="26"/>
        </w:rPr>
      </w:pPr>
      <w:r w:rsidRPr="00751226">
        <w:rPr>
          <w:sz w:val="26"/>
          <w:szCs w:val="26"/>
        </w:rPr>
        <w:t xml:space="preserve">Valinhos, </w:t>
      </w:r>
      <w:r w:rsidR="00BB734C">
        <w:rPr>
          <w:sz w:val="26"/>
          <w:szCs w:val="26"/>
        </w:rPr>
        <w:t>31</w:t>
      </w:r>
      <w:r w:rsidRPr="00751226">
        <w:rPr>
          <w:sz w:val="26"/>
          <w:szCs w:val="26"/>
        </w:rPr>
        <w:t xml:space="preserve"> de outubro de 2023.</w:t>
      </w:r>
    </w:p>
    <w:p w14:paraId="1833B258" w14:textId="77777777" w:rsidR="001B3ED0" w:rsidRDefault="001B3ED0" w:rsidP="001E51A4">
      <w:pPr>
        <w:tabs>
          <w:tab w:val="left" w:pos="3969"/>
        </w:tabs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7DFCFB43" w14:textId="5F5C037A" w:rsidR="00503D6E" w:rsidRPr="001E51A4" w:rsidRDefault="00503D6E" w:rsidP="00A9099A">
      <w:pPr>
        <w:spacing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1E51A4">
        <w:rPr>
          <w:rFonts w:ascii="Arial" w:hAnsi="Arial" w:cs="Arial"/>
          <w:color w:val="000000"/>
          <w:sz w:val="24"/>
          <w:szCs w:val="24"/>
        </w:rPr>
        <w:br/>
      </w:r>
      <w:r w:rsidRPr="001E51A4">
        <w:rPr>
          <w:rFonts w:ascii="Arial" w:hAnsi="Arial" w:cs="Arial"/>
          <w:b/>
          <w:color w:val="000000"/>
          <w:sz w:val="24"/>
          <w:szCs w:val="24"/>
        </w:rPr>
        <w:t>LUCIMARA ROSSI DE GODOY</w:t>
      </w:r>
    </w:p>
    <w:p w14:paraId="6D4038F1" w14:textId="1E7CA9A9" w:rsidR="00503D6E" w:rsidRPr="00A9099A" w:rsidRDefault="00A9099A" w:rsidP="00503D6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03D6E" w:rsidRPr="00A9099A">
        <w:rPr>
          <w:rFonts w:ascii="Arial" w:hAnsi="Arial" w:cs="Arial"/>
          <w:color w:val="000000"/>
          <w:sz w:val="22"/>
          <w:szCs w:val="22"/>
        </w:rPr>
        <w:t>Prefeita Municipal</w:t>
      </w:r>
    </w:p>
    <w:p w14:paraId="5DCF7279" w14:textId="77777777" w:rsidR="006210B0" w:rsidRDefault="006210B0" w:rsidP="00503D6E">
      <w:pPr>
        <w:spacing w:before="240"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EFAAF46" w14:textId="77777777" w:rsidR="006210B0" w:rsidRDefault="006210B0" w:rsidP="00503D6E">
      <w:pPr>
        <w:spacing w:before="240"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C3D2A3D" w14:textId="77777777" w:rsidR="00097681" w:rsidRDefault="00097681" w:rsidP="00503D6E">
      <w:pPr>
        <w:spacing w:before="240"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301EC6E" w14:textId="77777777" w:rsidR="00097681" w:rsidRDefault="00097681" w:rsidP="00503D6E">
      <w:pPr>
        <w:spacing w:before="240"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5BAB5FF" w14:textId="77777777" w:rsidR="00097681" w:rsidRDefault="00097681" w:rsidP="00503D6E">
      <w:pPr>
        <w:spacing w:before="240" w:after="24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52602FA" w14:textId="7C7DED69" w:rsidR="00503D6E" w:rsidRDefault="00503D6E" w:rsidP="00503D6E">
      <w:pPr>
        <w:spacing w:before="240" w:after="240" w:line="360" w:lineRule="auto"/>
        <w:rPr>
          <w:rFonts w:ascii="Arial" w:hAnsi="Arial" w:cs="Arial"/>
          <w:color w:val="000000"/>
          <w:sz w:val="26"/>
          <w:szCs w:val="26"/>
        </w:rPr>
      </w:pPr>
      <w:r w:rsidRPr="00FF2546">
        <w:rPr>
          <w:rFonts w:ascii="Arial" w:hAnsi="Arial" w:cs="Arial"/>
          <w:b/>
          <w:color w:val="000000"/>
          <w:sz w:val="26"/>
          <w:szCs w:val="26"/>
        </w:rPr>
        <w:t xml:space="preserve">Anexo: </w:t>
      </w:r>
      <w:r w:rsidRPr="00FF2546">
        <w:rPr>
          <w:rFonts w:ascii="Arial" w:hAnsi="Arial" w:cs="Arial"/>
          <w:color w:val="000000"/>
          <w:sz w:val="26"/>
          <w:szCs w:val="26"/>
        </w:rPr>
        <w:t>Projeto de Lei</w:t>
      </w:r>
      <w:r w:rsidR="005F3126">
        <w:rPr>
          <w:rFonts w:ascii="Arial" w:hAnsi="Arial" w:cs="Arial"/>
          <w:color w:val="000000"/>
          <w:sz w:val="26"/>
          <w:szCs w:val="26"/>
        </w:rPr>
        <w:t>.</w:t>
      </w:r>
    </w:p>
    <w:p w14:paraId="4139754A" w14:textId="77777777" w:rsidR="005F3126" w:rsidRPr="00FF2546" w:rsidRDefault="005F3126" w:rsidP="00503D6E">
      <w:pPr>
        <w:spacing w:before="240" w:after="240" w:line="360" w:lineRule="auto"/>
        <w:rPr>
          <w:rFonts w:ascii="Arial" w:hAnsi="Arial" w:cs="Arial"/>
          <w:sz w:val="26"/>
          <w:szCs w:val="26"/>
        </w:rPr>
      </w:pPr>
    </w:p>
    <w:p w14:paraId="4E4D208A" w14:textId="7740F541" w:rsidR="00503D6E" w:rsidRPr="00FF2546" w:rsidRDefault="00503D6E" w:rsidP="00503D6E">
      <w:pPr>
        <w:spacing w:line="360" w:lineRule="auto"/>
        <w:rPr>
          <w:rFonts w:ascii="Arial" w:hAnsi="Arial" w:cs="Arial"/>
          <w:sz w:val="26"/>
          <w:szCs w:val="26"/>
        </w:rPr>
      </w:pPr>
      <w:r w:rsidRPr="00FF2546">
        <w:rPr>
          <w:rFonts w:ascii="Arial" w:hAnsi="Arial" w:cs="Arial"/>
          <w:b/>
          <w:color w:val="000000"/>
          <w:sz w:val="26"/>
          <w:szCs w:val="26"/>
        </w:rPr>
        <w:t>Ao</w:t>
      </w:r>
    </w:p>
    <w:p w14:paraId="7FE62160" w14:textId="77777777" w:rsidR="00503D6E" w:rsidRPr="00FF2546" w:rsidRDefault="00503D6E" w:rsidP="00503D6E">
      <w:pPr>
        <w:spacing w:line="360" w:lineRule="auto"/>
        <w:rPr>
          <w:rFonts w:ascii="Arial" w:hAnsi="Arial" w:cs="Arial"/>
          <w:sz w:val="26"/>
          <w:szCs w:val="26"/>
        </w:rPr>
      </w:pPr>
      <w:r w:rsidRPr="00FF2546">
        <w:rPr>
          <w:rFonts w:ascii="Arial" w:hAnsi="Arial" w:cs="Arial"/>
          <w:color w:val="000000"/>
          <w:sz w:val="26"/>
          <w:szCs w:val="26"/>
        </w:rPr>
        <w:t>Excelentíssimo Senhor</w:t>
      </w:r>
    </w:p>
    <w:p w14:paraId="3A9B5883" w14:textId="77777777" w:rsidR="00503D6E" w:rsidRPr="00FF2546" w:rsidRDefault="00503D6E" w:rsidP="00503D6E">
      <w:pPr>
        <w:spacing w:line="360" w:lineRule="auto"/>
        <w:rPr>
          <w:rFonts w:ascii="Arial" w:hAnsi="Arial" w:cs="Arial"/>
          <w:sz w:val="26"/>
          <w:szCs w:val="26"/>
        </w:rPr>
      </w:pPr>
      <w:r w:rsidRPr="00FF2546">
        <w:rPr>
          <w:rFonts w:ascii="Arial" w:hAnsi="Arial" w:cs="Arial"/>
          <w:b/>
          <w:color w:val="000000"/>
          <w:sz w:val="26"/>
          <w:szCs w:val="26"/>
        </w:rPr>
        <w:t>SIDMAR RODRIGO TOLOI</w:t>
      </w:r>
    </w:p>
    <w:p w14:paraId="749F5E25" w14:textId="77777777" w:rsidR="00503D6E" w:rsidRPr="00FF2546" w:rsidRDefault="00503D6E" w:rsidP="00503D6E">
      <w:pPr>
        <w:spacing w:line="360" w:lineRule="auto"/>
        <w:rPr>
          <w:rFonts w:ascii="Arial" w:hAnsi="Arial" w:cs="Arial"/>
          <w:sz w:val="26"/>
          <w:szCs w:val="26"/>
        </w:rPr>
      </w:pPr>
      <w:r w:rsidRPr="00FF2546">
        <w:rPr>
          <w:rFonts w:ascii="Arial" w:hAnsi="Arial" w:cs="Arial"/>
          <w:color w:val="000000"/>
          <w:sz w:val="26"/>
          <w:szCs w:val="26"/>
        </w:rPr>
        <w:t>Presidente da Egrégia Câmara Municipal</w:t>
      </w:r>
    </w:p>
    <w:p w14:paraId="49A9ED23" w14:textId="090C2E96" w:rsidR="006C4AE7" w:rsidRPr="00FF2546" w:rsidRDefault="00503D6E" w:rsidP="00EA087E">
      <w:pPr>
        <w:spacing w:line="360" w:lineRule="auto"/>
        <w:rPr>
          <w:rFonts w:ascii="Arial" w:hAnsi="Arial" w:cs="Arial"/>
          <w:sz w:val="26"/>
          <w:szCs w:val="26"/>
        </w:rPr>
      </w:pPr>
      <w:r w:rsidRPr="00FF2546">
        <w:rPr>
          <w:rFonts w:ascii="Arial" w:hAnsi="Arial" w:cs="Arial"/>
          <w:b/>
          <w:color w:val="000000"/>
          <w:sz w:val="26"/>
          <w:szCs w:val="26"/>
          <w:highlight w:val="white"/>
        </w:rPr>
        <w:t>Valinhos/SP</w:t>
      </w:r>
    </w:p>
    <w:p w14:paraId="0EC2DE4D" w14:textId="77777777" w:rsidR="005F273D" w:rsidRDefault="005F273D" w:rsidP="006C4AE7">
      <w:pPr>
        <w:spacing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FC2826B" w14:textId="298341B6" w:rsidR="006C4AE7" w:rsidRPr="000D1056" w:rsidRDefault="006C4AE7" w:rsidP="006C4AE7">
      <w:pPr>
        <w:spacing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D105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PROJETO DE LEI</w:t>
      </w:r>
    </w:p>
    <w:p w14:paraId="24234A4A" w14:textId="77777777" w:rsidR="001B3ED0" w:rsidRPr="001B3ED0" w:rsidRDefault="001B3ED0" w:rsidP="001B3ED0">
      <w:pPr>
        <w:widowControl w:val="0"/>
        <w:spacing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1B3ED0">
        <w:rPr>
          <w:rFonts w:ascii="Arial" w:hAnsi="Arial" w:cs="Arial"/>
          <w:b/>
          <w:bCs/>
          <w:sz w:val="24"/>
          <w:szCs w:val="24"/>
        </w:rPr>
        <w:t>D</w:t>
      </w:r>
      <w:r w:rsidRPr="001B3ED0">
        <w:rPr>
          <w:rFonts w:ascii="Arial" w:hAnsi="Arial" w:cs="Arial"/>
          <w:b/>
          <w:color w:val="000000"/>
          <w:sz w:val="24"/>
          <w:szCs w:val="24"/>
        </w:rPr>
        <w:t>ispõe sobre os procedimentos e prazos para a operacionalização das emendas individuais impositivas no Município de Valinhos, na forma que especifica.</w:t>
      </w:r>
    </w:p>
    <w:p w14:paraId="28174401" w14:textId="77777777" w:rsidR="0064519F" w:rsidRPr="001E51A4" w:rsidRDefault="0064519F" w:rsidP="006C4AE7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8CA571D" w14:textId="77777777" w:rsidR="006C4AE7" w:rsidRDefault="006C4AE7" w:rsidP="006C4AE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1E2C">
        <w:rPr>
          <w:rFonts w:ascii="Arial" w:hAnsi="Arial" w:cs="Arial"/>
          <w:sz w:val="24"/>
          <w:szCs w:val="24"/>
        </w:rPr>
        <w:tab/>
      </w:r>
      <w:r w:rsidRPr="00671E2C">
        <w:rPr>
          <w:rFonts w:ascii="Arial" w:hAnsi="Arial" w:cs="Arial"/>
          <w:b/>
          <w:sz w:val="24"/>
          <w:szCs w:val="24"/>
        </w:rPr>
        <w:t>LUCIMARA ROSSI DE GODOY</w:t>
      </w:r>
      <w:r w:rsidRPr="00671E2C">
        <w:rPr>
          <w:rFonts w:ascii="Arial" w:hAnsi="Arial" w:cs="Arial"/>
          <w:sz w:val="24"/>
          <w:szCs w:val="24"/>
        </w:rPr>
        <w:t>, Prefeita do Município de Valinhos, no uso das atribuições que lhe são conferidas pelo art. 80, inciso III, da Lei Orgânica do Município,</w:t>
      </w:r>
    </w:p>
    <w:p w14:paraId="357CF22A" w14:textId="77777777" w:rsidR="006C4AE7" w:rsidRPr="00671E2C" w:rsidRDefault="006C4AE7" w:rsidP="006C4AE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1EC591" w14:textId="77777777" w:rsidR="006C4AE7" w:rsidRPr="00671E2C" w:rsidRDefault="006C4AE7" w:rsidP="006C4AE7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671E2C">
        <w:rPr>
          <w:rFonts w:ascii="Arial" w:hAnsi="Arial" w:cs="Arial"/>
          <w:b/>
          <w:sz w:val="24"/>
          <w:szCs w:val="24"/>
        </w:rPr>
        <w:tab/>
        <w:t>FAZ SABER</w:t>
      </w:r>
      <w:r w:rsidRPr="00671E2C">
        <w:rPr>
          <w:rFonts w:ascii="Arial" w:hAnsi="Arial" w:cs="Arial"/>
          <w:sz w:val="24"/>
          <w:szCs w:val="24"/>
        </w:rPr>
        <w:t xml:space="preserve"> que a Câmara Municipal aprovou e ela sanciona e promulga a seguinte Lei:</w:t>
      </w:r>
    </w:p>
    <w:p w14:paraId="7B8E1208" w14:textId="77777777" w:rsidR="006C4AE7" w:rsidRPr="00671E2C" w:rsidRDefault="006C4AE7" w:rsidP="006C4AE7">
      <w:pPr>
        <w:tabs>
          <w:tab w:val="left" w:pos="2520"/>
          <w:tab w:val="left" w:pos="34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0F1EED" w14:textId="77777777" w:rsidR="001B3ED0" w:rsidRDefault="001B3ED0" w:rsidP="001B3E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b/>
          <w:bCs/>
          <w:sz w:val="24"/>
          <w:szCs w:val="24"/>
        </w:rPr>
        <w:t xml:space="preserve">Art. 1º </w:t>
      </w:r>
      <w:r w:rsidRPr="001B3ED0">
        <w:rPr>
          <w:rFonts w:ascii="Arial" w:hAnsi="Arial" w:cs="Arial"/>
          <w:color w:val="000000"/>
          <w:sz w:val="24"/>
          <w:szCs w:val="24"/>
        </w:rPr>
        <w:t>Ficam instituídos os procedimentos e prazos para operacionalização e regulamentação das emendas impositivas, que passam a ser disciplinados mediante as disposições contidas no presente instrumento.</w:t>
      </w:r>
    </w:p>
    <w:p w14:paraId="22F37910" w14:textId="77777777" w:rsidR="001B3ED0" w:rsidRDefault="001B3ED0" w:rsidP="001B3E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14:paraId="60157506" w14:textId="30EFEE38" w:rsidR="001B3ED0" w:rsidRDefault="001B3ED0" w:rsidP="001B3E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b/>
          <w:color w:val="000000"/>
          <w:sz w:val="24"/>
          <w:szCs w:val="24"/>
        </w:rPr>
        <w:t xml:space="preserve">Art. 2º </w:t>
      </w:r>
      <w:r w:rsidRPr="001B3ED0">
        <w:rPr>
          <w:rFonts w:ascii="Arial" w:hAnsi="Arial" w:cs="Arial"/>
          <w:color w:val="000000"/>
          <w:sz w:val="24"/>
          <w:szCs w:val="24"/>
        </w:rPr>
        <w:t xml:space="preserve">Nos termos do </w:t>
      </w:r>
      <w:r w:rsidRPr="001B3ED0">
        <w:rPr>
          <w:rFonts w:ascii="Arial" w:hAnsi="Arial" w:cs="Arial"/>
          <w:sz w:val="24"/>
          <w:szCs w:val="24"/>
          <w:shd w:val="clear" w:color="auto" w:fill="FFFFFF"/>
        </w:rPr>
        <w:t>§ 2º do</w:t>
      </w:r>
      <w:r w:rsidRPr="001B3ED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1B3ED0">
        <w:rPr>
          <w:rFonts w:ascii="Arial" w:hAnsi="Arial" w:cs="Arial"/>
          <w:color w:val="000000"/>
          <w:sz w:val="24"/>
          <w:szCs w:val="24"/>
        </w:rPr>
        <w:t xml:space="preserve">art. 152 da Lei Orgânica do Município, </w:t>
      </w:r>
      <w:r w:rsidR="00D67968">
        <w:rPr>
          <w:rFonts w:ascii="Arial" w:hAnsi="Arial" w:cs="Arial"/>
          <w:color w:val="000000"/>
          <w:sz w:val="24"/>
          <w:szCs w:val="24"/>
        </w:rPr>
        <w:t>o Projeto de</w:t>
      </w:r>
      <w:r w:rsidRPr="001B3ED0">
        <w:rPr>
          <w:rFonts w:ascii="Arial" w:hAnsi="Arial" w:cs="Arial"/>
          <w:color w:val="000000"/>
          <w:sz w:val="24"/>
          <w:szCs w:val="24"/>
        </w:rPr>
        <w:t xml:space="preserve"> Lei Orçamentária Anual conterá dotação específica para atendimento de emendas parlamentares impositivas no limite de 1,2% (um inteiro e dois décimos por cento) da receita corrente líquida prevista no Projeto encaminhado pelo Poder Executivo.</w:t>
      </w:r>
    </w:p>
    <w:p w14:paraId="4DC0C038" w14:textId="18EE7E26" w:rsidR="001B3ED0" w:rsidRDefault="001B3ED0" w:rsidP="001B3E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eastAsiaTheme="minorHAnsi" w:hAnsi="Arial" w:cs="Arial"/>
          <w:b/>
          <w:sz w:val="24"/>
          <w:szCs w:val="24"/>
          <w:lang w:eastAsia="en-US"/>
        </w:rPr>
        <w:t>Parágrafo único.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  A dotação específica a que alude o caput deste artigo constará do seguinte programa de trabalho: 99.999.9999.9.999 — Reserva de Contingência, Códigos de Aplicação </w:t>
      </w:r>
      <w:r w:rsidR="00E726BC">
        <w:rPr>
          <w:rFonts w:ascii="Arial" w:eastAsiaTheme="minorHAnsi" w:hAnsi="Arial" w:cs="Arial"/>
          <w:sz w:val="24"/>
          <w:szCs w:val="24"/>
          <w:lang w:eastAsia="en-US"/>
        </w:rPr>
        <w:t>08.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>100.</w:t>
      </w:r>
      <w:r w:rsidR="00E726BC">
        <w:rPr>
          <w:rFonts w:ascii="Arial" w:eastAsiaTheme="minorHAnsi" w:hAnsi="Arial" w:cs="Arial"/>
          <w:sz w:val="24"/>
          <w:szCs w:val="24"/>
          <w:lang w:eastAsia="en-US"/>
        </w:rPr>
        <w:t>1120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2FF23C8" w14:textId="77777777" w:rsidR="001B3ED0" w:rsidRDefault="001B3ED0" w:rsidP="001B3E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7FBEFF6" w14:textId="77777777" w:rsidR="001B3ED0" w:rsidRDefault="001B3ED0" w:rsidP="001B3E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b/>
          <w:color w:val="000000"/>
          <w:sz w:val="24"/>
          <w:szCs w:val="24"/>
        </w:rPr>
        <w:t xml:space="preserve">Art. 3º </w:t>
      </w:r>
      <w:r w:rsidRPr="001B3ED0">
        <w:rPr>
          <w:rFonts w:ascii="Arial" w:hAnsi="Arial" w:cs="Arial"/>
          <w:color w:val="000000"/>
          <w:sz w:val="24"/>
          <w:szCs w:val="24"/>
        </w:rPr>
        <w:t>Os recursos destinados às emendas individuais serão igualmente divididos pelo número de parlamentares da Câmara, sendo que cada parlamentar deverá destinar, no mínimo, 50% (cinquenta por cento) do valor para ações e serviços públicos de saúde.</w:t>
      </w:r>
    </w:p>
    <w:p w14:paraId="125F0721" w14:textId="77777777" w:rsidR="001B3ED0" w:rsidRDefault="001B3ED0" w:rsidP="001B3E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14:paraId="4F8DDDAB" w14:textId="073188F0" w:rsidR="001B3ED0" w:rsidRPr="001B3ED0" w:rsidRDefault="001B3ED0" w:rsidP="001B3E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eastAsiaTheme="minorHAnsi" w:hAnsi="Arial" w:cs="Arial"/>
          <w:b/>
          <w:sz w:val="24"/>
          <w:szCs w:val="24"/>
          <w:lang w:eastAsia="en-US"/>
        </w:rPr>
        <w:t>Art. 4</w:t>
      </w:r>
      <w:r w:rsidRPr="001B3ED0">
        <w:rPr>
          <w:rFonts w:ascii="Arial" w:hAnsi="Arial" w:cs="Arial"/>
          <w:b/>
          <w:color w:val="000000"/>
          <w:sz w:val="24"/>
          <w:szCs w:val="24"/>
        </w:rPr>
        <w:t>º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 As emendas parlamentares poderão ser executadas:</w:t>
      </w:r>
    </w:p>
    <w:p w14:paraId="43CCC79E" w14:textId="3F153792" w:rsidR="001B3ED0" w:rsidRPr="001B3ED0" w:rsidRDefault="001B3ED0" w:rsidP="001B3ED0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eastAsiaTheme="minorHAnsi" w:hAnsi="Arial" w:cs="Arial"/>
          <w:sz w:val="24"/>
          <w:szCs w:val="24"/>
          <w:lang w:eastAsia="en-US"/>
        </w:rPr>
        <w:lastRenderedPageBreak/>
        <w:t>diretamente pelo Município de Valinhos, mediante execução das ações de governo, respeitando os dispositivos legais que regem as licitações e compras públicas;</w:t>
      </w:r>
    </w:p>
    <w:p w14:paraId="1BE3603A" w14:textId="54557924" w:rsidR="00986478" w:rsidRPr="00B814DB" w:rsidRDefault="00986478" w:rsidP="00B814DB">
      <w:pPr>
        <w:pStyle w:val="PargrafodaLista"/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814DB">
        <w:rPr>
          <w:rFonts w:ascii="Arial" w:eastAsiaTheme="minorHAnsi" w:hAnsi="Arial" w:cs="Arial"/>
          <w:sz w:val="24"/>
          <w:szCs w:val="24"/>
          <w:lang w:eastAsia="en-US"/>
        </w:rPr>
        <w:t>II -</w:t>
      </w:r>
      <w:r w:rsidR="005F312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B814DB">
        <w:rPr>
          <w:rFonts w:ascii="Arial" w:eastAsiaTheme="minorHAnsi" w:hAnsi="Arial" w:cs="Arial"/>
          <w:sz w:val="24"/>
          <w:szCs w:val="24"/>
          <w:lang w:eastAsia="en-US"/>
        </w:rPr>
        <w:t>pelas</w:t>
      </w:r>
      <w:proofErr w:type="gramEnd"/>
      <w:r w:rsidRPr="00B814DB">
        <w:rPr>
          <w:rFonts w:ascii="Arial" w:eastAsiaTheme="minorHAnsi" w:hAnsi="Arial" w:cs="Arial"/>
          <w:sz w:val="24"/>
          <w:szCs w:val="24"/>
          <w:lang w:eastAsia="en-US"/>
        </w:rPr>
        <w:t xml:space="preserve"> entidades sem fins lucrativos, por meio de transferência voluntária e mediante a celebração de instrumento de parceria, para a execução de um objeto de interesse público, </w:t>
      </w:r>
      <w:r w:rsidRPr="00BB734C">
        <w:rPr>
          <w:rFonts w:ascii="Arial" w:eastAsiaTheme="minorHAnsi" w:hAnsi="Arial" w:cs="Arial"/>
          <w:sz w:val="24"/>
          <w:szCs w:val="24"/>
          <w:lang w:eastAsia="en-US"/>
        </w:rPr>
        <w:t>destinado</w:t>
      </w:r>
      <w:r w:rsidR="00823F93" w:rsidRPr="00BB734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BB734C">
        <w:rPr>
          <w:rFonts w:ascii="Arial" w:eastAsiaTheme="minorHAnsi" w:hAnsi="Arial" w:cs="Arial"/>
          <w:sz w:val="24"/>
          <w:szCs w:val="24"/>
          <w:lang w:eastAsia="en-US"/>
        </w:rPr>
        <w:t xml:space="preserve"> somente</w:t>
      </w:r>
      <w:r w:rsidR="00823F93" w:rsidRPr="00BB734C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BB734C">
        <w:rPr>
          <w:rFonts w:ascii="Arial" w:eastAsiaTheme="minorHAnsi" w:hAnsi="Arial" w:cs="Arial"/>
          <w:sz w:val="24"/>
          <w:szCs w:val="24"/>
          <w:lang w:eastAsia="en-US"/>
        </w:rPr>
        <w:t xml:space="preserve"> a prestação de serviços e </w:t>
      </w:r>
      <w:r w:rsidR="00823F93" w:rsidRPr="00BB734C">
        <w:rPr>
          <w:rFonts w:ascii="Arial" w:eastAsiaTheme="minorHAnsi" w:hAnsi="Arial" w:cs="Arial"/>
          <w:sz w:val="24"/>
          <w:szCs w:val="24"/>
          <w:lang w:eastAsia="en-US"/>
        </w:rPr>
        <w:t>ob</w:t>
      </w:r>
      <w:r w:rsidRPr="00BB734C">
        <w:rPr>
          <w:rFonts w:ascii="Arial" w:eastAsiaTheme="minorHAnsi" w:hAnsi="Arial" w:cs="Arial"/>
          <w:sz w:val="24"/>
          <w:szCs w:val="24"/>
          <w:lang w:eastAsia="en-US"/>
        </w:rPr>
        <w:t>ras,</w:t>
      </w:r>
      <w:r w:rsidRPr="00B814DB">
        <w:rPr>
          <w:rFonts w:ascii="Arial" w:eastAsiaTheme="minorHAnsi" w:hAnsi="Arial" w:cs="Arial"/>
          <w:sz w:val="24"/>
          <w:szCs w:val="24"/>
          <w:lang w:eastAsia="en-US"/>
        </w:rPr>
        <w:t xml:space="preserve"> respeitando os dispositivos legais que regem a matéria. </w:t>
      </w:r>
    </w:p>
    <w:p w14:paraId="631AB497" w14:textId="221D274B" w:rsidR="001B3ED0" w:rsidRPr="001B3ED0" w:rsidRDefault="00DB6E32" w:rsidP="00BB734C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1B3ED0" w:rsidRPr="001B3ED0">
        <w:rPr>
          <w:rFonts w:ascii="Arial" w:hAnsi="Arial" w:cs="Arial"/>
          <w:b/>
          <w:color w:val="000000"/>
          <w:sz w:val="24"/>
          <w:szCs w:val="24"/>
        </w:rPr>
        <w:tab/>
      </w:r>
      <w:r w:rsidR="001B3ED0" w:rsidRPr="001B3ED0">
        <w:rPr>
          <w:rFonts w:ascii="Arial" w:hAnsi="Arial" w:cs="Arial"/>
          <w:b/>
          <w:color w:val="000000"/>
          <w:sz w:val="24"/>
          <w:szCs w:val="24"/>
        </w:rPr>
        <w:tab/>
      </w:r>
    </w:p>
    <w:p w14:paraId="128EFAB9" w14:textId="77777777" w:rsidR="001B3ED0" w:rsidRPr="001B3ED0" w:rsidRDefault="001B3ED0" w:rsidP="001B3ED0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b/>
          <w:color w:val="000000"/>
          <w:sz w:val="24"/>
          <w:szCs w:val="24"/>
        </w:rPr>
        <w:t xml:space="preserve">Art. 5º </w:t>
      </w:r>
      <w:r w:rsidRPr="001B3ED0">
        <w:rPr>
          <w:rFonts w:ascii="Arial" w:hAnsi="Arial" w:cs="Arial"/>
          <w:color w:val="000000"/>
          <w:sz w:val="24"/>
          <w:szCs w:val="24"/>
        </w:rPr>
        <w:t>No momento da elaboração do ofício referente às emendas, o parlamentar deverá informar:</w:t>
      </w:r>
    </w:p>
    <w:p w14:paraId="1E1783BE" w14:textId="77777777" w:rsidR="001B3ED0" w:rsidRPr="001B3ED0" w:rsidRDefault="001B3ED0" w:rsidP="001B3ED0">
      <w:pPr>
        <w:pStyle w:val="PargrafodaLista"/>
        <w:numPr>
          <w:ilvl w:val="0"/>
          <w:numId w:val="9"/>
        </w:numPr>
        <w:shd w:val="clear" w:color="auto" w:fill="FFFFFF"/>
        <w:tabs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color w:val="000000"/>
          <w:sz w:val="24"/>
          <w:szCs w:val="24"/>
        </w:rPr>
        <w:t>identificação do vereador;</w:t>
      </w:r>
    </w:p>
    <w:p w14:paraId="0725D0EA" w14:textId="77777777" w:rsidR="001B3ED0" w:rsidRPr="001B3ED0" w:rsidRDefault="001B3ED0" w:rsidP="001B3ED0">
      <w:pPr>
        <w:pStyle w:val="PargrafodaLista"/>
        <w:numPr>
          <w:ilvl w:val="0"/>
          <w:numId w:val="9"/>
        </w:numPr>
        <w:shd w:val="clear" w:color="auto" w:fill="FFFFFF"/>
        <w:tabs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color w:val="000000"/>
          <w:sz w:val="24"/>
          <w:szCs w:val="24"/>
        </w:rPr>
        <w:t>nome do Órgão ou Secretaria diretamente responsável pela execução, repasse, implementação e/ou fiscalização, conforme o caso, e respectivo Programa de Trabalho ou Projeto, dotações correspondentes, observando sempre o Plano Plurianual (PPA);</w:t>
      </w:r>
    </w:p>
    <w:p w14:paraId="50CC6006" w14:textId="77777777" w:rsidR="001B3ED0" w:rsidRPr="001B3ED0" w:rsidRDefault="001B3ED0" w:rsidP="001B3ED0">
      <w:pPr>
        <w:pStyle w:val="PargrafodaLista"/>
        <w:numPr>
          <w:ilvl w:val="0"/>
          <w:numId w:val="9"/>
        </w:numPr>
        <w:shd w:val="clear" w:color="auto" w:fill="FFFFFF"/>
        <w:tabs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color w:val="000000"/>
          <w:sz w:val="24"/>
          <w:szCs w:val="24"/>
        </w:rPr>
        <w:t>razão social e CNPJ da entidade beneficiada, a qual deverá ter todas as certidões negativas válidas, observado que:</w:t>
      </w:r>
    </w:p>
    <w:p w14:paraId="4B8C96CD" w14:textId="4C7AE309" w:rsidR="001B3ED0" w:rsidRPr="001B3ED0" w:rsidRDefault="001B3ED0" w:rsidP="001B3ED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color w:val="000000"/>
          <w:sz w:val="24"/>
          <w:szCs w:val="24"/>
        </w:rPr>
        <w:t>os termos e acordos firmados com organizações da sociedade civil (</w:t>
      </w:r>
      <w:r w:rsidR="00DB249E" w:rsidRPr="001B3ED0">
        <w:rPr>
          <w:rFonts w:ascii="Arial" w:hAnsi="Arial" w:cs="Arial"/>
          <w:color w:val="000000"/>
          <w:sz w:val="24"/>
          <w:szCs w:val="24"/>
        </w:rPr>
        <w:t>OSC) seguirão</w:t>
      </w:r>
      <w:r w:rsidRPr="001B3ED0">
        <w:rPr>
          <w:rFonts w:ascii="Arial" w:hAnsi="Arial" w:cs="Arial"/>
          <w:color w:val="000000"/>
          <w:sz w:val="24"/>
          <w:szCs w:val="24"/>
        </w:rPr>
        <w:t xml:space="preserve"> as disposições previstas na Lei Federal nº 13.019, de 31 de julho de 2014;</w:t>
      </w:r>
    </w:p>
    <w:p w14:paraId="6B822165" w14:textId="2164B8A6" w:rsidR="001B3ED0" w:rsidRPr="001B3ED0" w:rsidRDefault="001B3ED0" w:rsidP="001B3ED0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color w:val="000000"/>
          <w:sz w:val="24"/>
          <w:szCs w:val="24"/>
        </w:rPr>
        <w:t>os contratos de gestão celebrados com organizações sociais (OS) seguirão as disposições previstas na Lei Federal nº 9.637, de 15 de maio de 1998;</w:t>
      </w:r>
    </w:p>
    <w:p w14:paraId="7A48013F" w14:textId="77777777" w:rsidR="001B3ED0" w:rsidRPr="001B3ED0" w:rsidRDefault="001B3ED0" w:rsidP="001B3ED0">
      <w:pPr>
        <w:pStyle w:val="PargrafodaLista"/>
        <w:numPr>
          <w:ilvl w:val="0"/>
          <w:numId w:val="5"/>
        </w:numPr>
        <w:shd w:val="clear" w:color="auto" w:fill="FFFFFF"/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color w:val="000000"/>
          <w:sz w:val="24"/>
          <w:szCs w:val="24"/>
        </w:rPr>
        <w:t xml:space="preserve">os convênios e contratos celebrados com entidades filantrópicas e sem fins lucrativos observarão o disposto no </w:t>
      </w:r>
      <w:r w:rsidRPr="001B3ED0">
        <w:rPr>
          <w:rFonts w:ascii="Arial" w:hAnsi="Arial" w:cs="Arial"/>
          <w:bCs/>
          <w:iCs/>
          <w:color w:val="000000"/>
          <w:sz w:val="24"/>
          <w:szCs w:val="24"/>
        </w:rPr>
        <w:t>§ 1º</w:t>
      </w:r>
      <w:r w:rsidRPr="001B3ED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1B3ED0">
        <w:rPr>
          <w:rFonts w:ascii="Arial" w:hAnsi="Arial" w:cs="Arial"/>
          <w:bCs/>
          <w:iCs/>
          <w:color w:val="000000"/>
          <w:sz w:val="24"/>
          <w:szCs w:val="24"/>
        </w:rPr>
        <w:t>do art. 199 da Constituição Federal;</w:t>
      </w:r>
    </w:p>
    <w:p w14:paraId="3764BAE9" w14:textId="3899F852" w:rsidR="001B3ED0" w:rsidRPr="001B3ED0" w:rsidRDefault="001B3ED0" w:rsidP="001B3ED0">
      <w:pPr>
        <w:pStyle w:val="PargrafodaLista"/>
        <w:numPr>
          <w:ilvl w:val="0"/>
          <w:numId w:val="5"/>
        </w:numPr>
        <w:shd w:val="clear" w:color="auto" w:fill="FFFFFF"/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bCs/>
          <w:iCs/>
          <w:color w:val="000000"/>
          <w:sz w:val="24"/>
          <w:szCs w:val="24"/>
        </w:rPr>
        <w:t xml:space="preserve">os termos de parceria celebrados com organizações da sociedade civil de interesse público (OSCIP), atenderão os requisitos previstos na Lei Federal </w:t>
      </w:r>
      <w:r w:rsidRPr="001B3ED0">
        <w:rPr>
          <w:rFonts w:ascii="Arial" w:hAnsi="Arial" w:cs="Arial"/>
          <w:color w:val="000000"/>
          <w:sz w:val="24"/>
          <w:szCs w:val="24"/>
        </w:rPr>
        <w:t>nº 9.790, de 23 de março de 1999</w:t>
      </w:r>
      <w:r w:rsidR="00CB7898">
        <w:rPr>
          <w:rFonts w:ascii="Arial" w:hAnsi="Arial" w:cs="Arial"/>
          <w:color w:val="000000"/>
          <w:sz w:val="24"/>
          <w:szCs w:val="24"/>
        </w:rPr>
        <w:t>.</w:t>
      </w:r>
    </w:p>
    <w:p w14:paraId="67B507A5" w14:textId="77777777" w:rsidR="00DB249E" w:rsidRDefault="001B3ED0" w:rsidP="001B3ED0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color w:val="000000"/>
          <w:sz w:val="24"/>
          <w:szCs w:val="24"/>
        </w:rPr>
        <w:t xml:space="preserve">detalhamento do objeto a ser adquirido, contendo: </w:t>
      </w:r>
    </w:p>
    <w:p w14:paraId="1391D0CA" w14:textId="5C0384D0" w:rsidR="00DB249E" w:rsidRDefault="001B3ED0" w:rsidP="00DB249E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color w:val="000000"/>
          <w:sz w:val="24"/>
          <w:szCs w:val="24"/>
        </w:rPr>
        <w:t xml:space="preserve">descrição do objeto de forma precisa, suficiente e clara; </w:t>
      </w:r>
    </w:p>
    <w:p w14:paraId="01B5D77B" w14:textId="77777777" w:rsidR="00DB249E" w:rsidRDefault="001B3ED0" w:rsidP="00DB249E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color w:val="000000"/>
          <w:sz w:val="24"/>
          <w:szCs w:val="24"/>
        </w:rPr>
        <w:t xml:space="preserve">material a ser utilizado (plástico/metal); </w:t>
      </w:r>
    </w:p>
    <w:p w14:paraId="158A5897" w14:textId="77777777" w:rsidR="00DB249E" w:rsidRDefault="001B3ED0" w:rsidP="00DB249E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color w:val="000000"/>
          <w:sz w:val="24"/>
          <w:szCs w:val="24"/>
        </w:rPr>
        <w:t xml:space="preserve">tamanho (medida); </w:t>
      </w:r>
    </w:p>
    <w:p w14:paraId="2E633B36" w14:textId="68C4D8A5" w:rsidR="001B3ED0" w:rsidRPr="001B3ED0" w:rsidRDefault="001B3ED0" w:rsidP="00DB249E">
      <w:pPr>
        <w:pStyle w:val="PargrafodaLista"/>
        <w:numPr>
          <w:ilvl w:val="0"/>
          <w:numId w:val="14"/>
        </w:numPr>
        <w:shd w:val="clear" w:color="auto" w:fill="FFFFFF"/>
        <w:spacing w:line="36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color w:val="000000"/>
          <w:sz w:val="24"/>
          <w:szCs w:val="24"/>
        </w:rPr>
        <w:lastRenderedPageBreak/>
        <w:t>forma (retangular/oval) e especificações técnicas, tudo, para que haja a execução, controle e fiscalização adequadas, quando for o caso</w:t>
      </w:r>
      <w:r w:rsidR="00DB249E">
        <w:rPr>
          <w:rFonts w:ascii="Arial" w:hAnsi="Arial" w:cs="Arial"/>
          <w:color w:val="000000"/>
          <w:sz w:val="24"/>
          <w:szCs w:val="24"/>
        </w:rPr>
        <w:t>.</w:t>
      </w:r>
    </w:p>
    <w:p w14:paraId="1CF84F7C" w14:textId="45788349" w:rsidR="0092673C" w:rsidRPr="00BB734C" w:rsidRDefault="003B6AC3" w:rsidP="007123F9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BB734C">
        <w:rPr>
          <w:rFonts w:ascii="Arial" w:hAnsi="Arial" w:cs="Arial"/>
          <w:color w:val="000000" w:themeColor="text1"/>
          <w:sz w:val="24"/>
          <w:szCs w:val="24"/>
        </w:rPr>
        <w:t>Para obras e serviços de engenharia, deverá ser apresentado o Memorial Descritivo contendo as especificações técnicas e modo de execução relacionados ao objeto</w:t>
      </w:r>
      <w:r w:rsidR="00AA514B"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Pr="00BB734C">
        <w:rPr>
          <w:rFonts w:ascii="Arial" w:hAnsi="Arial" w:cs="Arial"/>
          <w:color w:val="000000" w:themeColor="text1"/>
          <w:sz w:val="24"/>
          <w:szCs w:val="24"/>
        </w:rPr>
        <w:t xml:space="preserve">Planilha orçamentária com referência nas planilhas bases SINAPI, CDHU, SIURB e FDE, </w:t>
      </w:r>
      <w:r w:rsidR="00AA514B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Pr="00BB734C">
        <w:rPr>
          <w:rFonts w:ascii="Arial" w:hAnsi="Arial" w:cs="Arial"/>
          <w:color w:val="000000" w:themeColor="text1"/>
          <w:sz w:val="24"/>
          <w:szCs w:val="24"/>
        </w:rPr>
        <w:t>Planilhas de Composição dos Itens e Cronograma Físico Financeiro para posterior abertura de licitação</w:t>
      </w:r>
      <w:r w:rsidR="00AA514B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Pr="00BB73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A514B">
        <w:rPr>
          <w:rFonts w:ascii="Arial" w:hAnsi="Arial" w:cs="Arial"/>
          <w:color w:val="000000" w:themeColor="text1"/>
          <w:sz w:val="24"/>
          <w:szCs w:val="24"/>
        </w:rPr>
        <w:t>n</w:t>
      </w:r>
      <w:r w:rsidRPr="00BB734C">
        <w:rPr>
          <w:rFonts w:ascii="Arial" w:hAnsi="Arial" w:cs="Arial"/>
          <w:color w:val="000000" w:themeColor="text1"/>
          <w:sz w:val="24"/>
          <w:szCs w:val="24"/>
        </w:rPr>
        <w:t>o caso específico de obra de engenharia se torna obrigatória a apresentação do projeto arquitetônico</w:t>
      </w:r>
      <w:r w:rsidR="00BB734C" w:rsidRPr="00BB734C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0179FF0" w14:textId="77777777" w:rsidR="0092673C" w:rsidRPr="00BB734C" w:rsidRDefault="001B3ED0" w:rsidP="0092673C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734C">
        <w:rPr>
          <w:rFonts w:ascii="Arial" w:hAnsi="Arial" w:cs="Arial"/>
          <w:color w:val="000000" w:themeColor="text1"/>
          <w:sz w:val="24"/>
          <w:szCs w:val="24"/>
        </w:rPr>
        <w:t>justificativa apresentada pelo parlamentar para a destinação do recurso;</w:t>
      </w:r>
    </w:p>
    <w:p w14:paraId="3807939E" w14:textId="4D064392" w:rsidR="001B3ED0" w:rsidRPr="00AA514B" w:rsidRDefault="00C22E2B" w:rsidP="00BB734C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734C">
        <w:rPr>
          <w:rFonts w:ascii="Arial" w:hAnsi="Arial" w:cs="Arial"/>
          <w:color w:val="000000" w:themeColor="text1"/>
          <w:sz w:val="24"/>
          <w:szCs w:val="24"/>
        </w:rPr>
        <w:t xml:space="preserve">descrição </w:t>
      </w:r>
      <w:r w:rsidR="001B3ED0" w:rsidRPr="00BB734C">
        <w:rPr>
          <w:rFonts w:ascii="Arial" w:hAnsi="Arial" w:cs="Arial"/>
          <w:color w:val="000000" w:themeColor="text1"/>
          <w:sz w:val="24"/>
          <w:szCs w:val="24"/>
        </w:rPr>
        <w:t>fundamentada do público-alvo.</w:t>
      </w:r>
      <w:r w:rsidR="0092673C" w:rsidRPr="00BB73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5708528" w14:textId="77777777" w:rsidR="00AA514B" w:rsidRPr="00BB734C" w:rsidRDefault="00AA514B" w:rsidP="00AA514B">
      <w:pPr>
        <w:pStyle w:val="PargrafodaLista"/>
        <w:shd w:val="clear" w:color="auto" w:fill="FFFFFF"/>
        <w:spacing w:line="360" w:lineRule="auto"/>
        <w:ind w:left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5B6F3DC" w14:textId="77777777" w:rsidR="001B3ED0" w:rsidRPr="001B3ED0" w:rsidRDefault="001B3ED0" w:rsidP="001B3ED0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 w:firstLine="2835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1B3ED0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Pr="001B3ED0">
        <w:rPr>
          <w:rFonts w:ascii="Arial" w:hAnsi="Arial" w:cs="Arial"/>
          <w:b/>
          <w:bCs/>
          <w:iCs/>
          <w:color w:val="000000"/>
          <w:sz w:val="24"/>
          <w:szCs w:val="24"/>
        </w:rPr>
        <w:t>6º</w:t>
      </w:r>
      <w:r w:rsidRPr="001B3E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ED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Para repasse ao Terceiro Setor, às Organizações da Sociedade Civil (</w:t>
      </w:r>
      <w:proofErr w:type="spellStart"/>
      <w:r w:rsidRPr="001B3ED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OSCs</w:t>
      </w:r>
      <w:proofErr w:type="spellEnd"/>
      <w:r w:rsidRPr="001B3ED0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) deverão obedecer aos seguintes requisitos:</w:t>
      </w:r>
    </w:p>
    <w:p w14:paraId="26B60222" w14:textId="7795CA2D" w:rsidR="001B3ED0" w:rsidRPr="001B3ED0" w:rsidRDefault="00DB3593" w:rsidP="001B3ED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>star vinculadas às Políticas Públicas de alguma das Secretarias Municipais, relacionado a uma política pública da pasta;</w:t>
      </w:r>
    </w:p>
    <w:p w14:paraId="2F7CA992" w14:textId="07DA5011" w:rsidR="001B3ED0" w:rsidRPr="001B3ED0" w:rsidRDefault="00DB3593" w:rsidP="001B3ED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f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>ormalizar Termo de Colaboração</w:t>
      </w:r>
      <w:r w:rsidR="0092673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2673C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ou fomento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>, mediante emissão de parecer jurídico</w:t>
      </w:r>
      <w:r w:rsidR="00CB7898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14:paraId="5C8209FF" w14:textId="5CF6BAFB" w:rsidR="001B3ED0" w:rsidRPr="001B3ED0" w:rsidRDefault="00DB3593" w:rsidP="001B3ED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>star em dia com todas as suas obrigações, mediante apresentação de certidões;</w:t>
      </w:r>
    </w:p>
    <w:p w14:paraId="03C6722D" w14:textId="653C5B2B" w:rsidR="001B3ED0" w:rsidRPr="001B3ED0" w:rsidRDefault="00DB3593" w:rsidP="001B3ED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>star inscrita no Conselho Municipal (da política pública relacionada);</w:t>
      </w:r>
    </w:p>
    <w:p w14:paraId="6F16E975" w14:textId="4D524BD5" w:rsidR="001B3ED0" w:rsidRPr="001B3ED0" w:rsidRDefault="00DB3593" w:rsidP="001B3ED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>presentar Plano de Trabalho,</w:t>
      </w:r>
      <w:r w:rsidR="001B3ED0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BB734C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o 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Projeto e Cronograma Físico-Financeiro, </w:t>
      </w:r>
      <w:r w:rsidR="00C22E2B">
        <w:rPr>
          <w:rFonts w:ascii="Arial" w:eastAsiaTheme="minorHAnsi" w:hAnsi="Arial" w:cs="Arial"/>
          <w:sz w:val="24"/>
          <w:szCs w:val="24"/>
          <w:lang w:eastAsia="en-US"/>
        </w:rPr>
        <w:t>a quantidade mínima de 3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22E2B">
        <w:rPr>
          <w:rFonts w:ascii="Arial" w:eastAsiaTheme="minorHAnsi" w:hAnsi="Arial" w:cs="Arial"/>
          <w:sz w:val="24"/>
          <w:szCs w:val="24"/>
          <w:lang w:eastAsia="en-US"/>
        </w:rPr>
        <w:t>(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>três</w:t>
      </w:r>
      <w:r w:rsidR="00C22E2B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 orçamentos, junt</w:t>
      </w:r>
      <w:r w:rsidR="00C22E2B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22E2B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1B3ED0" w:rsidRPr="001B3ED0">
        <w:rPr>
          <w:rFonts w:ascii="Arial" w:eastAsiaTheme="minorHAnsi" w:hAnsi="Arial" w:cs="Arial"/>
          <w:sz w:val="24"/>
          <w:szCs w:val="24"/>
          <w:lang w:eastAsia="en-US"/>
        </w:rPr>
        <w:t>o protocolo da emenda;</w:t>
      </w:r>
    </w:p>
    <w:p w14:paraId="5D0727C9" w14:textId="7545B68C" w:rsidR="001B3ED0" w:rsidRPr="001B3ED0" w:rsidRDefault="00DB3593" w:rsidP="001B3ED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</w:t>
      </w:r>
      <w:r w:rsidR="001B3ED0" w:rsidRPr="001B3E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ara construção ou reforma, deverá ser apresentada no ato do protocolo da emenda, matrícula atualizada em nome da entidade ou </w:t>
      </w:r>
      <w:r w:rsidR="001B3ED0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termo de concessão</w:t>
      </w:r>
      <w:r w:rsidR="0092673C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BB734C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ou permissão</w:t>
      </w:r>
      <w:r w:rsidR="001B3ED0" w:rsidRPr="001B3E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em caso de próprio municipal, sendo vetadas reformas e construções em prédios de terceiros;</w:t>
      </w:r>
    </w:p>
    <w:p w14:paraId="768E34A4" w14:textId="3B514E54" w:rsidR="001B3ED0" w:rsidRPr="001B3ED0" w:rsidRDefault="00DB3593" w:rsidP="001B3ED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e</w:t>
      </w:r>
      <w:r w:rsidR="001B3ED0" w:rsidRPr="001B3E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ventuais equipamentos </w:t>
      </w:r>
      <w:r w:rsidR="0092673C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e bens móveis </w:t>
      </w:r>
      <w:r w:rsidR="001B3ED0" w:rsidRPr="001B3E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destinados </w:t>
      </w:r>
      <w:r w:rsidR="00C22E2B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à</w:t>
      </w:r>
      <w:r w:rsidR="001B3ED0" w:rsidRPr="001B3E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s Entidades, permanecerão </w:t>
      </w:r>
      <w:r w:rsidR="00C22E2B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cedidas </w:t>
      </w:r>
      <w:r w:rsidR="001B3ED0" w:rsidRPr="001B3E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em forma de Comodato</w:t>
      </w:r>
      <w:r w:rsidR="00E748A4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por </w:t>
      </w:r>
      <w:r w:rsidR="00E748A4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um período de 05 (cinco) anos</w:t>
      </w:r>
      <w:r w:rsid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</w:t>
      </w:r>
      <w:r w:rsidR="001B3ED0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u</w:t>
      </w:r>
      <w:r w:rsidR="001B3ED0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ltrapassado </w:t>
      </w:r>
      <w:r w:rsidR="00E748A4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esse período</w:t>
      </w:r>
      <w:r w:rsidR="001B3ED0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="00E748A4" w:rsidRP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poderá ocorrer a doação às entidades, renovação dos contratos de comodato ou requisição dos bens pela municipalidade</w:t>
      </w:r>
      <w:r w:rsidR="00BB734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, e ca</w:t>
      </w:r>
      <w:r w:rsidR="001B3ED0" w:rsidRPr="001B3ED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so a Entidade seja extinta, os equipamentos deverão ser devolvidos a Municipalidade.</w:t>
      </w:r>
    </w:p>
    <w:p w14:paraId="7417BC0E" w14:textId="7ED055A7" w:rsidR="001B3ED0" w:rsidRDefault="00DB249E" w:rsidP="00DB249E">
      <w:pPr>
        <w:pStyle w:val="PargrafodaLista"/>
        <w:shd w:val="clear" w:color="auto" w:fill="FFFFFF"/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207BA0" w:rsidRPr="00207BA0">
        <w:rPr>
          <w:rFonts w:ascii="Arial" w:hAnsi="Arial" w:cs="Arial"/>
          <w:b/>
          <w:color w:val="000000"/>
          <w:sz w:val="24"/>
          <w:szCs w:val="24"/>
        </w:rPr>
        <w:t xml:space="preserve">Art. 7º </w:t>
      </w:r>
      <w:r w:rsidR="00207BA0" w:rsidRPr="00FF2546">
        <w:rPr>
          <w:rFonts w:ascii="Arial" w:hAnsi="Arial" w:cs="Arial"/>
          <w:bCs/>
          <w:color w:val="000000" w:themeColor="text1"/>
          <w:sz w:val="24"/>
          <w:szCs w:val="24"/>
        </w:rPr>
        <w:t xml:space="preserve">As emendas impositivas individuais deverão ser apresentadas em Ofício conforme modelo constante do </w:t>
      </w:r>
      <w:r w:rsidR="00FF2546" w:rsidRPr="00AA514B">
        <w:rPr>
          <w:rFonts w:ascii="Arial" w:hAnsi="Arial" w:cs="Arial"/>
          <w:bCs/>
          <w:color w:val="000000" w:themeColor="text1"/>
          <w:sz w:val="24"/>
          <w:szCs w:val="24"/>
        </w:rPr>
        <w:t>A</w:t>
      </w:r>
      <w:r w:rsidR="00207BA0" w:rsidRPr="00AA514B">
        <w:rPr>
          <w:rFonts w:ascii="Arial" w:hAnsi="Arial" w:cs="Arial"/>
          <w:bCs/>
          <w:color w:val="000000" w:themeColor="text1"/>
          <w:sz w:val="24"/>
          <w:szCs w:val="24"/>
        </w:rPr>
        <w:t xml:space="preserve">nexo </w:t>
      </w:r>
      <w:r w:rsidR="00FF2546" w:rsidRPr="00AA514B">
        <w:rPr>
          <w:rFonts w:ascii="Arial" w:hAnsi="Arial" w:cs="Arial"/>
          <w:bCs/>
          <w:color w:val="000000" w:themeColor="text1"/>
          <w:sz w:val="24"/>
          <w:szCs w:val="24"/>
        </w:rPr>
        <w:t>Ú</w:t>
      </w:r>
      <w:r w:rsidR="00207BA0" w:rsidRPr="00AA514B">
        <w:rPr>
          <w:rFonts w:ascii="Arial" w:hAnsi="Arial" w:cs="Arial"/>
          <w:bCs/>
          <w:color w:val="000000" w:themeColor="text1"/>
          <w:sz w:val="24"/>
          <w:szCs w:val="24"/>
        </w:rPr>
        <w:t>nico desta lei,</w:t>
      </w:r>
      <w:r w:rsidR="0092673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07BA0" w:rsidRPr="00FF2546">
        <w:rPr>
          <w:rFonts w:ascii="Arial" w:hAnsi="Arial" w:cs="Arial"/>
          <w:bCs/>
          <w:color w:val="000000" w:themeColor="text1"/>
          <w:sz w:val="24"/>
          <w:szCs w:val="24"/>
        </w:rPr>
        <w:t>por meio do sistema eletrônico do Legislativo</w:t>
      </w:r>
      <w:r w:rsidR="0092673C">
        <w:rPr>
          <w:rFonts w:ascii="Arial" w:hAnsi="Arial" w:cs="Arial"/>
          <w:bCs/>
          <w:color w:val="000000" w:themeColor="text1"/>
          <w:sz w:val="24"/>
          <w:szCs w:val="24"/>
        </w:rPr>
        <w:t xml:space="preserve">, observado a </w:t>
      </w:r>
      <w:r w:rsidR="0092673C" w:rsidRPr="00BB734C">
        <w:rPr>
          <w:rFonts w:ascii="Arial" w:hAnsi="Arial" w:cs="Arial"/>
          <w:bCs/>
          <w:color w:val="000000" w:themeColor="text1"/>
          <w:sz w:val="24"/>
          <w:szCs w:val="24"/>
        </w:rPr>
        <w:t>L</w:t>
      </w:r>
      <w:r w:rsidR="00E748A4" w:rsidRPr="00BB734C">
        <w:rPr>
          <w:rFonts w:ascii="Arial" w:hAnsi="Arial" w:cs="Arial"/>
          <w:bCs/>
          <w:color w:val="000000" w:themeColor="text1"/>
          <w:sz w:val="24"/>
          <w:szCs w:val="24"/>
        </w:rPr>
        <w:t xml:space="preserve">ei de Diretrizes Orçamentária </w:t>
      </w:r>
      <w:r w:rsidR="0092673C">
        <w:rPr>
          <w:rFonts w:ascii="Arial" w:hAnsi="Arial" w:cs="Arial"/>
          <w:bCs/>
          <w:color w:val="000000" w:themeColor="text1"/>
          <w:sz w:val="24"/>
          <w:szCs w:val="24"/>
        </w:rPr>
        <w:t>vigente</w:t>
      </w:r>
      <w:r w:rsidR="00207BA0" w:rsidRPr="00FF2546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0FE75C98" w14:textId="77777777" w:rsidR="00CB7898" w:rsidRPr="00FF2546" w:rsidRDefault="00CB7898" w:rsidP="00DB249E">
      <w:pPr>
        <w:pStyle w:val="PargrafodaLista"/>
        <w:shd w:val="clear" w:color="auto" w:fill="FFFFFF"/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DFFE9D" w14:textId="77777777" w:rsidR="008149FD" w:rsidRPr="00BB734C" w:rsidRDefault="008149FD" w:rsidP="00CB7898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734C">
        <w:rPr>
          <w:rFonts w:ascii="Arial" w:hAnsi="Arial" w:cs="Arial"/>
          <w:b/>
          <w:bCs/>
          <w:color w:val="000000" w:themeColor="text1"/>
          <w:sz w:val="24"/>
          <w:szCs w:val="24"/>
        </w:rPr>
        <w:t>Art. 8º</w:t>
      </w:r>
      <w:r w:rsidRPr="00BB734C">
        <w:rPr>
          <w:rFonts w:ascii="Arial" w:hAnsi="Arial" w:cs="Arial"/>
          <w:color w:val="000000" w:themeColor="text1"/>
          <w:sz w:val="24"/>
          <w:szCs w:val="24"/>
        </w:rPr>
        <w:t xml:space="preserve"> As emendas parlamentares deverão respeitar as normas da Lei de Diretrizes Orçamentárias, bem como o limite máximo de proposições e o valor mínimo de cada uma delas, </w:t>
      </w:r>
      <w:r w:rsidRPr="00BB734C">
        <w:rPr>
          <w:rFonts w:ascii="Arial" w:hAnsi="Arial" w:cs="Arial"/>
          <w:bCs/>
          <w:iCs/>
          <w:color w:val="000000" w:themeColor="text1"/>
          <w:sz w:val="24"/>
          <w:szCs w:val="24"/>
        </w:rPr>
        <w:t>respeitando a destinação prevista no art. 3º desta lei.</w:t>
      </w:r>
    </w:p>
    <w:p w14:paraId="6937C6DE" w14:textId="77777777" w:rsidR="008149FD" w:rsidRPr="00BB734C" w:rsidRDefault="008149FD" w:rsidP="008149FD">
      <w:pPr>
        <w:pStyle w:val="PargrafodaLista"/>
        <w:shd w:val="clear" w:color="auto" w:fill="FFFFFF"/>
        <w:tabs>
          <w:tab w:val="left" w:pos="567"/>
          <w:tab w:val="left" w:pos="2693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ind w:left="0" w:firstLine="2835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BB734C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Parágrafo único.</w:t>
      </w:r>
      <w:r w:rsidRPr="00BB734C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BB734C">
        <w:rPr>
          <w:rFonts w:ascii="Arial" w:hAnsi="Arial" w:cs="Arial"/>
          <w:bCs/>
          <w:iCs/>
          <w:color w:val="000000" w:themeColor="text1"/>
          <w:sz w:val="24"/>
          <w:szCs w:val="24"/>
        </w:rPr>
        <w:t>Cada emenda poderá ser destinada a diferentes objetos, desde que sejam para a mesma secretaria e ainda, estejam contemplados na mesma dotação.</w:t>
      </w:r>
    </w:p>
    <w:p w14:paraId="5F5A72AD" w14:textId="77777777" w:rsidR="001B3ED0" w:rsidRPr="001B3ED0" w:rsidRDefault="001B3ED0" w:rsidP="00DB3593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BEE2DD7" w14:textId="16648A5D" w:rsidR="001B3ED0" w:rsidRPr="001B3ED0" w:rsidRDefault="001B3ED0" w:rsidP="00DB3593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 w:firstLine="2835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1B3ED0">
        <w:rPr>
          <w:rFonts w:ascii="Arial" w:hAnsi="Arial" w:cs="Arial"/>
          <w:b/>
          <w:color w:val="000000"/>
          <w:sz w:val="24"/>
          <w:szCs w:val="24"/>
        </w:rPr>
        <w:t>Art. 9º</w:t>
      </w:r>
      <w:r w:rsidRPr="001B3ED0">
        <w:rPr>
          <w:rFonts w:ascii="Arial" w:hAnsi="Arial" w:cs="Arial"/>
          <w:bCs/>
          <w:iCs/>
          <w:color w:val="000000"/>
          <w:sz w:val="24"/>
          <w:szCs w:val="24"/>
        </w:rPr>
        <w:t xml:space="preserve"> As emendas deverão ser encaminhadas à Comissão de Finanças e Orçamentos, a qual fará análise prévia do objeto e valor respectivo.</w:t>
      </w:r>
      <w:r w:rsidR="00FF2546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</w:p>
    <w:p w14:paraId="12A6FF38" w14:textId="1972D3CB" w:rsidR="001B3ED0" w:rsidRPr="001B3ED0" w:rsidRDefault="001B3ED0" w:rsidP="001B3ED0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1B3ED0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1B3ED0">
        <w:rPr>
          <w:rFonts w:ascii="Arial" w:hAnsi="Arial" w:cs="Arial"/>
          <w:b/>
          <w:bCs/>
          <w:iCs/>
          <w:color w:val="000000"/>
          <w:sz w:val="24"/>
          <w:szCs w:val="24"/>
        </w:rPr>
        <w:tab/>
      </w:r>
      <w:r w:rsidRPr="00DB3593">
        <w:rPr>
          <w:rFonts w:ascii="Arial" w:hAnsi="Arial" w:cs="Arial"/>
          <w:iCs/>
          <w:color w:val="000000"/>
          <w:sz w:val="24"/>
          <w:szCs w:val="24"/>
        </w:rPr>
        <w:t>§ 1º</w:t>
      </w:r>
      <w:r w:rsidRPr="001B3ED0">
        <w:rPr>
          <w:rFonts w:ascii="Arial" w:hAnsi="Arial" w:cs="Arial"/>
          <w:color w:val="000000"/>
          <w:sz w:val="24"/>
          <w:szCs w:val="24"/>
        </w:rPr>
        <w:t xml:space="preserve"> Havendo divergências nas emendas, a Comissão devolverá a mesma ao Parlamentar, no prazo de até 05 (cinco) dias, para as devidas correções, devendo ele corrigir as divergências em até 48h, reapresentando a emenda junto ao protocolo eletrônico</w:t>
      </w:r>
      <w:r w:rsidR="00FF2546">
        <w:rPr>
          <w:rFonts w:ascii="Arial" w:hAnsi="Arial" w:cs="Arial"/>
          <w:color w:val="000000"/>
          <w:sz w:val="24"/>
          <w:szCs w:val="24"/>
        </w:rPr>
        <w:t>.</w:t>
      </w:r>
    </w:p>
    <w:p w14:paraId="4583C63C" w14:textId="5F9FB412" w:rsidR="001B3ED0" w:rsidRPr="001B3ED0" w:rsidRDefault="001B3ED0" w:rsidP="001B3ED0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Pr="001B3ED0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Pr="00DB3593">
        <w:rPr>
          <w:rFonts w:ascii="Arial" w:hAnsi="Arial" w:cs="Arial"/>
          <w:iCs/>
          <w:color w:val="000000"/>
          <w:sz w:val="24"/>
          <w:szCs w:val="24"/>
        </w:rPr>
        <w:t>§ 2º</w:t>
      </w:r>
      <w:r w:rsidRPr="001B3ED0">
        <w:rPr>
          <w:rFonts w:ascii="Arial" w:hAnsi="Arial" w:cs="Arial"/>
          <w:color w:val="000000"/>
          <w:sz w:val="24"/>
          <w:szCs w:val="24"/>
        </w:rPr>
        <w:t xml:space="preserve"> No caso de emendas impositivas iguais e indivisíveis, prosseguirá aquela que tiver sido protocolada primeira.</w:t>
      </w:r>
      <w:r w:rsidR="0075122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58C363" w14:textId="77777777" w:rsidR="001B3ED0" w:rsidRPr="001B3ED0" w:rsidRDefault="001B3ED0" w:rsidP="001B3ED0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74C93C4" w14:textId="5DE0C922" w:rsidR="001B3ED0" w:rsidRPr="001B3ED0" w:rsidRDefault="001B3ED0" w:rsidP="00DB3593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694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b/>
          <w:color w:val="000000"/>
          <w:sz w:val="24"/>
          <w:szCs w:val="24"/>
        </w:rPr>
        <w:t xml:space="preserve">Art. 10. </w:t>
      </w:r>
      <w:r w:rsidRPr="001B3ED0">
        <w:rPr>
          <w:rFonts w:ascii="Arial" w:hAnsi="Arial" w:cs="Arial"/>
          <w:color w:val="000000"/>
          <w:sz w:val="24"/>
          <w:szCs w:val="24"/>
        </w:rPr>
        <w:t>Fica vedada a apresentação de emendas impositivas que:</w:t>
      </w:r>
    </w:p>
    <w:p w14:paraId="2AAE7E1A" w14:textId="77777777" w:rsidR="006210B0" w:rsidRPr="00D02F15" w:rsidRDefault="001B3ED0" w:rsidP="00D02F15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2F15">
        <w:rPr>
          <w:rFonts w:ascii="Arial" w:hAnsi="Arial" w:cs="Arial"/>
          <w:color w:val="000000"/>
          <w:sz w:val="24"/>
          <w:szCs w:val="24"/>
        </w:rPr>
        <w:t>se destinem ao pagamento de despesas de pessoal;</w:t>
      </w:r>
    </w:p>
    <w:p w14:paraId="03A9FA34" w14:textId="77777777" w:rsidR="00D02F15" w:rsidRPr="00D02F15" w:rsidRDefault="001B3ED0" w:rsidP="00D02F15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2F15">
        <w:rPr>
          <w:rFonts w:ascii="Arial" w:hAnsi="Arial" w:cs="Arial"/>
          <w:color w:val="000000"/>
          <w:sz w:val="24"/>
          <w:szCs w:val="24"/>
        </w:rPr>
        <w:t>contenham incompatibilidade do objeto proposto com o programa do órgão ou entidade executora em andamento;</w:t>
      </w:r>
    </w:p>
    <w:p w14:paraId="35DBC48C" w14:textId="77777777" w:rsidR="00D02F15" w:rsidRPr="00D02F15" w:rsidRDefault="001B3ED0" w:rsidP="00D02F15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2F15">
        <w:rPr>
          <w:rFonts w:ascii="Arial" w:hAnsi="Arial" w:cs="Arial"/>
          <w:color w:val="000000"/>
          <w:sz w:val="24"/>
          <w:szCs w:val="24"/>
        </w:rPr>
        <w:t>inadequação do objeto proposto às disposições da Lei Federal nº 13.019, de 31 de julho de 2014, quando for o caso;</w:t>
      </w:r>
    </w:p>
    <w:p w14:paraId="2AD274C6" w14:textId="77777777" w:rsidR="00D02F15" w:rsidRPr="00D02F15" w:rsidRDefault="001B3ED0" w:rsidP="00D02F15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2F15">
        <w:rPr>
          <w:rFonts w:ascii="Arial" w:hAnsi="Arial" w:cs="Arial"/>
          <w:color w:val="000000"/>
          <w:sz w:val="24"/>
          <w:szCs w:val="24"/>
        </w:rPr>
        <w:t>falta de razoabilidade do valor proposto, incompatibilidade desse valor com o cronograma de execução do projeto ou, ainda, proposta de valor que impeça a conclusão de uma etapa útil do projeto;</w:t>
      </w:r>
    </w:p>
    <w:p w14:paraId="04294739" w14:textId="77777777" w:rsidR="00D02F15" w:rsidRPr="00D02F15" w:rsidRDefault="001B3ED0" w:rsidP="00D02F15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2F15">
        <w:rPr>
          <w:rFonts w:ascii="Arial" w:hAnsi="Arial" w:cs="Arial"/>
          <w:color w:val="000000"/>
          <w:sz w:val="24"/>
          <w:szCs w:val="24"/>
        </w:rPr>
        <w:lastRenderedPageBreak/>
        <w:t>ausência de pertinência temática entre o projeto proposto e a finalidade institucional da entidade beneficiária, quando for o caso;</w:t>
      </w:r>
    </w:p>
    <w:p w14:paraId="2259BDDC" w14:textId="279A77F8" w:rsidR="00D02F15" w:rsidRPr="00D02F15" w:rsidRDefault="001B3ED0" w:rsidP="00D02F15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2F15">
        <w:rPr>
          <w:rFonts w:ascii="Arial" w:hAnsi="Arial" w:cs="Arial"/>
          <w:color w:val="000000"/>
          <w:sz w:val="24"/>
          <w:szCs w:val="24"/>
        </w:rPr>
        <w:t>não indicação fundamentada do público-alvo</w:t>
      </w:r>
      <w:r w:rsidR="00AA7443">
        <w:rPr>
          <w:rFonts w:ascii="Arial" w:hAnsi="Arial" w:cs="Arial"/>
          <w:color w:val="000000"/>
          <w:sz w:val="24"/>
          <w:szCs w:val="24"/>
        </w:rPr>
        <w:t>;</w:t>
      </w:r>
    </w:p>
    <w:p w14:paraId="591AA2C4" w14:textId="42676DC1" w:rsidR="00823F93" w:rsidRPr="00BB734C" w:rsidRDefault="00823F93" w:rsidP="00823F93">
      <w:pPr>
        <w:pStyle w:val="PargrafodaLista"/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734C">
        <w:rPr>
          <w:rFonts w:ascii="Arial" w:hAnsi="Arial" w:cs="Arial"/>
          <w:color w:val="000000" w:themeColor="text1"/>
          <w:sz w:val="24"/>
          <w:szCs w:val="24"/>
        </w:rPr>
        <w:t>VII - violem as normas constitucionais e legais;</w:t>
      </w:r>
    </w:p>
    <w:p w14:paraId="6DE31ADF" w14:textId="7E29E9BB" w:rsidR="00823F93" w:rsidRPr="00BB734C" w:rsidRDefault="00823F93" w:rsidP="00823F93">
      <w:pPr>
        <w:pStyle w:val="PargrafodaLista"/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734C">
        <w:rPr>
          <w:rFonts w:ascii="Arial" w:hAnsi="Arial" w:cs="Arial"/>
          <w:color w:val="000000" w:themeColor="text1"/>
          <w:sz w:val="24"/>
          <w:szCs w:val="24"/>
        </w:rPr>
        <w:t>VIII - violem os princípios que norteiam a Administração Pública (CF, art. 37);</w:t>
      </w:r>
    </w:p>
    <w:p w14:paraId="3C8AC11E" w14:textId="67C44448" w:rsidR="00823F93" w:rsidRPr="00B814DB" w:rsidRDefault="00823F93" w:rsidP="00823F93">
      <w:pPr>
        <w:pStyle w:val="PargrafodaLista"/>
        <w:spacing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734C">
        <w:rPr>
          <w:rFonts w:ascii="Arial" w:hAnsi="Arial" w:cs="Arial"/>
          <w:color w:val="000000" w:themeColor="text1"/>
          <w:sz w:val="24"/>
          <w:szCs w:val="24"/>
        </w:rPr>
        <w:t xml:space="preserve">IX – </w:t>
      </w:r>
      <w:proofErr w:type="gramStart"/>
      <w:r w:rsidRPr="00BB734C">
        <w:rPr>
          <w:rFonts w:ascii="Arial" w:hAnsi="Arial" w:cs="Arial"/>
          <w:color w:val="000000" w:themeColor="text1"/>
          <w:sz w:val="24"/>
          <w:szCs w:val="24"/>
        </w:rPr>
        <w:t>contenham</w:t>
      </w:r>
      <w:proofErr w:type="gramEnd"/>
      <w:r w:rsidRPr="00BB734C">
        <w:rPr>
          <w:rFonts w:ascii="Arial" w:hAnsi="Arial" w:cs="Arial"/>
          <w:color w:val="000000" w:themeColor="text1"/>
          <w:sz w:val="24"/>
          <w:szCs w:val="24"/>
        </w:rPr>
        <w:t xml:space="preserve"> impedimentos impostos pelos tribunais de contas, no caso de transferências a entidades do terceiro setor.</w:t>
      </w:r>
    </w:p>
    <w:p w14:paraId="211C12C9" w14:textId="77777777" w:rsidR="00D02F15" w:rsidRDefault="00D02F15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2663A8C" w14:textId="5A325455" w:rsidR="001B3ED0" w:rsidRPr="00BB734C" w:rsidRDefault="001B3ED0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D02F15">
        <w:rPr>
          <w:rFonts w:ascii="Arial" w:hAnsi="Arial" w:cs="Arial"/>
          <w:b/>
          <w:color w:val="000000"/>
          <w:sz w:val="24"/>
          <w:szCs w:val="24"/>
        </w:rPr>
        <w:t>Art. 11.</w:t>
      </w:r>
      <w:r w:rsidRPr="00D02F15">
        <w:rPr>
          <w:rFonts w:ascii="Arial" w:hAnsi="Arial" w:cs="Arial"/>
          <w:color w:val="000000"/>
          <w:sz w:val="24"/>
          <w:szCs w:val="24"/>
        </w:rPr>
        <w:t xml:space="preserve"> Após análise, a Comissão de Finanças e Orçamentos apresentará as emendas ao Legislativo, </w:t>
      </w:r>
      <w:r w:rsidR="00E748A4" w:rsidRPr="00BB734C">
        <w:rPr>
          <w:rFonts w:ascii="Arial" w:hAnsi="Arial" w:cs="Arial"/>
          <w:bCs/>
          <w:color w:val="000000" w:themeColor="text1"/>
          <w:sz w:val="24"/>
          <w:szCs w:val="24"/>
          <w:lang w:eastAsia="pt-BR"/>
        </w:rPr>
        <w:t>incorporá-los no autógrafo da Lei Orçamentária Anual.</w:t>
      </w:r>
    </w:p>
    <w:p w14:paraId="06E0EA99" w14:textId="77777777" w:rsidR="001B3ED0" w:rsidRPr="001B3ED0" w:rsidRDefault="001B3ED0" w:rsidP="001B3ED0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DE5509C" w14:textId="77777777" w:rsidR="00D02F15" w:rsidRDefault="001B3ED0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hAnsi="Arial" w:cs="Arial"/>
          <w:b/>
          <w:color w:val="000000"/>
          <w:sz w:val="24"/>
          <w:szCs w:val="24"/>
        </w:rPr>
        <w:t>Art. 12.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 Caso o recurso correspondente à emenda parlamentar seja alocado em órgão e unidade orçamentária da LOA que não tenha competência para executá-la, ou em grupo de natureza da despesa que impossibilite a sua utilização, fica o Poder Executivo autorizado, cientificado o autor da emenda, a remanejar o respectivo valor para o programa de trabalho do órgão e unidade orçamentária na LOA com atribuição para a execução da iniciativa ou transferi-lo de grupo de natureza da despesa.</w:t>
      </w:r>
    </w:p>
    <w:p w14:paraId="4B77927B" w14:textId="77777777" w:rsidR="00D02F15" w:rsidRDefault="00D02F15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73CF775" w14:textId="77777777" w:rsidR="00D02F15" w:rsidRDefault="001B3ED0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eastAsiaTheme="minorHAnsi" w:hAnsi="Arial" w:cs="Arial"/>
          <w:b/>
          <w:sz w:val="24"/>
          <w:szCs w:val="24"/>
          <w:lang w:eastAsia="en-US"/>
        </w:rPr>
        <w:t>Art. 13.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  Caberá a Secretaria responsável pela execução da emenda parlamentar a verificação de sua viabilidade técnica, bem como o pagamento dos valores decorrentes da execução do programa de trabalho e a sua respectiva prestação de contas.</w:t>
      </w:r>
    </w:p>
    <w:p w14:paraId="322D878A" w14:textId="77777777" w:rsidR="00D02F15" w:rsidRDefault="00D02F15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2C0053B" w14:textId="77777777" w:rsidR="00D02F15" w:rsidRDefault="001B3ED0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eastAsiaTheme="minorHAnsi" w:hAnsi="Arial" w:cs="Arial"/>
          <w:b/>
          <w:sz w:val="24"/>
          <w:szCs w:val="24"/>
          <w:lang w:eastAsia="en-US"/>
        </w:rPr>
        <w:t>Art. 14.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 O acompanhamento da tramitação e execução das emendas parlamentares dar-se-á por meio do Portal da Transparência do Município.</w:t>
      </w:r>
    </w:p>
    <w:p w14:paraId="5E04B385" w14:textId="77777777" w:rsidR="00D02F15" w:rsidRDefault="00D02F15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79D9EA4" w14:textId="77777777" w:rsidR="00D02F15" w:rsidRDefault="001B3ED0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Art. 15. 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É obrigatória a execução orçamentária e financeira, observados os limites constitucionais, das programações a que se refere o </w:t>
      </w:r>
      <w:r w:rsidRPr="001B3ED0">
        <w:rPr>
          <w:rFonts w:ascii="Arial" w:hAnsi="Arial" w:cs="Arial"/>
          <w:bCs/>
          <w:iCs/>
          <w:color w:val="000000"/>
          <w:sz w:val="24"/>
          <w:szCs w:val="24"/>
        </w:rPr>
        <w:t>§ 2º</w:t>
      </w:r>
      <w:r w:rsidRPr="001B3E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>do art. 152 da Lei Orgânica do Município de Valinhos.</w:t>
      </w:r>
    </w:p>
    <w:p w14:paraId="1AE104FD" w14:textId="77777777" w:rsidR="00D02F15" w:rsidRDefault="001B3ED0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Parágrafo único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>. O dever de execução orçamentária e financeira de que trata o caput deste artigo compreende, cumulativamente, o empenho, a liquidação e o pagamento, admitida a inscrição em restos a pagar.</w:t>
      </w:r>
    </w:p>
    <w:p w14:paraId="380AC204" w14:textId="77777777" w:rsidR="00D02F15" w:rsidRDefault="00D02F15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B937AA8" w14:textId="77777777" w:rsidR="00D02F15" w:rsidRDefault="001B3ED0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eastAsiaTheme="minorHAnsi" w:hAnsi="Arial" w:cs="Arial"/>
          <w:b/>
          <w:sz w:val="24"/>
          <w:szCs w:val="24"/>
          <w:lang w:eastAsia="en-US"/>
        </w:rPr>
        <w:t>Art. 16.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 O dever de execução orçamentária e financeira, não impõe a execução de despesa no caso de impedimento de ordem técnica.</w:t>
      </w:r>
    </w:p>
    <w:p w14:paraId="69235281" w14:textId="77777777" w:rsidR="00D02F15" w:rsidRDefault="001B3ED0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hAnsi="Arial" w:cs="Arial"/>
          <w:iCs/>
          <w:color w:val="000000"/>
          <w:sz w:val="24"/>
          <w:szCs w:val="24"/>
        </w:rPr>
        <w:t>§ 1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>º Para os fins deste artigo, entende-se como impedimento de ordem técnica a situação ou o evento de ordem fática ou legal que obsta ou suspende a execução da programação orçamentária.</w:t>
      </w:r>
    </w:p>
    <w:p w14:paraId="7B53DF3C" w14:textId="77777777" w:rsidR="00D67968" w:rsidRPr="00BB734C" w:rsidRDefault="001B3ED0" w:rsidP="00D67968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  <w:r w:rsidRPr="00BB734C">
        <w:rPr>
          <w:rFonts w:ascii="Arial" w:hAnsi="Arial" w:cs="Arial"/>
          <w:iCs/>
          <w:color w:val="000000" w:themeColor="text1"/>
          <w:sz w:val="24"/>
          <w:szCs w:val="24"/>
        </w:rPr>
        <w:t>§ 2º</w:t>
      </w:r>
      <w:r w:rsidRPr="00BB73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7968" w:rsidRPr="00BB734C">
        <w:rPr>
          <w:rFonts w:ascii="Arial" w:hAnsi="Arial" w:cs="Arial"/>
          <w:color w:val="000000" w:themeColor="text1"/>
          <w:sz w:val="24"/>
          <w:szCs w:val="24"/>
          <w:lang w:eastAsia="pt-BR"/>
        </w:rPr>
        <w:t>São consideradas hipóteses de impedimentos de ordem técnica, sem prejuízo de outras identificadas em ato do Poder Executivo:</w:t>
      </w:r>
    </w:p>
    <w:p w14:paraId="18CE3D5C" w14:textId="1C5DA33F" w:rsidR="00D67968" w:rsidRPr="00BB734C" w:rsidRDefault="00BB734C" w:rsidP="00BB734C">
      <w:pPr>
        <w:pStyle w:val="PargrafodaLista"/>
        <w:numPr>
          <w:ilvl w:val="2"/>
          <w:numId w:val="18"/>
        </w:numPr>
        <w:spacing w:line="360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D67968" w:rsidRPr="00BB734C">
        <w:rPr>
          <w:rFonts w:ascii="Arial" w:hAnsi="Arial" w:cs="Arial"/>
          <w:color w:val="000000" w:themeColor="text1"/>
          <w:sz w:val="24"/>
          <w:szCs w:val="24"/>
        </w:rPr>
        <w:t>usência de projeto de engenharia aprovado pelo órgão e unidade orçamentária responsável pela execução da emenda parlamentar, nos casos em que for necessário;</w:t>
      </w:r>
    </w:p>
    <w:p w14:paraId="3B14B09D" w14:textId="3EF814DB" w:rsidR="00D67968" w:rsidRPr="00BB734C" w:rsidRDefault="00BB734C" w:rsidP="00BB734C">
      <w:pPr>
        <w:pStyle w:val="PargrafodaLista"/>
        <w:numPr>
          <w:ilvl w:val="2"/>
          <w:numId w:val="18"/>
        </w:numPr>
        <w:spacing w:line="360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D67968" w:rsidRPr="00BB734C">
        <w:rPr>
          <w:rFonts w:ascii="Arial" w:hAnsi="Arial" w:cs="Arial"/>
          <w:color w:val="000000" w:themeColor="text1"/>
          <w:sz w:val="24"/>
          <w:szCs w:val="24"/>
        </w:rPr>
        <w:t>usência de licença ambiental prévia, nos casos em que for necessária;</w:t>
      </w:r>
    </w:p>
    <w:p w14:paraId="23C847BC" w14:textId="43900586" w:rsidR="00D67968" w:rsidRPr="00BB734C" w:rsidRDefault="00BB734C" w:rsidP="00BB734C">
      <w:pPr>
        <w:pStyle w:val="PargrafodaLista"/>
        <w:numPr>
          <w:ilvl w:val="2"/>
          <w:numId w:val="18"/>
        </w:numPr>
        <w:spacing w:line="360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D67968" w:rsidRPr="00BB734C">
        <w:rPr>
          <w:rFonts w:ascii="Arial" w:hAnsi="Arial" w:cs="Arial"/>
          <w:color w:val="000000" w:themeColor="text1"/>
          <w:sz w:val="24"/>
          <w:szCs w:val="24"/>
        </w:rPr>
        <w:t>usência de comprovação de que os recursos orçamentários e financeiros sejam suficientes para a conclusão do projeto ou de etapa útil, com funcionalidade que permita o imediato usufruto dos benefícios pela sociedade;</w:t>
      </w:r>
    </w:p>
    <w:p w14:paraId="5574C2D3" w14:textId="06D067BA" w:rsidR="00D67968" w:rsidRPr="00BB734C" w:rsidRDefault="00BB734C" w:rsidP="00BB734C">
      <w:pPr>
        <w:pStyle w:val="PargrafodaLista"/>
        <w:numPr>
          <w:ilvl w:val="2"/>
          <w:numId w:val="18"/>
        </w:numPr>
        <w:spacing w:line="360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D67968" w:rsidRPr="00BB734C">
        <w:rPr>
          <w:rFonts w:ascii="Arial" w:hAnsi="Arial" w:cs="Arial"/>
          <w:color w:val="000000" w:themeColor="text1"/>
          <w:sz w:val="24"/>
          <w:szCs w:val="24"/>
        </w:rPr>
        <w:t>ncompatibilidade com a política pública aprovada no âmbito do órgão ou unidade orçamentária responsável pela execução da emenda parlamentar;</w:t>
      </w:r>
    </w:p>
    <w:p w14:paraId="7B62F616" w14:textId="0F7A6AD1" w:rsidR="00D67968" w:rsidRPr="00BB734C" w:rsidRDefault="00BB734C" w:rsidP="00BB734C">
      <w:pPr>
        <w:pStyle w:val="PargrafodaLista"/>
        <w:numPr>
          <w:ilvl w:val="2"/>
          <w:numId w:val="18"/>
        </w:numPr>
        <w:spacing w:line="360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D67968" w:rsidRPr="00BB734C">
        <w:rPr>
          <w:rFonts w:ascii="Arial" w:hAnsi="Arial" w:cs="Arial"/>
          <w:color w:val="000000" w:themeColor="text1"/>
          <w:sz w:val="24"/>
          <w:szCs w:val="24"/>
        </w:rPr>
        <w:t>ncompatibilidade do objeto da despesa com os atributos da ação orçamentária;</w:t>
      </w:r>
    </w:p>
    <w:p w14:paraId="1E87973D" w14:textId="2073A960" w:rsidR="00D67968" w:rsidRPr="00BB734C" w:rsidRDefault="00BB734C" w:rsidP="00BB734C">
      <w:pPr>
        <w:pStyle w:val="PargrafodaLista"/>
        <w:numPr>
          <w:ilvl w:val="2"/>
          <w:numId w:val="18"/>
        </w:numPr>
        <w:spacing w:line="360" w:lineRule="auto"/>
        <w:ind w:left="567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D67968" w:rsidRPr="00BB734C">
        <w:rPr>
          <w:rFonts w:ascii="Arial" w:hAnsi="Arial" w:cs="Arial"/>
          <w:color w:val="000000" w:themeColor="text1"/>
          <w:sz w:val="24"/>
          <w:szCs w:val="24"/>
        </w:rPr>
        <w:t>mpedimentos cujos prazos para superação inviabilizem o empenho dentro do exercício financeiro.</w:t>
      </w:r>
    </w:p>
    <w:p w14:paraId="598300C8" w14:textId="045B6391" w:rsidR="001B3ED0" w:rsidRPr="001B3ED0" w:rsidRDefault="001B3ED0" w:rsidP="00D02F15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hAnsi="Arial" w:cs="Arial"/>
          <w:iCs/>
          <w:color w:val="000000"/>
          <w:sz w:val="24"/>
          <w:szCs w:val="24"/>
        </w:rPr>
        <w:t>§ 3º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 Não caracterizam impedimento de ordem técnica:</w:t>
      </w:r>
    </w:p>
    <w:p w14:paraId="7B54BC0C" w14:textId="72FFECDE" w:rsidR="00D02F15" w:rsidRDefault="00BB734C" w:rsidP="006B2CD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1B3ED0" w:rsidRPr="00D02F15">
        <w:rPr>
          <w:rFonts w:ascii="Arial" w:eastAsiaTheme="minorHAnsi" w:hAnsi="Arial" w:cs="Arial"/>
          <w:sz w:val="24"/>
          <w:szCs w:val="24"/>
          <w:lang w:eastAsia="en-US"/>
        </w:rPr>
        <w:t>legação de falta de liberação ou disponibilidade orçamentária ou financeira;</w:t>
      </w:r>
    </w:p>
    <w:p w14:paraId="62BA3AF4" w14:textId="278E7066" w:rsidR="00D02F15" w:rsidRDefault="00BB734C" w:rsidP="00C12D7E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ó</w:t>
      </w:r>
      <w:r w:rsidR="001B3ED0" w:rsidRPr="00D02F15">
        <w:rPr>
          <w:rFonts w:ascii="Arial" w:eastAsiaTheme="minorHAnsi" w:hAnsi="Arial" w:cs="Arial"/>
          <w:sz w:val="24"/>
          <w:szCs w:val="24"/>
          <w:lang w:eastAsia="en-US"/>
        </w:rPr>
        <w:t>bice que possa ser sanado mediante procedimentos ou providências de responsabilidade exclusiva do órgão ou unidade orçamentária responsável pela execução;</w:t>
      </w:r>
    </w:p>
    <w:p w14:paraId="1627E589" w14:textId="646D413D" w:rsidR="00D02F15" w:rsidRDefault="00D02F15" w:rsidP="00E36AE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02F1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B734C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1B3ED0" w:rsidRPr="00D02F15">
        <w:rPr>
          <w:rFonts w:ascii="Arial" w:eastAsiaTheme="minorHAnsi" w:hAnsi="Arial" w:cs="Arial"/>
          <w:sz w:val="24"/>
          <w:szCs w:val="24"/>
          <w:lang w:eastAsia="en-US"/>
        </w:rPr>
        <w:t>legação de inadequação do valor da programação, quando o montante for suficiente para alcançar o objeto pretendido ou adquirir, pelo menos, uma unidade completa;</w:t>
      </w:r>
    </w:p>
    <w:p w14:paraId="03E54F14" w14:textId="3A5A5FF4" w:rsidR="001B3ED0" w:rsidRPr="00D02F15" w:rsidRDefault="00BB734C" w:rsidP="00E36AEF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m</w:t>
      </w:r>
      <w:r w:rsidR="001B3ED0" w:rsidRPr="00D02F15">
        <w:rPr>
          <w:rFonts w:ascii="Arial" w:eastAsiaTheme="minorHAnsi" w:hAnsi="Arial" w:cs="Arial"/>
          <w:sz w:val="24"/>
          <w:szCs w:val="24"/>
          <w:lang w:eastAsia="en-US"/>
        </w:rPr>
        <w:t>anifestação de órgão do Poder Executivo referente à conveniência do objeto da emenda.</w:t>
      </w:r>
    </w:p>
    <w:p w14:paraId="0F1774A8" w14:textId="77777777" w:rsidR="001B3ED0" w:rsidRPr="001B3ED0" w:rsidRDefault="001B3ED0" w:rsidP="001B3ED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5BC9F0D" w14:textId="522AE3F8" w:rsidR="00751226" w:rsidRPr="00F95E80" w:rsidRDefault="00751226" w:rsidP="00751226">
      <w:pPr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95E80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color w:val="000000"/>
          <w:sz w:val="24"/>
          <w:szCs w:val="24"/>
        </w:rPr>
        <w:t>17</w:t>
      </w:r>
      <w:r w:rsidRPr="00F95E8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F95E80">
        <w:rPr>
          <w:rFonts w:ascii="Arial" w:hAnsi="Arial" w:cs="Arial"/>
          <w:bCs/>
          <w:color w:val="000000"/>
          <w:sz w:val="24"/>
          <w:szCs w:val="24"/>
        </w:rPr>
        <w:t>Em atendimento ao disposto no §2º do art. 152 da Lei Orgânica do Município de Valinhos, com o fim de viabilizar a execução das programações incluídas por emendas parlamentares individuais de execução obrigatória, serão observados os seguintes procedimentos e prazos:</w:t>
      </w:r>
    </w:p>
    <w:p w14:paraId="502E769C" w14:textId="77777777" w:rsidR="00751226" w:rsidRPr="00BB734C" w:rsidRDefault="00751226" w:rsidP="00BB734C">
      <w:pPr>
        <w:pStyle w:val="PargrafodaLista"/>
        <w:numPr>
          <w:ilvl w:val="0"/>
          <w:numId w:val="19"/>
        </w:numPr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color w:val="000000"/>
          <w:sz w:val="24"/>
        </w:rPr>
      </w:pPr>
      <w:r w:rsidRPr="00BB734C">
        <w:rPr>
          <w:rFonts w:ascii="Arial" w:hAnsi="Arial" w:cs="Arial"/>
          <w:bCs/>
          <w:color w:val="000000"/>
          <w:sz w:val="24"/>
          <w:szCs w:val="24"/>
        </w:rPr>
        <w:t>até 45 (quarenta e cinco) dias após a publicação da lei orçamentária anual, o Poder Executivo enviará ao Poder Legislativo as justificativas dos impedimentos de ordem técnica porventura existentes;</w:t>
      </w:r>
    </w:p>
    <w:p w14:paraId="2189240D" w14:textId="77777777" w:rsidR="00751226" w:rsidRPr="00BB734C" w:rsidRDefault="00751226" w:rsidP="00BB734C">
      <w:pPr>
        <w:pStyle w:val="PargrafodaLista"/>
        <w:numPr>
          <w:ilvl w:val="0"/>
          <w:numId w:val="19"/>
        </w:numPr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color w:val="000000"/>
          <w:sz w:val="24"/>
        </w:rPr>
      </w:pPr>
      <w:r w:rsidRPr="00BB734C">
        <w:rPr>
          <w:rFonts w:ascii="Arial" w:hAnsi="Arial" w:cs="Arial"/>
          <w:bCs/>
          <w:color w:val="000000"/>
          <w:sz w:val="24"/>
          <w:szCs w:val="24"/>
        </w:rPr>
        <w:t>até 15 (quinze) dias após a ciência do impedimento de ordem técnica, previsto no item I, o Poder Legislativo indicará ao Poder Executivo o remanejamento da programação cujo impedimento seja insuperável, observado os valores destinados a ações e serviços públicos de saúde;</w:t>
      </w:r>
    </w:p>
    <w:p w14:paraId="2538D759" w14:textId="77777777" w:rsidR="00751226" w:rsidRPr="00BB734C" w:rsidRDefault="00751226" w:rsidP="00BB734C">
      <w:pPr>
        <w:pStyle w:val="PargrafodaLista"/>
        <w:numPr>
          <w:ilvl w:val="0"/>
          <w:numId w:val="19"/>
        </w:numPr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B734C">
        <w:rPr>
          <w:rFonts w:ascii="Arial" w:hAnsi="Arial" w:cs="Arial"/>
          <w:bCs/>
          <w:color w:val="000000"/>
          <w:sz w:val="24"/>
          <w:szCs w:val="24"/>
        </w:rPr>
        <w:t>até 15 (quinze) dias após o prazo previsto no item II, fica o Poder Executivo autorizado a realizar o remanejamento da programação orçamentária, nos termos da nova proposta de emenda.</w:t>
      </w:r>
    </w:p>
    <w:p w14:paraId="10AA35E5" w14:textId="77777777" w:rsidR="00751226" w:rsidRDefault="00751226" w:rsidP="00751226">
      <w:pPr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95E80">
        <w:rPr>
          <w:rFonts w:ascii="Arial" w:hAnsi="Arial" w:cs="Arial"/>
          <w:color w:val="000000"/>
          <w:sz w:val="24"/>
          <w:szCs w:val="24"/>
        </w:rPr>
        <w:tab/>
      </w:r>
      <w:r w:rsidRPr="00F95E80">
        <w:rPr>
          <w:rFonts w:ascii="Arial" w:hAnsi="Arial" w:cs="Arial"/>
          <w:color w:val="000000"/>
          <w:sz w:val="24"/>
          <w:szCs w:val="24"/>
        </w:rPr>
        <w:tab/>
        <w:t xml:space="preserve">§ 1º </w:t>
      </w:r>
      <w:r w:rsidRPr="00F95E80">
        <w:rPr>
          <w:rFonts w:ascii="Arial" w:hAnsi="Arial" w:cs="Arial"/>
          <w:bCs/>
          <w:color w:val="000000"/>
          <w:sz w:val="24"/>
          <w:szCs w:val="24"/>
        </w:rPr>
        <w:t>Após a indicação ao Poder Executivo, o autor da emenda não poderá alterar o beneficiário e o objeto da emenda e o respectivo valor, exceto na hipótese de impedimento de ordem técnica, observado o prazo previsto no inciso II do caput deste artigo.</w:t>
      </w:r>
    </w:p>
    <w:p w14:paraId="00AE54B3" w14:textId="1589D286" w:rsidR="00751226" w:rsidRPr="00F95E80" w:rsidRDefault="00751226" w:rsidP="00751226">
      <w:pPr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95E80">
        <w:rPr>
          <w:rFonts w:ascii="Arial" w:hAnsi="Arial" w:cs="Arial"/>
          <w:color w:val="000000"/>
          <w:sz w:val="24"/>
          <w:szCs w:val="24"/>
        </w:rPr>
        <w:tab/>
      </w:r>
      <w:r w:rsidRPr="00F95E80">
        <w:rPr>
          <w:rFonts w:ascii="Arial" w:hAnsi="Arial" w:cs="Arial"/>
          <w:color w:val="000000"/>
          <w:sz w:val="24"/>
          <w:szCs w:val="24"/>
        </w:rPr>
        <w:tab/>
        <w:t>§ 2º</w:t>
      </w:r>
      <w:r w:rsidRPr="00F95E8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95E80">
        <w:rPr>
          <w:rFonts w:ascii="Arial" w:hAnsi="Arial" w:cs="Arial"/>
          <w:bCs/>
          <w:color w:val="000000"/>
          <w:sz w:val="24"/>
          <w:szCs w:val="24"/>
        </w:rPr>
        <w:t xml:space="preserve">Caso não houver indicação de emendas parlamentares ou a indicação não seja realizada no prazo previsto no inciso II do </w:t>
      </w:r>
      <w:r w:rsidRPr="00CF2F61">
        <w:rPr>
          <w:rFonts w:ascii="Arial" w:hAnsi="Arial" w:cs="Arial"/>
          <w:bCs/>
          <w:i/>
          <w:iCs/>
          <w:color w:val="000000"/>
          <w:sz w:val="24"/>
          <w:szCs w:val="24"/>
        </w:rPr>
        <w:t>caput</w:t>
      </w:r>
      <w:r w:rsidRPr="00F95E80">
        <w:rPr>
          <w:rFonts w:ascii="Arial" w:hAnsi="Arial" w:cs="Arial"/>
          <w:bCs/>
          <w:color w:val="000000"/>
          <w:sz w:val="24"/>
          <w:szCs w:val="24"/>
        </w:rPr>
        <w:t xml:space="preserve"> deste artigo, fica o Poder Executivo autorizado a realizar remanejamento da parte não indicada de acordo com a necessidade da administração.</w:t>
      </w:r>
    </w:p>
    <w:p w14:paraId="3AF40D33" w14:textId="3FFAD9FF" w:rsidR="00751226" w:rsidRPr="00F95E80" w:rsidRDefault="00751226" w:rsidP="00751226">
      <w:pPr>
        <w:tabs>
          <w:tab w:val="left" w:pos="567"/>
          <w:tab w:val="left" w:pos="2835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F95E80">
        <w:rPr>
          <w:rFonts w:ascii="Arial" w:hAnsi="Arial" w:cs="Arial"/>
          <w:color w:val="000000"/>
          <w:sz w:val="24"/>
          <w:szCs w:val="24"/>
        </w:rPr>
        <w:tab/>
      </w:r>
      <w:r w:rsidRPr="00F95E80">
        <w:rPr>
          <w:rFonts w:ascii="Arial" w:hAnsi="Arial" w:cs="Arial"/>
          <w:color w:val="000000"/>
          <w:sz w:val="24"/>
          <w:szCs w:val="24"/>
        </w:rPr>
        <w:tab/>
        <w:t>§ 3º</w:t>
      </w:r>
      <w:r w:rsidRPr="00F95E80">
        <w:rPr>
          <w:rFonts w:ascii="Arial" w:hAnsi="Arial" w:cs="Arial"/>
          <w:bCs/>
          <w:color w:val="000000"/>
          <w:sz w:val="24"/>
          <w:szCs w:val="24"/>
        </w:rPr>
        <w:t xml:space="preserve"> Para as emendas que não houver impedimento de ordem técnica, após o parecer de regularidade emitido pela Secretaria responsável, fica o Poder Executivo autorizado a realizar a remanejamento do crédito orçamentário proposto na emenda, transferindo da dotação prevista </w:t>
      </w:r>
      <w:r>
        <w:rPr>
          <w:rFonts w:ascii="Arial" w:hAnsi="Arial" w:cs="Arial"/>
          <w:bCs/>
          <w:color w:val="000000"/>
          <w:sz w:val="24"/>
          <w:szCs w:val="24"/>
        </w:rPr>
        <w:t>no parágrafo único</w:t>
      </w:r>
      <w:r w:rsidRPr="00F95E80">
        <w:rPr>
          <w:rFonts w:ascii="Arial" w:hAnsi="Arial" w:cs="Arial"/>
          <w:bCs/>
          <w:color w:val="000000"/>
          <w:sz w:val="24"/>
          <w:szCs w:val="24"/>
        </w:rPr>
        <w:t xml:space="preserve"> do art. </w:t>
      </w:r>
      <w:r>
        <w:rPr>
          <w:rFonts w:ascii="Arial" w:hAnsi="Arial" w:cs="Arial"/>
          <w:bCs/>
          <w:color w:val="000000"/>
          <w:sz w:val="24"/>
          <w:szCs w:val="24"/>
        </w:rPr>
        <w:t>2º desta lei</w:t>
      </w:r>
      <w:r w:rsidRPr="00F95E80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58A590A" w14:textId="77777777" w:rsidR="001B3ED0" w:rsidRPr="001B3ED0" w:rsidRDefault="001B3ED0" w:rsidP="001B3ED0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90F193C" w14:textId="77777777" w:rsidR="00B761F6" w:rsidRDefault="001B3ED0" w:rsidP="00B761F6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B3ED0">
        <w:rPr>
          <w:rFonts w:ascii="Arial" w:eastAsiaTheme="minorHAnsi" w:hAnsi="Arial" w:cs="Arial"/>
          <w:b/>
          <w:sz w:val="24"/>
          <w:szCs w:val="24"/>
          <w:lang w:eastAsia="en-US"/>
        </w:rPr>
        <w:t>Art. 18.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t xml:space="preserve"> As alterações orçamentárias decorrentes das alocações das emendas impositivas nas dotações orçamentárias propostas não </w:t>
      </w:r>
      <w:r w:rsidRPr="001B3ED0">
        <w:rPr>
          <w:rFonts w:ascii="Arial" w:eastAsiaTheme="minorHAnsi" w:hAnsi="Arial" w:cs="Arial"/>
          <w:sz w:val="24"/>
          <w:szCs w:val="24"/>
          <w:lang w:eastAsia="en-US"/>
        </w:rPr>
        <w:lastRenderedPageBreak/>
        <w:t>serão consideradas no cômputo dos limites de créditos adicionais estabelecidos na Lei Orçamentária Anual.</w:t>
      </w:r>
    </w:p>
    <w:p w14:paraId="1631BEB6" w14:textId="77777777" w:rsidR="00B761F6" w:rsidRDefault="00B761F6" w:rsidP="00B761F6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17D4103" w14:textId="02443FB4" w:rsidR="001B3ED0" w:rsidRPr="001B3ED0" w:rsidRDefault="001B3ED0" w:rsidP="00B761F6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1B3ED0">
        <w:rPr>
          <w:rFonts w:ascii="Arial" w:hAnsi="Arial" w:cs="Arial"/>
          <w:b/>
          <w:color w:val="000000"/>
          <w:sz w:val="24"/>
          <w:szCs w:val="24"/>
        </w:rPr>
        <w:t>Art. 19.</w:t>
      </w:r>
      <w:r w:rsidRPr="001B3ED0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publicação, revogando automaticamente qualquer disposição em contrário.</w:t>
      </w:r>
    </w:p>
    <w:p w14:paraId="19D51B7D" w14:textId="77777777" w:rsidR="006C4AE7" w:rsidRPr="001E51A4" w:rsidRDefault="006C4AE7" w:rsidP="006C4AE7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3441207" w14:textId="31E03F8E" w:rsidR="006C4AE7" w:rsidRPr="00671E2C" w:rsidRDefault="006C4AE7" w:rsidP="001B3ED0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1E2C">
        <w:rPr>
          <w:rFonts w:ascii="Arial" w:hAnsi="Arial" w:cs="Arial"/>
          <w:sz w:val="24"/>
          <w:szCs w:val="24"/>
        </w:rPr>
        <w:tab/>
      </w:r>
      <w:r w:rsidRPr="00671E2C">
        <w:rPr>
          <w:rFonts w:ascii="Arial" w:hAnsi="Arial" w:cs="Arial"/>
          <w:sz w:val="24"/>
          <w:szCs w:val="24"/>
        </w:rPr>
        <w:tab/>
        <w:t xml:space="preserve">Prefeitura do Município de Valinhos, </w:t>
      </w:r>
    </w:p>
    <w:p w14:paraId="65744346" w14:textId="6D2DE74E" w:rsidR="006C4AE7" w:rsidRDefault="006C4AE7" w:rsidP="006C4AE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1E2C">
        <w:rPr>
          <w:rFonts w:ascii="Arial" w:hAnsi="Arial" w:cs="Arial"/>
          <w:sz w:val="24"/>
          <w:szCs w:val="24"/>
        </w:rPr>
        <w:tab/>
        <w:t>Aos</w:t>
      </w:r>
      <w:r w:rsidR="00A9099A">
        <w:rPr>
          <w:rFonts w:ascii="Arial" w:hAnsi="Arial" w:cs="Arial"/>
          <w:sz w:val="24"/>
          <w:szCs w:val="24"/>
        </w:rPr>
        <w:t xml:space="preserve"> ...</w:t>
      </w:r>
    </w:p>
    <w:p w14:paraId="741F2856" w14:textId="77777777" w:rsidR="00BB734C" w:rsidRDefault="00BB734C" w:rsidP="006C4AE7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480647" w14:textId="77777777" w:rsidR="006C4AE7" w:rsidRPr="00671E2C" w:rsidRDefault="006C4AE7" w:rsidP="006C4AE7">
      <w:pPr>
        <w:tabs>
          <w:tab w:val="left" w:pos="2835"/>
        </w:tabs>
        <w:spacing w:line="360" w:lineRule="auto"/>
        <w:ind w:firstLine="2835"/>
        <w:rPr>
          <w:rFonts w:ascii="Arial" w:hAnsi="Arial" w:cs="Arial"/>
          <w:b/>
          <w:bCs/>
          <w:sz w:val="24"/>
          <w:szCs w:val="24"/>
        </w:rPr>
      </w:pPr>
      <w:r w:rsidRPr="00671E2C">
        <w:rPr>
          <w:rFonts w:ascii="Arial" w:hAnsi="Arial" w:cs="Arial"/>
          <w:b/>
          <w:bCs/>
          <w:sz w:val="24"/>
          <w:szCs w:val="24"/>
        </w:rPr>
        <w:t>LUCIMARA ROSSI DE GODOY</w:t>
      </w:r>
    </w:p>
    <w:p w14:paraId="7D6BAB09" w14:textId="682876E9" w:rsidR="0064519F" w:rsidRDefault="006C4AE7" w:rsidP="0064519F">
      <w:pPr>
        <w:tabs>
          <w:tab w:val="left" w:pos="2835"/>
        </w:tabs>
        <w:spacing w:line="360" w:lineRule="auto"/>
        <w:ind w:right="2408" w:firstLine="2835"/>
        <w:jc w:val="center"/>
        <w:rPr>
          <w:b/>
          <w:sz w:val="24"/>
          <w:szCs w:val="24"/>
        </w:rPr>
      </w:pPr>
      <w:r w:rsidRPr="00A9099A">
        <w:rPr>
          <w:rFonts w:ascii="Arial" w:hAnsi="Arial" w:cs="Arial"/>
          <w:sz w:val="22"/>
          <w:szCs w:val="22"/>
        </w:rPr>
        <w:t>Prefeita Municipal</w:t>
      </w:r>
    </w:p>
    <w:p w14:paraId="2A109C31" w14:textId="6F7C7E95" w:rsidR="0064519F" w:rsidRPr="0064519F" w:rsidRDefault="00DB6E32" w:rsidP="0064519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FF2546" w:rsidRPr="0064519F">
        <w:rPr>
          <w:rFonts w:ascii="Arial" w:hAnsi="Arial" w:cs="Arial"/>
          <w:b/>
          <w:bCs/>
          <w:sz w:val="24"/>
          <w:szCs w:val="24"/>
        </w:rPr>
        <w:lastRenderedPageBreak/>
        <w:t>ANEXO ÚNICO</w:t>
      </w:r>
    </w:p>
    <w:p w14:paraId="58FCF589" w14:textId="15F88D01" w:rsidR="00207BA0" w:rsidRDefault="00207BA0" w:rsidP="006451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9F">
        <w:rPr>
          <w:rFonts w:ascii="Arial" w:hAnsi="Arial" w:cs="Arial"/>
          <w:b/>
          <w:bCs/>
          <w:sz w:val="24"/>
          <w:szCs w:val="24"/>
        </w:rPr>
        <w:t>EMENDA IMPOSITIVA Nº</w:t>
      </w:r>
      <w:r w:rsidR="0064519F" w:rsidRPr="0064519F">
        <w:rPr>
          <w:rFonts w:ascii="Arial" w:hAnsi="Arial" w:cs="Arial"/>
          <w:b/>
          <w:bCs/>
          <w:sz w:val="24"/>
          <w:szCs w:val="24"/>
        </w:rPr>
        <w:t xml:space="preserve"> ____ </w:t>
      </w:r>
      <w:r w:rsidRPr="0064519F">
        <w:rPr>
          <w:rFonts w:ascii="Arial" w:hAnsi="Arial" w:cs="Arial"/>
          <w:b/>
          <w:bCs/>
          <w:sz w:val="24"/>
          <w:szCs w:val="24"/>
        </w:rPr>
        <w:t>– EXERCÍCIO _____</w:t>
      </w:r>
    </w:p>
    <w:p w14:paraId="079FCBC6" w14:textId="77777777" w:rsidR="005F178D" w:rsidRPr="0064519F" w:rsidRDefault="005F178D" w:rsidP="0064519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48" w:type="dxa"/>
        <w:tblInd w:w="-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245"/>
        <w:gridCol w:w="4394"/>
      </w:tblGrid>
      <w:tr w:rsidR="00207BA0" w:rsidRPr="00106052" w14:paraId="37B9300A" w14:textId="77777777" w:rsidTr="00207BA0">
        <w:trPr>
          <w:trHeight w:val="23"/>
        </w:trPr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55E5D" w14:textId="77777777" w:rsidR="00207BA0" w:rsidRPr="00106052" w:rsidRDefault="00207BA0" w:rsidP="00DA39E3">
            <w:pPr>
              <w:spacing w:line="276" w:lineRule="auto"/>
              <w:jc w:val="center"/>
            </w:pPr>
            <w:r w:rsidRPr="00106052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63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D21D42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b/>
                <w:color w:val="000000"/>
              </w:rPr>
              <w:t xml:space="preserve">SECRETARIA BENEFICIADA: </w:t>
            </w:r>
            <w:r w:rsidRPr="00106052">
              <w:rPr>
                <w:color w:val="000000"/>
              </w:rPr>
              <w:t xml:space="preserve">                                                                                           </w:t>
            </w:r>
          </w:p>
        </w:tc>
      </w:tr>
      <w:tr w:rsidR="00207BA0" w:rsidRPr="00106052" w14:paraId="6BC2A80A" w14:textId="77777777" w:rsidTr="00207BA0">
        <w:trPr>
          <w:trHeight w:val="340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74B8E9" w14:textId="77777777" w:rsidR="00207BA0" w:rsidRPr="00106052" w:rsidRDefault="00207BA0" w:rsidP="00DA39E3">
            <w:pPr>
              <w:spacing w:line="276" w:lineRule="auto"/>
              <w:jc w:val="center"/>
            </w:pPr>
            <w:r w:rsidRPr="00106052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63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6E6B535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b/>
                <w:color w:val="000000"/>
              </w:rPr>
              <w:t xml:space="preserve">ENTIDADE BENEFICIADA: </w:t>
            </w:r>
          </w:p>
        </w:tc>
      </w:tr>
      <w:tr w:rsidR="00207BA0" w:rsidRPr="00106052" w14:paraId="54687392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B57627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828D03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Razão Social: </w:t>
            </w:r>
          </w:p>
        </w:tc>
      </w:tr>
      <w:tr w:rsidR="00207BA0" w:rsidRPr="00106052" w14:paraId="07FB0793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68CD1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F51387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CNPJ: </w:t>
            </w:r>
          </w:p>
        </w:tc>
      </w:tr>
      <w:tr w:rsidR="00207BA0" w:rsidRPr="00106052" w14:paraId="48A396A5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E4A99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60B243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Endereço: </w:t>
            </w:r>
          </w:p>
        </w:tc>
      </w:tr>
      <w:tr w:rsidR="00207BA0" w:rsidRPr="00106052" w14:paraId="550C5969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71DC5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9DE2A3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Bairro: </w:t>
            </w:r>
          </w:p>
        </w:tc>
      </w:tr>
      <w:tr w:rsidR="00207BA0" w:rsidRPr="00106052" w14:paraId="01601C32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EF4F3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97E604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Cidade: </w:t>
            </w:r>
          </w:p>
        </w:tc>
      </w:tr>
      <w:tr w:rsidR="00207BA0" w:rsidRPr="00106052" w14:paraId="6F72321A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65DA3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E32E40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CEP: </w:t>
            </w:r>
          </w:p>
        </w:tc>
      </w:tr>
      <w:tr w:rsidR="00207BA0" w:rsidRPr="00106052" w14:paraId="62BBE4BA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8FC05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E906F0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Site oficial: </w:t>
            </w:r>
          </w:p>
        </w:tc>
      </w:tr>
      <w:tr w:rsidR="00207BA0" w:rsidRPr="00106052" w14:paraId="2439B791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28E9B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65C4BF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Telefone: </w:t>
            </w:r>
          </w:p>
        </w:tc>
      </w:tr>
      <w:tr w:rsidR="00207BA0" w:rsidRPr="00106052" w14:paraId="609429B7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409E5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3C7653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E-mail corporativo: </w:t>
            </w:r>
          </w:p>
        </w:tc>
      </w:tr>
      <w:tr w:rsidR="00207BA0" w:rsidRPr="00106052" w14:paraId="2285A83A" w14:textId="77777777" w:rsidTr="005F178D">
        <w:trPr>
          <w:trHeight w:val="604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129F9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083FCCA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Justificativa de escolha da entidade: </w:t>
            </w:r>
          </w:p>
        </w:tc>
      </w:tr>
      <w:tr w:rsidR="00207BA0" w:rsidRPr="00106052" w14:paraId="389C93AE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3808C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B78600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Nome do Responsável legal: </w:t>
            </w:r>
          </w:p>
        </w:tc>
      </w:tr>
      <w:tr w:rsidR="00207BA0" w:rsidRPr="00106052" w14:paraId="4EAA5AD6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DA4057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E34A67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CPF: </w:t>
            </w:r>
          </w:p>
        </w:tc>
      </w:tr>
      <w:tr w:rsidR="00207BA0" w:rsidRPr="00106052" w14:paraId="1B896894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BA2AC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4CA601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Endereço: </w:t>
            </w:r>
          </w:p>
        </w:tc>
      </w:tr>
      <w:tr w:rsidR="00207BA0" w:rsidRPr="00106052" w14:paraId="12BEA9FE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DC50B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FCF137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Bairro: </w:t>
            </w:r>
          </w:p>
        </w:tc>
      </w:tr>
      <w:tr w:rsidR="00207BA0" w:rsidRPr="00106052" w14:paraId="21676AF7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8C4081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93566E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Cidade: </w:t>
            </w:r>
          </w:p>
        </w:tc>
      </w:tr>
      <w:tr w:rsidR="00207BA0" w:rsidRPr="00106052" w14:paraId="512B8818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F57A1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51836C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CEP: </w:t>
            </w:r>
          </w:p>
        </w:tc>
      </w:tr>
      <w:tr w:rsidR="00207BA0" w:rsidRPr="00106052" w14:paraId="355AF316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0F3F6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6BE5C8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Telefone: </w:t>
            </w:r>
          </w:p>
        </w:tc>
      </w:tr>
      <w:tr w:rsidR="00207BA0" w:rsidRPr="00106052" w14:paraId="7F13E8D2" w14:textId="77777777" w:rsidTr="00207BA0">
        <w:trPr>
          <w:trHeight w:val="340"/>
        </w:trPr>
        <w:tc>
          <w:tcPr>
            <w:tcW w:w="70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C6D21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637889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color w:val="000000"/>
              </w:rPr>
              <w:t xml:space="preserve">E-mail particular: </w:t>
            </w:r>
          </w:p>
        </w:tc>
      </w:tr>
      <w:tr w:rsidR="00207BA0" w:rsidRPr="00106052" w14:paraId="25930D00" w14:textId="77777777" w:rsidTr="005F17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/>
        </w:trPr>
        <w:tc>
          <w:tcPr>
            <w:tcW w:w="10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9D7C450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b/>
                <w:color w:val="000000"/>
              </w:rPr>
              <w:t xml:space="preserve">Descrição da obra ou objeto: </w:t>
            </w:r>
          </w:p>
        </w:tc>
      </w:tr>
      <w:tr w:rsidR="00207BA0" w:rsidRPr="00106052" w14:paraId="1A613C30" w14:textId="77777777" w:rsidTr="00207B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5668DF9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b/>
                <w:color w:val="000000"/>
              </w:rPr>
              <w:t xml:space="preserve">Justificativa: </w:t>
            </w:r>
          </w:p>
        </w:tc>
      </w:tr>
      <w:tr w:rsidR="00207BA0" w:rsidRPr="00106052" w14:paraId="28BAB49F" w14:textId="77777777" w:rsidTr="00207B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F4EAFCB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b/>
                <w:color w:val="000000"/>
              </w:rPr>
              <w:t>Público alvo: </w:t>
            </w:r>
          </w:p>
        </w:tc>
      </w:tr>
      <w:tr w:rsidR="00207BA0" w:rsidRPr="00106052" w14:paraId="77944533" w14:textId="77777777" w:rsidTr="00207BA0">
        <w:trPr>
          <w:trHeight w:val="424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0023E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b/>
                <w:color w:val="000000"/>
              </w:rPr>
              <w:t xml:space="preserve">Dotação: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276963" w14:textId="77777777" w:rsidR="00207BA0" w:rsidRDefault="00207BA0" w:rsidP="00DA39E3">
            <w:pPr>
              <w:spacing w:line="276" w:lineRule="auto"/>
              <w:rPr>
                <w:b/>
                <w:color w:val="000000"/>
              </w:rPr>
            </w:pPr>
            <w:r w:rsidRPr="00106052">
              <w:rPr>
                <w:b/>
                <w:color w:val="000000"/>
              </w:rPr>
              <w:t xml:space="preserve">R$ </w:t>
            </w:r>
          </w:p>
          <w:p w14:paraId="02809B83" w14:textId="77777777" w:rsidR="0064519F" w:rsidRPr="0064519F" w:rsidRDefault="0064519F" w:rsidP="0064519F"/>
          <w:p w14:paraId="50A1342D" w14:textId="77777777" w:rsidR="0064519F" w:rsidRPr="0064519F" w:rsidRDefault="0064519F" w:rsidP="0064519F"/>
          <w:p w14:paraId="7AB78C93" w14:textId="77777777" w:rsidR="0064519F" w:rsidRPr="0064519F" w:rsidRDefault="0064519F" w:rsidP="0064519F"/>
          <w:p w14:paraId="7C23CEAC" w14:textId="77777777" w:rsidR="0064519F" w:rsidRPr="0064519F" w:rsidRDefault="0064519F" w:rsidP="0064519F"/>
          <w:p w14:paraId="0452CD22" w14:textId="77777777" w:rsidR="0064519F" w:rsidRPr="0064519F" w:rsidRDefault="0064519F" w:rsidP="0064519F"/>
        </w:tc>
      </w:tr>
      <w:tr w:rsidR="00207BA0" w:rsidRPr="00106052" w14:paraId="3D14A4A0" w14:textId="77777777" w:rsidTr="005F178D">
        <w:trPr>
          <w:trHeight w:val="643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FAA0B" w14:textId="77777777" w:rsidR="00207BA0" w:rsidRPr="00106052" w:rsidRDefault="00207BA0" w:rsidP="00DA39E3">
            <w:pPr>
              <w:spacing w:line="276" w:lineRule="auto"/>
            </w:pPr>
            <w:r w:rsidRPr="00106052">
              <w:rPr>
                <w:b/>
                <w:color w:val="000000"/>
              </w:rPr>
              <w:t>Ficha: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9B2CDB" w14:textId="77777777" w:rsidR="00207BA0" w:rsidRPr="00106052" w:rsidRDefault="00207BA0" w:rsidP="00DA39E3">
            <w:pPr>
              <w:snapToGrid w:val="0"/>
              <w:rPr>
                <w:b/>
                <w:color w:val="000000"/>
              </w:rPr>
            </w:pPr>
          </w:p>
        </w:tc>
      </w:tr>
    </w:tbl>
    <w:p w14:paraId="5F58B05E" w14:textId="46ED9DBF" w:rsidR="00B54EF4" w:rsidRPr="00A9099A" w:rsidRDefault="00B54EF4" w:rsidP="005F178D">
      <w:pPr>
        <w:tabs>
          <w:tab w:val="left" w:pos="2835"/>
        </w:tabs>
        <w:spacing w:line="360" w:lineRule="auto"/>
        <w:ind w:right="2408"/>
        <w:rPr>
          <w:rFonts w:ascii="Arial" w:hAnsi="Arial" w:cs="Arial"/>
          <w:b/>
          <w:sz w:val="22"/>
          <w:szCs w:val="22"/>
        </w:rPr>
      </w:pPr>
    </w:p>
    <w:sectPr w:rsidR="00B54EF4" w:rsidRPr="00A9099A" w:rsidSect="00645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0" w:left="1985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8F27" w14:textId="77777777" w:rsidR="00A220E1" w:rsidRDefault="00A220E1">
      <w:r>
        <w:separator/>
      </w:r>
    </w:p>
  </w:endnote>
  <w:endnote w:type="continuationSeparator" w:id="0">
    <w:p w14:paraId="3AEF5D38" w14:textId="77777777" w:rsidR="00A220E1" w:rsidRDefault="00A2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9402" w14:textId="77777777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14:paraId="00780ED6" w14:textId="77777777"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18DDCFD5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E521" w14:textId="20F8A350" w:rsidR="001E4B62" w:rsidRPr="00F543CF" w:rsidRDefault="00184325" w:rsidP="001E4B62">
    <w:pPr>
      <w:pStyle w:val="Rodap"/>
      <w:jc w:val="right"/>
      <w:rPr>
        <w:rFonts w:ascii="Arial" w:hAnsi="Arial" w:cs="Arial"/>
        <w:lang w:eastAsia="pt-BR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="001E4B62" w:rsidRPr="00F543CF">
      <w:rPr>
        <w:rFonts w:ascii="Arial" w:hAnsi="Arial" w:cs="Arial"/>
        <w:sz w:val="16"/>
        <w:szCs w:val="16"/>
      </w:rPr>
      <w:t xml:space="preserve"> Pág. </w:t>
    </w:r>
    <w:r w:rsidR="001E4B62" w:rsidRPr="00F543CF">
      <w:rPr>
        <w:rFonts w:ascii="Arial" w:hAnsi="Arial" w:cs="Arial"/>
        <w:b/>
        <w:bCs/>
        <w:sz w:val="16"/>
        <w:szCs w:val="16"/>
      </w:rPr>
      <w:fldChar w:fldCharType="begin"/>
    </w:r>
    <w:r w:rsidR="001E4B62" w:rsidRPr="00F543CF">
      <w:rPr>
        <w:rFonts w:ascii="Arial" w:hAnsi="Arial" w:cs="Arial"/>
        <w:b/>
        <w:bCs/>
        <w:sz w:val="16"/>
        <w:szCs w:val="16"/>
      </w:rPr>
      <w:instrText xml:space="preserve"> PAGE </w:instrText>
    </w:r>
    <w:r w:rsidR="001E4B62" w:rsidRPr="00F543CF">
      <w:rPr>
        <w:rFonts w:ascii="Arial" w:hAnsi="Arial" w:cs="Arial"/>
        <w:b/>
        <w:bCs/>
        <w:sz w:val="16"/>
        <w:szCs w:val="16"/>
      </w:rPr>
      <w:fldChar w:fldCharType="separate"/>
    </w:r>
    <w:r w:rsidR="001E4B62" w:rsidRPr="00F543CF">
      <w:rPr>
        <w:rFonts w:ascii="Arial" w:hAnsi="Arial" w:cs="Arial"/>
        <w:b/>
        <w:bCs/>
        <w:sz w:val="16"/>
        <w:szCs w:val="16"/>
      </w:rPr>
      <w:t>1</w:t>
    </w:r>
    <w:r w:rsidR="001E4B62" w:rsidRPr="00F543CF">
      <w:rPr>
        <w:rFonts w:ascii="Arial" w:hAnsi="Arial" w:cs="Arial"/>
        <w:b/>
        <w:bCs/>
        <w:sz w:val="16"/>
        <w:szCs w:val="16"/>
      </w:rPr>
      <w:fldChar w:fldCharType="end"/>
    </w:r>
    <w:r w:rsidR="001E4B62" w:rsidRPr="00F543CF">
      <w:rPr>
        <w:rFonts w:ascii="Arial" w:hAnsi="Arial" w:cs="Arial"/>
        <w:sz w:val="16"/>
        <w:szCs w:val="16"/>
      </w:rPr>
      <w:t xml:space="preserve"> de </w:t>
    </w:r>
    <w:r w:rsidR="001E4B62" w:rsidRPr="00F543CF">
      <w:rPr>
        <w:rFonts w:ascii="Arial" w:hAnsi="Arial" w:cs="Arial"/>
        <w:b/>
        <w:bCs/>
        <w:sz w:val="16"/>
        <w:szCs w:val="16"/>
      </w:rPr>
      <w:fldChar w:fldCharType="begin"/>
    </w:r>
    <w:r w:rsidR="001E4B62" w:rsidRPr="00F543CF">
      <w:rPr>
        <w:rFonts w:ascii="Arial" w:hAnsi="Arial" w:cs="Arial"/>
        <w:b/>
        <w:bCs/>
        <w:sz w:val="16"/>
        <w:szCs w:val="16"/>
      </w:rPr>
      <w:instrText xml:space="preserve"> NUMPAGES \* ARABIC </w:instrText>
    </w:r>
    <w:r w:rsidR="001E4B62" w:rsidRPr="00F543CF">
      <w:rPr>
        <w:rFonts w:ascii="Arial" w:hAnsi="Arial" w:cs="Arial"/>
        <w:b/>
        <w:bCs/>
        <w:sz w:val="16"/>
        <w:szCs w:val="16"/>
      </w:rPr>
      <w:fldChar w:fldCharType="separate"/>
    </w:r>
    <w:r w:rsidR="001E4B62" w:rsidRPr="00F543CF">
      <w:rPr>
        <w:rFonts w:ascii="Arial" w:hAnsi="Arial" w:cs="Arial"/>
        <w:b/>
        <w:bCs/>
        <w:sz w:val="16"/>
        <w:szCs w:val="16"/>
      </w:rPr>
      <w:t>7</w:t>
    </w:r>
    <w:r w:rsidR="001E4B62" w:rsidRPr="00F543CF">
      <w:rPr>
        <w:rFonts w:ascii="Arial" w:hAnsi="Arial" w:cs="Arial"/>
        <w:b/>
        <w:bCs/>
        <w:sz w:val="16"/>
        <w:szCs w:val="16"/>
      </w:rPr>
      <w:fldChar w:fldCharType="end"/>
    </w:r>
  </w:p>
  <w:p w14:paraId="47807A12" w14:textId="1BE08046" w:rsidR="00943749" w:rsidRDefault="007176C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0157E107" w14:textId="0D4FBFDF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PAÇO MUNICIPAL – PALÁCIO INDEPENDÊNCIA – Rua </w:t>
    </w:r>
    <w:r w:rsidR="00F543CF">
      <w:rPr>
        <w:rFonts w:ascii="Arial" w:hAnsi="Arial" w:cs="Arial"/>
        <w:sz w:val="16"/>
        <w:szCs w:val="16"/>
        <w:lang w:eastAsia="pt-BR"/>
      </w:rPr>
      <w:t>Antônio</w:t>
    </w:r>
    <w:r>
      <w:rPr>
        <w:rFonts w:ascii="Arial" w:hAnsi="Arial" w:cs="Arial"/>
        <w:sz w:val="16"/>
        <w:szCs w:val="16"/>
        <w:lang w:eastAsia="pt-BR"/>
      </w:rPr>
      <w:t xml:space="preserve"> Carlos, 301 – Centro – Valinhos – SP – CEP: 13270-005</w:t>
    </w:r>
  </w:p>
  <w:p w14:paraId="23606D83" w14:textId="77777777" w:rsidR="005D32CB" w:rsidRDefault="007176C8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14:paraId="597FEE29" w14:textId="77777777" w:rsidR="00943749" w:rsidRDefault="00943749">
    <w:pPr>
      <w:pStyle w:val="Rodap"/>
      <w:tabs>
        <w:tab w:val="right" w:pos="9639"/>
      </w:tabs>
      <w:ind w:left="-1134" w:right="-992"/>
      <w:jc w:val="center"/>
    </w:pPr>
  </w:p>
  <w:p w14:paraId="4555F543" w14:textId="77777777"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0DAED2F0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237A" w14:textId="77777777" w:rsidR="001E4B62" w:rsidRDefault="001E4B62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14:paraId="0E224B44" w14:textId="77777777"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14:paraId="0B42D931" w14:textId="5FDF21D8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92E2AD" w14:textId="562B7B38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PAÇO MUNICIPAL – PALÁCIO INDEPENDÊNCIA – Rua </w:t>
    </w:r>
    <w:proofErr w:type="spellStart"/>
    <w:r>
      <w:rPr>
        <w:rFonts w:ascii="Arial" w:hAnsi="Arial" w:cs="Arial"/>
        <w:sz w:val="16"/>
        <w:szCs w:val="16"/>
        <w:lang w:eastAsia="pt-BR"/>
      </w:rPr>
      <w:t>Antonio</w:t>
    </w:r>
    <w:proofErr w:type="spellEnd"/>
    <w:r>
      <w:rPr>
        <w:rFonts w:ascii="Arial" w:hAnsi="Arial" w:cs="Arial"/>
        <w:sz w:val="16"/>
        <w:szCs w:val="16"/>
        <w:lang w:eastAsia="pt-BR"/>
      </w:rPr>
      <w:t xml:space="preserve"> Carlos, 301 – Centro – Valinhos – SP – CEP: 13270-005</w:t>
    </w:r>
  </w:p>
  <w:p w14:paraId="040ED155" w14:textId="77777777" w:rsidR="005D32CB" w:rsidRDefault="007176C8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14:paraId="47814C1F" w14:textId="77777777"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14:paraId="46521B7A" w14:textId="77777777"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4092" w14:textId="77777777" w:rsidR="00A220E1" w:rsidRDefault="00A220E1">
      <w:r>
        <w:separator/>
      </w:r>
    </w:p>
  </w:footnote>
  <w:footnote w:type="continuationSeparator" w:id="0">
    <w:p w14:paraId="38029559" w14:textId="77777777" w:rsidR="00A220E1" w:rsidRDefault="00A22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1F9D" w14:textId="77777777" w:rsidR="005D32CB" w:rsidRDefault="005D32CB">
    <w:pPr>
      <w:pStyle w:val="Cabealho"/>
      <w:ind w:left="2127"/>
      <w:rPr>
        <w:lang w:eastAsia="pt-BR"/>
      </w:rPr>
    </w:pPr>
  </w:p>
  <w:p w14:paraId="1AC4A693" w14:textId="77777777"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B647" w14:textId="15D1D955" w:rsidR="005D32CB" w:rsidRDefault="00A3703D" w:rsidP="00747648">
    <w:pPr>
      <w:pStyle w:val="Cabealho"/>
      <w:jc w:val="center"/>
      <w:rPr>
        <w:lang w:eastAsia="pt-BR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79DFA41E" wp14:editId="01D75E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2103338285" name="Imagem 2103338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CD8">
      <w:rPr>
        <w:noProof/>
      </w:rPr>
      <w:drawing>
        <wp:inline distT="0" distB="0" distL="0" distR="0" wp14:anchorId="668C24AD" wp14:editId="1B727DD5">
          <wp:extent cx="2737485" cy="937895"/>
          <wp:effectExtent l="0" t="0" r="0" b="0"/>
          <wp:docPr id="1552639535" name="Imagem 1552639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04BAE" w14:textId="7D17934C" w:rsidR="005D32CB" w:rsidRDefault="00A3703D">
    <w:pPr>
      <w:pStyle w:val="Cabealho"/>
      <w:ind w:left="2127"/>
      <w:rPr>
        <w:lang w:eastAsia="pt-BR"/>
      </w:rPr>
    </w:pPr>
    <w:r>
      <w:rPr>
        <w:noProof/>
      </w:rPr>
      <w:drawing>
        <wp:anchor distT="0" distB="0" distL="114935" distR="114935" simplePos="0" relativeHeight="251657216" behindDoc="0" locked="0" layoutInCell="1" allowOverlap="1" wp14:anchorId="32F1729C" wp14:editId="468BD2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1522330459" name="Imagem 1522330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73C68E8E" wp14:editId="00138035">
          <wp:extent cx="2758440" cy="937260"/>
          <wp:effectExtent l="0" t="0" r="0" b="0"/>
          <wp:docPr id="1456403464" name="Imagem 1456403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054272E" w14:textId="77777777"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upperRoman"/>
      <w:suff w:val="space"/>
      <w:lvlText w:val="%1-"/>
      <w:lvlJc w:val="left"/>
      <w:pPr>
        <w:tabs>
          <w:tab w:val="num" w:pos="0"/>
        </w:tabs>
        <w:ind w:left="567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B96AEE"/>
    <w:multiLevelType w:val="hybridMultilevel"/>
    <w:tmpl w:val="B8FA002E"/>
    <w:lvl w:ilvl="0" w:tplc="664A9D6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1" w:tplc="FB9AD6A8">
      <w:start w:val="1"/>
      <w:numFmt w:val="upperRoman"/>
      <w:lvlText w:val="%2 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21BEA"/>
    <w:multiLevelType w:val="hybridMultilevel"/>
    <w:tmpl w:val="59C44ECE"/>
    <w:lvl w:ilvl="0" w:tplc="3B3AAD60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8BBE76DA" w:tentative="1">
      <w:start w:val="1"/>
      <w:numFmt w:val="lowerLetter"/>
      <w:lvlText w:val="%2."/>
      <w:lvlJc w:val="left"/>
      <w:pPr>
        <w:ind w:left="1440" w:hanging="360"/>
      </w:pPr>
    </w:lvl>
    <w:lvl w:ilvl="2" w:tplc="1EDEA784" w:tentative="1">
      <w:start w:val="1"/>
      <w:numFmt w:val="lowerRoman"/>
      <w:lvlText w:val="%3."/>
      <w:lvlJc w:val="right"/>
      <w:pPr>
        <w:ind w:left="2160" w:hanging="180"/>
      </w:pPr>
    </w:lvl>
    <w:lvl w:ilvl="3" w:tplc="0C6AB2E8" w:tentative="1">
      <w:start w:val="1"/>
      <w:numFmt w:val="decimal"/>
      <w:lvlText w:val="%4."/>
      <w:lvlJc w:val="left"/>
      <w:pPr>
        <w:ind w:left="2880" w:hanging="360"/>
      </w:pPr>
    </w:lvl>
    <w:lvl w:ilvl="4" w:tplc="FAE858C0" w:tentative="1">
      <w:start w:val="1"/>
      <w:numFmt w:val="lowerLetter"/>
      <w:lvlText w:val="%5."/>
      <w:lvlJc w:val="left"/>
      <w:pPr>
        <w:ind w:left="3600" w:hanging="360"/>
      </w:pPr>
    </w:lvl>
    <w:lvl w:ilvl="5" w:tplc="3B5A721A" w:tentative="1">
      <w:start w:val="1"/>
      <w:numFmt w:val="lowerRoman"/>
      <w:lvlText w:val="%6."/>
      <w:lvlJc w:val="right"/>
      <w:pPr>
        <w:ind w:left="4320" w:hanging="180"/>
      </w:pPr>
    </w:lvl>
    <w:lvl w:ilvl="6" w:tplc="D20A73AA" w:tentative="1">
      <w:start w:val="1"/>
      <w:numFmt w:val="decimal"/>
      <w:lvlText w:val="%7."/>
      <w:lvlJc w:val="left"/>
      <w:pPr>
        <w:ind w:left="5040" w:hanging="360"/>
      </w:pPr>
    </w:lvl>
    <w:lvl w:ilvl="7" w:tplc="C63CA112" w:tentative="1">
      <w:start w:val="1"/>
      <w:numFmt w:val="lowerLetter"/>
      <w:lvlText w:val="%8."/>
      <w:lvlJc w:val="left"/>
      <w:pPr>
        <w:ind w:left="5760" w:hanging="360"/>
      </w:pPr>
    </w:lvl>
    <w:lvl w:ilvl="8" w:tplc="96B41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E3BD0"/>
    <w:multiLevelType w:val="hybridMultilevel"/>
    <w:tmpl w:val="0CDCAF52"/>
    <w:name w:val="WW8Num202"/>
    <w:lvl w:ilvl="0" w:tplc="1220A4C0">
      <w:start w:val="1"/>
      <w:numFmt w:val="upperRoman"/>
      <w:suff w:val="space"/>
      <w:lvlText w:val="%1 - 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6E03CF"/>
    <w:multiLevelType w:val="hybridMultilevel"/>
    <w:tmpl w:val="F8DE2716"/>
    <w:lvl w:ilvl="0" w:tplc="CBF0480E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7CE4"/>
    <w:multiLevelType w:val="hybridMultilevel"/>
    <w:tmpl w:val="3ADEA5AA"/>
    <w:lvl w:ilvl="0" w:tplc="FFFFFFFF">
      <w:start w:val="1"/>
      <w:numFmt w:val="upperRoman"/>
      <w:lvlText w:val="%1 - 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4F1AF6D0">
      <w:start w:val="1"/>
      <w:numFmt w:val="upperRoman"/>
      <w:suff w:val="space"/>
      <w:lvlText w:val="%3 - "/>
      <w:lvlJc w:val="left"/>
      <w:pPr>
        <w:ind w:left="290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A2432E1"/>
    <w:multiLevelType w:val="hybridMultilevel"/>
    <w:tmpl w:val="E76EEF10"/>
    <w:lvl w:ilvl="0" w:tplc="60DA09CE">
      <w:start w:val="4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trike w:val="0"/>
        <w:color w:val="000000" w:themeColor="text1"/>
        <w:sz w:val="24"/>
        <w:szCs w:val="24"/>
      </w:rPr>
    </w:lvl>
    <w:lvl w:ilvl="1" w:tplc="1D1E7142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CB7012F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07FD1"/>
    <w:multiLevelType w:val="hybridMultilevel"/>
    <w:tmpl w:val="DC809AB0"/>
    <w:lvl w:ilvl="0" w:tplc="4B183FB8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32646BEE" w:tentative="1">
      <w:start w:val="1"/>
      <w:numFmt w:val="lowerLetter"/>
      <w:lvlText w:val="%2."/>
      <w:lvlJc w:val="left"/>
      <w:pPr>
        <w:ind w:left="1648" w:hanging="360"/>
      </w:pPr>
    </w:lvl>
    <w:lvl w:ilvl="2" w:tplc="0B46DB90" w:tentative="1">
      <w:start w:val="1"/>
      <w:numFmt w:val="lowerRoman"/>
      <w:lvlText w:val="%3."/>
      <w:lvlJc w:val="right"/>
      <w:pPr>
        <w:ind w:left="2368" w:hanging="180"/>
      </w:pPr>
    </w:lvl>
    <w:lvl w:ilvl="3" w:tplc="DB609BF4" w:tentative="1">
      <w:start w:val="1"/>
      <w:numFmt w:val="decimal"/>
      <w:lvlText w:val="%4."/>
      <w:lvlJc w:val="left"/>
      <w:pPr>
        <w:ind w:left="3088" w:hanging="360"/>
      </w:pPr>
    </w:lvl>
    <w:lvl w:ilvl="4" w:tplc="84BA66F4" w:tentative="1">
      <w:start w:val="1"/>
      <w:numFmt w:val="lowerLetter"/>
      <w:lvlText w:val="%5."/>
      <w:lvlJc w:val="left"/>
      <w:pPr>
        <w:ind w:left="3808" w:hanging="360"/>
      </w:pPr>
    </w:lvl>
    <w:lvl w:ilvl="5" w:tplc="235E567C" w:tentative="1">
      <w:start w:val="1"/>
      <w:numFmt w:val="lowerRoman"/>
      <w:lvlText w:val="%6."/>
      <w:lvlJc w:val="right"/>
      <w:pPr>
        <w:ind w:left="4528" w:hanging="180"/>
      </w:pPr>
    </w:lvl>
    <w:lvl w:ilvl="6" w:tplc="5B82DD8E" w:tentative="1">
      <w:start w:val="1"/>
      <w:numFmt w:val="decimal"/>
      <w:lvlText w:val="%7."/>
      <w:lvlJc w:val="left"/>
      <w:pPr>
        <w:ind w:left="5248" w:hanging="360"/>
      </w:pPr>
    </w:lvl>
    <w:lvl w:ilvl="7" w:tplc="14602CE4" w:tentative="1">
      <w:start w:val="1"/>
      <w:numFmt w:val="lowerLetter"/>
      <w:lvlText w:val="%8."/>
      <w:lvlJc w:val="left"/>
      <w:pPr>
        <w:ind w:left="5968" w:hanging="360"/>
      </w:pPr>
    </w:lvl>
    <w:lvl w:ilvl="8" w:tplc="97D8AF5A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3596867"/>
    <w:multiLevelType w:val="hybridMultilevel"/>
    <w:tmpl w:val="EF5E6BAA"/>
    <w:lvl w:ilvl="0" w:tplc="468843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407D1A"/>
    <w:multiLevelType w:val="hybridMultilevel"/>
    <w:tmpl w:val="5052D5B2"/>
    <w:lvl w:ilvl="0" w:tplc="CC42BE2E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17B24"/>
    <w:multiLevelType w:val="hybridMultilevel"/>
    <w:tmpl w:val="1EBC65C4"/>
    <w:lvl w:ilvl="0" w:tplc="845E8120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6D4797"/>
    <w:multiLevelType w:val="hybridMultilevel"/>
    <w:tmpl w:val="56489688"/>
    <w:lvl w:ilvl="0" w:tplc="71EE202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CA37BC3"/>
    <w:multiLevelType w:val="hybridMultilevel"/>
    <w:tmpl w:val="D666C0EE"/>
    <w:lvl w:ilvl="0" w:tplc="6DD4E05C">
      <w:start w:val="1"/>
      <w:numFmt w:val="upperRoman"/>
      <w:suff w:val="space"/>
      <w:lvlText w:val="%1 - "/>
      <w:lvlJc w:val="left"/>
      <w:pPr>
        <w:ind w:left="1080" w:hanging="720"/>
      </w:pPr>
      <w:rPr>
        <w:rFonts w:ascii="Arial" w:hAnsi="Arial" w:hint="default"/>
        <w:b w:val="0"/>
        <w:i w:val="0"/>
        <w:sz w:val="20"/>
        <w:szCs w:val="24"/>
      </w:rPr>
    </w:lvl>
    <w:lvl w:ilvl="1" w:tplc="35009564" w:tentative="1">
      <w:start w:val="1"/>
      <w:numFmt w:val="lowerLetter"/>
      <w:lvlText w:val="%2."/>
      <w:lvlJc w:val="left"/>
      <w:pPr>
        <w:ind w:left="1440" w:hanging="360"/>
      </w:pPr>
    </w:lvl>
    <w:lvl w:ilvl="2" w:tplc="962A634C" w:tentative="1">
      <w:start w:val="1"/>
      <w:numFmt w:val="lowerRoman"/>
      <w:lvlText w:val="%3."/>
      <w:lvlJc w:val="right"/>
      <w:pPr>
        <w:ind w:left="2160" w:hanging="180"/>
      </w:pPr>
    </w:lvl>
    <w:lvl w:ilvl="3" w:tplc="D6B80BBA" w:tentative="1">
      <w:start w:val="1"/>
      <w:numFmt w:val="decimal"/>
      <w:lvlText w:val="%4."/>
      <w:lvlJc w:val="left"/>
      <w:pPr>
        <w:ind w:left="2880" w:hanging="360"/>
      </w:pPr>
    </w:lvl>
    <w:lvl w:ilvl="4" w:tplc="4CD03404" w:tentative="1">
      <w:start w:val="1"/>
      <w:numFmt w:val="lowerLetter"/>
      <w:lvlText w:val="%5."/>
      <w:lvlJc w:val="left"/>
      <w:pPr>
        <w:ind w:left="3600" w:hanging="360"/>
      </w:pPr>
    </w:lvl>
    <w:lvl w:ilvl="5" w:tplc="F7A88DDC" w:tentative="1">
      <w:start w:val="1"/>
      <w:numFmt w:val="lowerRoman"/>
      <w:lvlText w:val="%6."/>
      <w:lvlJc w:val="right"/>
      <w:pPr>
        <w:ind w:left="4320" w:hanging="180"/>
      </w:pPr>
    </w:lvl>
    <w:lvl w:ilvl="6" w:tplc="A8184EE0" w:tentative="1">
      <w:start w:val="1"/>
      <w:numFmt w:val="decimal"/>
      <w:lvlText w:val="%7."/>
      <w:lvlJc w:val="left"/>
      <w:pPr>
        <w:ind w:left="5040" w:hanging="360"/>
      </w:pPr>
    </w:lvl>
    <w:lvl w:ilvl="7" w:tplc="71A42170" w:tentative="1">
      <w:start w:val="1"/>
      <w:numFmt w:val="lowerLetter"/>
      <w:lvlText w:val="%8."/>
      <w:lvlJc w:val="left"/>
      <w:pPr>
        <w:ind w:left="5760" w:hanging="360"/>
      </w:pPr>
    </w:lvl>
    <w:lvl w:ilvl="8" w:tplc="24B82B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B5D40"/>
    <w:multiLevelType w:val="hybridMultilevel"/>
    <w:tmpl w:val="2978520E"/>
    <w:lvl w:ilvl="0" w:tplc="B268B7F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660DF5"/>
    <w:multiLevelType w:val="hybridMultilevel"/>
    <w:tmpl w:val="BCC439C6"/>
    <w:lvl w:ilvl="0" w:tplc="3AD08708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 w15:restartNumberingAfterBreak="0">
    <w:nsid w:val="7A4751B6"/>
    <w:multiLevelType w:val="hybridMultilevel"/>
    <w:tmpl w:val="07583092"/>
    <w:lvl w:ilvl="0" w:tplc="C762AE5E">
      <w:start w:val="1"/>
      <w:numFmt w:val="upperRoman"/>
      <w:lvlText w:val="%1 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85225"/>
    <w:multiLevelType w:val="hybridMultilevel"/>
    <w:tmpl w:val="2C8C4A6C"/>
    <w:lvl w:ilvl="0" w:tplc="F94442B2">
      <w:start w:val="1"/>
      <w:numFmt w:val="upperRoman"/>
      <w:lvlText w:val="%1 - 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F0F3935"/>
    <w:multiLevelType w:val="multilevel"/>
    <w:tmpl w:val="AF303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1667856">
    <w:abstractNumId w:val="0"/>
  </w:num>
  <w:num w:numId="2" w16cid:durableId="1179612465">
    <w:abstractNumId w:val="18"/>
  </w:num>
  <w:num w:numId="3" w16cid:durableId="1115250954">
    <w:abstractNumId w:val="13"/>
  </w:num>
  <w:num w:numId="4" w16cid:durableId="969555771">
    <w:abstractNumId w:val="8"/>
  </w:num>
  <w:num w:numId="5" w16cid:durableId="1673215701">
    <w:abstractNumId w:val="3"/>
  </w:num>
  <w:num w:numId="6" w16cid:durableId="561914303">
    <w:abstractNumId w:val="10"/>
  </w:num>
  <w:num w:numId="7" w16cid:durableId="1692760361">
    <w:abstractNumId w:val="12"/>
  </w:num>
  <w:num w:numId="8" w16cid:durableId="1912157785">
    <w:abstractNumId w:val="11"/>
  </w:num>
  <w:num w:numId="9" w16cid:durableId="1418743149">
    <w:abstractNumId w:val="5"/>
  </w:num>
  <w:num w:numId="10" w16cid:durableId="1640304051">
    <w:abstractNumId w:val="7"/>
  </w:num>
  <w:num w:numId="11" w16cid:durableId="1008142579">
    <w:abstractNumId w:val="16"/>
  </w:num>
  <w:num w:numId="12" w16cid:durableId="719783969">
    <w:abstractNumId w:val="2"/>
  </w:num>
  <w:num w:numId="13" w16cid:durableId="2078358150">
    <w:abstractNumId w:val="15"/>
  </w:num>
  <w:num w:numId="14" w16cid:durableId="341712194">
    <w:abstractNumId w:val="9"/>
  </w:num>
  <w:num w:numId="15" w16cid:durableId="227419183">
    <w:abstractNumId w:val="14"/>
  </w:num>
  <w:num w:numId="16" w16cid:durableId="1219973029">
    <w:abstractNumId w:val="1"/>
  </w:num>
  <w:num w:numId="17" w16cid:durableId="2099057304">
    <w:abstractNumId w:val="17"/>
  </w:num>
  <w:num w:numId="18" w16cid:durableId="193856843">
    <w:abstractNumId w:val="6"/>
  </w:num>
  <w:num w:numId="19" w16cid:durableId="1891578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3D"/>
    <w:rsid w:val="0001078E"/>
    <w:rsid w:val="00016759"/>
    <w:rsid w:val="00032DCC"/>
    <w:rsid w:val="00097681"/>
    <w:rsid w:val="000C3C1D"/>
    <w:rsid w:val="000C4059"/>
    <w:rsid w:val="000C6F45"/>
    <w:rsid w:val="000D1056"/>
    <w:rsid w:val="000D2DF5"/>
    <w:rsid w:val="000E2B79"/>
    <w:rsid w:val="000E613F"/>
    <w:rsid w:val="00120DE9"/>
    <w:rsid w:val="001439C1"/>
    <w:rsid w:val="00147FD0"/>
    <w:rsid w:val="0015046F"/>
    <w:rsid w:val="00180FC5"/>
    <w:rsid w:val="00183BDC"/>
    <w:rsid w:val="00184325"/>
    <w:rsid w:val="00185882"/>
    <w:rsid w:val="001B3ED0"/>
    <w:rsid w:val="001B5BD6"/>
    <w:rsid w:val="001E12D3"/>
    <w:rsid w:val="001E17C8"/>
    <w:rsid w:val="001E3F0C"/>
    <w:rsid w:val="001E4B62"/>
    <w:rsid w:val="001E51A4"/>
    <w:rsid w:val="00207BA0"/>
    <w:rsid w:val="0022543E"/>
    <w:rsid w:val="00264D82"/>
    <w:rsid w:val="002C40D9"/>
    <w:rsid w:val="002C7A01"/>
    <w:rsid w:val="002E0E7B"/>
    <w:rsid w:val="002E3824"/>
    <w:rsid w:val="00312B14"/>
    <w:rsid w:val="00317257"/>
    <w:rsid w:val="00324B4E"/>
    <w:rsid w:val="00325061"/>
    <w:rsid w:val="00357EC7"/>
    <w:rsid w:val="00363143"/>
    <w:rsid w:val="0039610D"/>
    <w:rsid w:val="00396927"/>
    <w:rsid w:val="003A1557"/>
    <w:rsid w:val="003A76EA"/>
    <w:rsid w:val="003B6AC3"/>
    <w:rsid w:val="003D6090"/>
    <w:rsid w:val="003E0E57"/>
    <w:rsid w:val="004171D9"/>
    <w:rsid w:val="004377BB"/>
    <w:rsid w:val="00452A83"/>
    <w:rsid w:val="00453B8C"/>
    <w:rsid w:val="00494370"/>
    <w:rsid w:val="00503D6E"/>
    <w:rsid w:val="0050473C"/>
    <w:rsid w:val="00511CD8"/>
    <w:rsid w:val="005241CE"/>
    <w:rsid w:val="00524BCC"/>
    <w:rsid w:val="00533EA2"/>
    <w:rsid w:val="00541959"/>
    <w:rsid w:val="00554ABA"/>
    <w:rsid w:val="00565C68"/>
    <w:rsid w:val="0056746E"/>
    <w:rsid w:val="005A0B1F"/>
    <w:rsid w:val="005C7AF3"/>
    <w:rsid w:val="005D32CB"/>
    <w:rsid w:val="005F178D"/>
    <w:rsid w:val="005F273D"/>
    <w:rsid w:val="005F3126"/>
    <w:rsid w:val="005F5EDF"/>
    <w:rsid w:val="00606B27"/>
    <w:rsid w:val="006210B0"/>
    <w:rsid w:val="006241BE"/>
    <w:rsid w:val="0062639B"/>
    <w:rsid w:val="0064519F"/>
    <w:rsid w:val="00656682"/>
    <w:rsid w:val="00662E47"/>
    <w:rsid w:val="00666705"/>
    <w:rsid w:val="00671E2C"/>
    <w:rsid w:val="0069715F"/>
    <w:rsid w:val="006C4AE7"/>
    <w:rsid w:val="006C63EB"/>
    <w:rsid w:val="007176C8"/>
    <w:rsid w:val="00747648"/>
    <w:rsid w:val="00751226"/>
    <w:rsid w:val="007600EE"/>
    <w:rsid w:val="007B77FF"/>
    <w:rsid w:val="007E030E"/>
    <w:rsid w:val="00800764"/>
    <w:rsid w:val="0080120E"/>
    <w:rsid w:val="008149FD"/>
    <w:rsid w:val="00823F93"/>
    <w:rsid w:val="0085005D"/>
    <w:rsid w:val="00853F31"/>
    <w:rsid w:val="00861B82"/>
    <w:rsid w:val="00881DFB"/>
    <w:rsid w:val="00883DB3"/>
    <w:rsid w:val="008A42F1"/>
    <w:rsid w:val="008B0F71"/>
    <w:rsid w:val="008B6200"/>
    <w:rsid w:val="008B68A0"/>
    <w:rsid w:val="008D6D3C"/>
    <w:rsid w:val="008E1382"/>
    <w:rsid w:val="00920AFF"/>
    <w:rsid w:val="0092673C"/>
    <w:rsid w:val="00943749"/>
    <w:rsid w:val="00952D74"/>
    <w:rsid w:val="00953217"/>
    <w:rsid w:val="009634CC"/>
    <w:rsid w:val="00986478"/>
    <w:rsid w:val="009943F6"/>
    <w:rsid w:val="009A4C75"/>
    <w:rsid w:val="009C291D"/>
    <w:rsid w:val="009C5069"/>
    <w:rsid w:val="009D2140"/>
    <w:rsid w:val="009F42BB"/>
    <w:rsid w:val="009F78EB"/>
    <w:rsid w:val="00A220E1"/>
    <w:rsid w:val="00A3703D"/>
    <w:rsid w:val="00A55523"/>
    <w:rsid w:val="00A71F35"/>
    <w:rsid w:val="00A73452"/>
    <w:rsid w:val="00A7684D"/>
    <w:rsid w:val="00A77CB4"/>
    <w:rsid w:val="00A9099A"/>
    <w:rsid w:val="00AA0567"/>
    <w:rsid w:val="00AA514B"/>
    <w:rsid w:val="00AA7443"/>
    <w:rsid w:val="00AB35E8"/>
    <w:rsid w:val="00AC3425"/>
    <w:rsid w:val="00AC5C03"/>
    <w:rsid w:val="00AD5786"/>
    <w:rsid w:val="00AE2643"/>
    <w:rsid w:val="00B50C7D"/>
    <w:rsid w:val="00B54EF4"/>
    <w:rsid w:val="00B761F6"/>
    <w:rsid w:val="00B814DB"/>
    <w:rsid w:val="00B82191"/>
    <w:rsid w:val="00BB35CA"/>
    <w:rsid w:val="00BB734C"/>
    <w:rsid w:val="00BE28C8"/>
    <w:rsid w:val="00BF4CBC"/>
    <w:rsid w:val="00C10F83"/>
    <w:rsid w:val="00C22E2B"/>
    <w:rsid w:val="00C422D8"/>
    <w:rsid w:val="00C623A6"/>
    <w:rsid w:val="00C77347"/>
    <w:rsid w:val="00CA5008"/>
    <w:rsid w:val="00CB2BDF"/>
    <w:rsid w:val="00CB7898"/>
    <w:rsid w:val="00CD085F"/>
    <w:rsid w:val="00CD6520"/>
    <w:rsid w:val="00D02F15"/>
    <w:rsid w:val="00D05558"/>
    <w:rsid w:val="00D1128F"/>
    <w:rsid w:val="00D125DD"/>
    <w:rsid w:val="00D5393E"/>
    <w:rsid w:val="00D54CA7"/>
    <w:rsid w:val="00D60B06"/>
    <w:rsid w:val="00D67968"/>
    <w:rsid w:val="00DA14D0"/>
    <w:rsid w:val="00DB249E"/>
    <w:rsid w:val="00DB3593"/>
    <w:rsid w:val="00DB6E32"/>
    <w:rsid w:val="00DC5BCE"/>
    <w:rsid w:val="00DD7AC0"/>
    <w:rsid w:val="00E009B5"/>
    <w:rsid w:val="00E2305B"/>
    <w:rsid w:val="00E403F5"/>
    <w:rsid w:val="00E60600"/>
    <w:rsid w:val="00E62C6C"/>
    <w:rsid w:val="00E67853"/>
    <w:rsid w:val="00E726BC"/>
    <w:rsid w:val="00E748A4"/>
    <w:rsid w:val="00E82E35"/>
    <w:rsid w:val="00E962BF"/>
    <w:rsid w:val="00EA087E"/>
    <w:rsid w:val="00EA1553"/>
    <w:rsid w:val="00EA521D"/>
    <w:rsid w:val="00EB6A68"/>
    <w:rsid w:val="00ED55EF"/>
    <w:rsid w:val="00EE4458"/>
    <w:rsid w:val="00EF0320"/>
    <w:rsid w:val="00EF6716"/>
    <w:rsid w:val="00EF6AA6"/>
    <w:rsid w:val="00F0234A"/>
    <w:rsid w:val="00F307DF"/>
    <w:rsid w:val="00F5341D"/>
    <w:rsid w:val="00F543CF"/>
    <w:rsid w:val="00F839C2"/>
    <w:rsid w:val="00FA00D6"/>
    <w:rsid w:val="00FC5548"/>
    <w:rsid w:val="00FD48EE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38DE9F"/>
  <w15:chartTrackingRefBased/>
  <w15:docId w15:val="{7CB6F5B4-D5C6-4F7D-95D9-94526F82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E8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1B3ED0"/>
    <w:pPr>
      <w:suppressAutoHyphens w:val="0"/>
      <w:ind w:left="720"/>
      <w:contextualSpacing/>
    </w:pPr>
    <w:rPr>
      <w:lang w:eastAsia="pt-BR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097681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097681"/>
    <w:rPr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5C0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5C03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AC5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F10F4-939F-4E11-941E-8388160B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2500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15970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subject/>
  <dc:creator>Prefeitura de Valinhos</dc:creator>
  <cp:keywords/>
  <cp:lastModifiedBy>Evandro Zani</cp:lastModifiedBy>
  <cp:revision>10</cp:revision>
  <cp:lastPrinted>2023-10-31T17:08:00Z</cp:lastPrinted>
  <dcterms:created xsi:type="dcterms:W3CDTF">2023-10-31T16:13:00Z</dcterms:created>
  <dcterms:modified xsi:type="dcterms:W3CDTF">2023-10-31T17:09:00Z</dcterms:modified>
</cp:coreProperties>
</file>