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22A30" w:rsidP="00D4238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D4238B" w:rsidRPr="000E77F7" w:rsidP="00D4238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0E77F7">
        <w:rPr>
          <w:rFonts w:asciiTheme="minorHAnsi" w:hAnsiTheme="minorHAnsi" w:cstheme="minorHAnsi"/>
          <w:b/>
          <w:color w:val="auto"/>
        </w:rPr>
        <w:t xml:space="preserve">Parecer Jurídico nº </w:t>
      </w:r>
      <w:r w:rsidR="00FF67BF">
        <w:rPr>
          <w:rFonts w:asciiTheme="minorHAnsi" w:hAnsiTheme="minorHAnsi" w:cstheme="minorHAnsi"/>
          <w:b/>
          <w:color w:val="auto"/>
        </w:rPr>
        <w:t>403</w:t>
      </w:r>
      <w:r w:rsidRPr="000E77F7" w:rsidR="00EB17A8">
        <w:rPr>
          <w:rFonts w:asciiTheme="minorHAnsi" w:hAnsiTheme="minorHAnsi" w:cstheme="minorHAnsi"/>
          <w:b/>
          <w:color w:val="auto"/>
        </w:rPr>
        <w:t>/2023.</w:t>
      </w:r>
    </w:p>
    <w:p w:rsidR="0000548E" w:rsidRPr="00352E51" w:rsidP="0011053B">
      <w:pPr>
        <w:pStyle w:val="Default"/>
        <w:jc w:val="both"/>
        <w:rPr>
          <w:rFonts w:eastAsia="Times New Roman" w:asciiTheme="minorHAnsi" w:hAnsiTheme="minorHAnsi" w:cstheme="minorHAnsi"/>
          <w:bCs/>
          <w:color w:val="auto"/>
        </w:rPr>
      </w:pPr>
      <w:r w:rsidRPr="00BE6AF5">
        <w:rPr>
          <w:rFonts w:asciiTheme="minorHAnsi" w:hAnsiTheme="minorHAnsi" w:cstheme="minorHAnsi"/>
          <w:b/>
          <w:bCs/>
        </w:rPr>
        <w:t xml:space="preserve">Assunto: </w:t>
      </w:r>
      <w:r w:rsidRPr="00D70598" w:rsidR="00EB17A8">
        <w:rPr>
          <w:rFonts w:asciiTheme="minorHAnsi" w:hAnsiTheme="minorHAnsi" w:cstheme="minorHAnsi"/>
          <w:b/>
          <w:bCs/>
        </w:rPr>
        <w:t>Emenda 0</w:t>
      </w:r>
      <w:r w:rsidR="007904AB">
        <w:rPr>
          <w:rFonts w:asciiTheme="minorHAnsi" w:hAnsiTheme="minorHAnsi" w:cstheme="minorHAnsi"/>
          <w:b/>
          <w:bCs/>
        </w:rPr>
        <w:t>1</w:t>
      </w:r>
      <w:r w:rsidRPr="00D70598">
        <w:rPr>
          <w:rFonts w:asciiTheme="minorHAnsi" w:hAnsiTheme="minorHAnsi" w:cstheme="minorHAnsi"/>
          <w:b/>
          <w:bCs/>
        </w:rPr>
        <w:t xml:space="preserve"> ao Projeto de Lei nº </w:t>
      </w:r>
      <w:r w:rsidR="001A298A">
        <w:rPr>
          <w:rFonts w:asciiTheme="minorHAnsi" w:hAnsiTheme="minorHAnsi" w:cstheme="minorHAnsi"/>
          <w:b/>
          <w:bCs/>
        </w:rPr>
        <w:t>1</w:t>
      </w:r>
      <w:r w:rsidR="00FF67BF">
        <w:rPr>
          <w:rFonts w:asciiTheme="minorHAnsi" w:hAnsiTheme="minorHAnsi" w:cstheme="minorHAnsi"/>
          <w:b/>
          <w:bCs/>
        </w:rPr>
        <w:t>45</w:t>
      </w:r>
      <w:r w:rsidR="001A298A">
        <w:rPr>
          <w:rFonts w:asciiTheme="minorHAnsi" w:hAnsiTheme="minorHAnsi" w:cstheme="minorHAnsi"/>
          <w:b/>
          <w:bCs/>
        </w:rPr>
        <w:t>/</w:t>
      </w:r>
      <w:r w:rsidRPr="00D70598">
        <w:rPr>
          <w:rFonts w:asciiTheme="minorHAnsi" w:hAnsiTheme="minorHAnsi" w:cstheme="minorHAnsi"/>
          <w:b/>
          <w:bCs/>
        </w:rPr>
        <w:t>202</w:t>
      </w:r>
      <w:r w:rsidR="007904AB">
        <w:rPr>
          <w:rFonts w:asciiTheme="minorHAnsi" w:hAnsiTheme="minorHAnsi" w:cstheme="minorHAnsi"/>
          <w:b/>
          <w:bCs/>
        </w:rPr>
        <w:t>3</w:t>
      </w:r>
      <w:r w:rsidRPr="00D70598">
        <w:rPr>
          <w:rFonts w:asciiTheme="minorHAnsi" w:hAnsiTheme="minorHAnsi" w:cstheme="minorHAnsi"/>
          <w:b/>
          <w:bCs/>
        </w:rPr>
        <w:t xml:space="preserve"> </w:t>
      </w:r>
      <w:r w:rsidRPr="0000548E">
        <w:rPr>
          <w:rFonts w:asciiTheme="minorHAnsi" w:hAnsiTheme="minorHAnsi" w:cstheme="minorHAnsi"/>
          <w:bCs/>
        </w:rPr>
        <w:t>que “</w:t>
      </w:r>
      <w:r w:rsidRPr="00FF67BF" w:rsidR="00FF67BF">
        <w:rPr>
          <w:rFonts w:asciiTheme="minorHAnsi" w:hAnsiTheme="minorHAnsi" w:cstheme="minorHAnsi"/>
          <w:i/>
          <w:color w:val="auto"/>
        </w:rPr>
        <w:t>Dispõe sobre a permissão de acompanhante durante a realização de exames ou procedimentos que utilizem de sedação ou anestesia que induzam a inconsequência da paciente mulher</w:t>
      </w:r>
      <w:r w:rsidRPr="0000548E">
        <w:rPr>
          <w:rFonts w:eastAsia="Times New Roman" w:asciiTheme="minorHAnsi" w:hAnsiTheme="minorHAnsi" w:cstheme="minorHAnsi"/>
          <w:bCs/>
          <w:color w:val="auto"/>
        </w:rPr>
        <w:t>”</w:t>
      </w:r>
    </w:p>
    <w:p w:rsidR="00EB17A8" w:rsidP="00185E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Autoria:</w:t>
      </w:r>
      <w:r w:rsidRPr="000473D6" w:rsidR="00D4238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B17A8" w:rsidR="00D4238B">
        <w:rPr>
          <w:rFonts w:asciiTheme="minorHAnsi" w:hAnsiTheme="minorHAnsi" w:cstheme="minorHAnsi"/>
          <w:bCs/>
          <w:szCs w:val="24"/>
        </w:rPr>
        <w:t>Vereador</w:t>
      </w:r>
      <w:r w:rsidR="00FF67BF">
        <w:rPr>
          <w:rFonts w:asciiTheme="minorHAnsi" w:hAnsiTheme="minorHAnsi" w:cstheme="minorHAnsi"/>
          <w:bCs/>
          <w:szCs w:val="24"/>
        </w:rPr>
        <w:t xml:space="preserve"> </w:t>
      </w:r>
      <w:r w:rsidRPr="00FF67BF" w:rsidR="00FF67BF">
        <w:rPr>
          <w:rFonts w:asciiTheme="minorHAnsi" w:hAnsiTheme="minorHAnsi" w:cstheme="minorHAnsi"/>
          <w:bCs/>
          <w:szCs w:val="24"/>
        </w:rPr>
        <w:t>Franklin</w:t>
      </w:r>
      <w:r w:rsidR="00FF67BF">
        <w:rPr>
          <w:rFonts w:asciiTheme="minorHAnsi" w:hAnsiTheme="minorHAnsi" w:cstheme="minorHAnsi"/>
          <w:bCs/>
          <w:szCs w:val="24"/>
        </w:rPr>
        <w:t>.</w:t>
      </w: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75036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 xml:space="preserve">Exmo. Presidente </w:t>
      </w:r>
      <w:r w:rsidR="00963B6F">
        <w:rPr>
          <w:rFonts w:ascii="Calibri" w:hAnsi="Calibri" w:cs="Calibri"/>
          <w:b/>
          <w:i/>
          <w:color w:val="auto"/>
        </w:rPr>
        <w:t xml:space="preserve">Vereador </w:t>
      </w:r>
      <w:r w:rsidR="00431C9A">
        <w:rPr>
          <w:rFonts w:ascii="Calibri" w:hAnsi="Calibri" w:cs="Calibri"/>
          <w:b/>
          <w:i/>
          <w:color w:val="auto"/>
        </w:rPr>
        <w:t>Gabriel Bueno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C33D2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52E51" w:rsidRPr="00FF67BF" w:rsidP="00FF67BF">
      <w:pPr>
        <w:pStyle w:val="Default"/>
        <w:spacing w:after="240" w:line="360" w:lineRule="auto"/>
        <w:ind w:firstLine="1418"/>
        <w:jc w:val="both"/>
        <w:rPr>
          <w:rFonts w:eastAsia="Times New Roman" w:asciiTheme="minorHAnsi" w:hAnsiTheme="minorHAnsi" w:cstheme="minorHAnsi"/>
          <w:bCs/>
          <w:color w:val="auto"/>
        </w:rPr>
      </w:pPr>
      <w:r w:rsidRPr="00BD076E">
        <w:rPr>
          <w:rFonts w:asciiTheme="minorHAnsi" w:hAnsiTheme="minorHAnsi" w:cstheme="minorHAnsi"/>
          <w:color w:val="auto"/>
        </w:rPr>
        <w:t>Trata-se de parecer jurídic</w:t>
      </w:r>
      <w:r w:rsidR="00035153">
        <w:rPr>
          <w:rFonts w:asciiTheme="minorHAnsi" w:hAnsiTheme="minorHAnsi" w:cstheme="minorHAnsi"/>
          <w:color w:val="auto"/>
        </w:rPr>
        <w:t xml:space="preserve">o relativo à emenda em epígrafe </w:t>
      </w:r>
      <w:r w:rsidRPr="00BD076E">
        <w:rPr>
          <w:rFonts w:asciiTheme="minorHAnsi" w:hAnsiTheme="minorHAnsi" w:cstheme="minorHAnsi"/>
          <w:color w:val="auto"/>
        </w:rPr>
        <w:t>que</w:t>
      </w:r>
      <w:r w:rsidRPr="00BD076E" w:rsidR="00D4238B">
        <w:rPr>
          <w:rFonts w:asciiTheme="minorHAnsi" w:hAnsiTheme="minorHAnsi" w:cstheme="minorHAnsi"/>
          <w:color w:val="auto"/>
        </w:rPr>
        <w:t xml:space="preserve"> </w:t>
      </w:r>
      <w:r w:rsidRPr="001A298A" w:rsidR="00116C2C">
        <w:rPr>
          <w:rFonts w:asciiTheme="minorHAnsi" w:hAnsiTheme="minorHAnsi" w:cstheme="minorHAnsi"/>
          <w:color w:val="auto"/>
        </w:rPr>
        <w:t>pretende</w:t>
      </w:r>
      <w:r w:rsidRPr="001A298A" w:rsidR="00944D41">
        <w:rPr>
          <w:rFonts w:asciiTheme="minorHAnsi" w:hAnsiTheme="minorHAnsi" w:cstheme="minorHAnsi"/>
          <w:color w:val="auto"/>
        </w:rPr>
        <w:t xml:space="preserve"> </w:t>
      </w:r>
      <w:r w:rsidRPr="001A298A" w:rsidR="001A298A">
        <w:rPr>
          <w:rFonts w:asciiTheme="minorHAnsi" w:hAnsiTheme="minorHAnsi" w:cstheme="minorHAnsi"/>
          <w:color w:val="auto"/>
        </w:rPr>
        <w:t xml:space="preserve">alterar </w:t>
      </w:r>
      <w:r w:rsidRPr="001A298A" w:rsidR="0011053B">
        <w:rPr>
          <w:rFonts w:asciiTheme="minorHAnsi" w:hAnsiTheme="minorHAnsi" w:cstheme="minorHAnsi"/>
          <w:color w:val="auto"/>
        </w:rPr>
        <w:t xml:space="preserve">o </w:t>
      </w:r>
      <w:r w:rsidRPr="001A298A" w:rsidR="00944D41">
        <w:rPr>
          <w:rFonts w:asciiTheme="minorHAnsi" w:hAnsiTheme="minorHAnsi" w:cstheme="minorHAnsi"/>
          <w:color w:val="auto"/>
        </w:rPr>
        <w:t xml:space="preserve">art. </w:t>
      </w:r>
      <w:r w:rsidR="00FF67BF">
        <w:rPr>
          <w:rFonts w:asciiTheme="minorHAnsi" w:hAnsiTheme="minorHAnsi" w:cstheme="minorHAnsi"/>
          <w:color w:val="auto"/>
        </w:rPr>
        <w:t>1</w:t>
      </w:r>
      <w:r w:rsidRPr="001A298A" w:rsidR="00944D41">
        <w:rPr>
          <w:rFonts w:asciiTheme="minorHAnsi" w:hAnsiTheme="minorHAnsi" w:cstheme="minorHAnsi"/>
          <w:color w:val="auto"/>
        </w:rPr>
        <w:t>º</w:t>
      </w:r>
      <w:r w:rsidRPr="001A298A" w:rsidR="0011053B">
        <w:rPr>
          <w:rFonts w:asciiTheme="minorHAnsi" w:hAnsiTheme="minorHAnsi" w:cstheme="minorHAnsi"/>
          <w:color w:val="auto"/>
        </w:rPr>
        <w:t xml:space="preserve"> </w:t>
      </w:r>
      <w:r w:rsidRPr="001A298A" w:rsidR="00944D41">
        <w:rPr>
          <w:rFonts w:asciiTheme="minorHAnsi" w:hAnsiTheme="minorHAnsi" w:cstheme="minorHAnsi"/>
          <w:color w:val="auto"/>
        </w:rPr>
        <w:t xml:space="preserve">do Projeto </w:t>
      </w:r>
      <w:r w:rsidRPr="00944D41" w:rsidR="00944D41">
        <w:rPr>
          <w:rFonts w:asciiTheme="minorHAnsi" w:hAnsiTheme="minorHAnsi" w:cstheme="minorHAnsi"/>
          <w:color w:val="auto"/>
        </w:rPr>
        <w:t xml:space="preserve">de Lei nº </w:t>
      </w:r>
      <w:r w:rsidR="001A298A">
        <w:rPr>
          <w:rFonts w:asciiTheme="minorHAnsi" w:hAnsiTheme="minorHAnsi" w:cstheme="minorHAnsi"/>
          <w:color w:val="auto"/>
        </w:rPr>
        <w:t>1</w:t>
      </w:r>
      <w:r w:rsidR="00FF67BF">
        <w:rPr>
          <w:rFonts w:asciiTheme="minorHAnsi" w:hAnsiTheme="minorHAnsi" w:cstheme="minorHAnsi"/>
          <w:color w:val="auto"/>
        </w:rPr>
        <w:t>45</w:t>
      </w:r>
      <w:r w:rsidRPr="00944D41" w:rsidR="00944D41">
        <w:rPr>
          <w:rFonts w:asciiTheme="minorHAnsi" w:hAnsiTheme="minorHAnsi" w:cstheme="minorHAnsi"/>
          <w:color w:val="auto"/>
        </w:rPr>
        <w:t xml:space="preserve">/2023 que </w:t>
      </w:r>
      <w:r w:rsidR="00864FC4">
        <w:t>"</w:t>
      </w:r>
      <w:r w:rsidRPr="00FF67BF" w:rsidR="00FF67BF">
        <w:rPr>
          <w:rFonts w:asciiTheme="minorHAnsi" w:hAnsiTheme="minorHAnsi" w:cstheme="minorHAnsi"/>
          <w:i/>
          <w:color w:val="auto"/>
        </w:rPr>
        <w:t>Dispõe sobre a permissão de acompanhante durante a realização de exames ou procedimentos que utilizem de sedação ou anestesia que induzam a inconsequência da paciente mulher</w:t>
      </w:r>
      <w:r w:rsidRPr="0000548E" w:rsidR="001A298A">
        <w:rPr>
          <w:rFonts w:eastAsia="Times New Roman" w:asciiTheme="minorHAnsi" w:hAnsiTheme="minorHAnsi" w:cstheme="minorHAnsi"/>
          <w:bCs/>
          <w:i/>
          <w:color w:val="auto"/>
        </w:rPr>
        <w:t>”,</w:t>
      </w:r>
      <w:r w:rsidR="001A298A">
        <w:rPr>
          <w:rFonts w:eastAsia="Times New Roman" w:asciiTheme="minorHAnsi" w:hAnsiTheme="minorHAnsi" w:cstheme="minorHAnsi"/>
          <w:bCs/>
          <w:i/>
          <w:color w:val="auto"/>
        </w:rPr>
        <w:t xml:space="preserve"> </w:t>
      </w:r>
      <w:r w:rsidR="001A298A">
        <w:rPr>
          <w:rFonts w:eastAsia="Times New Roman" w:asciiTheme="minorHAnsi" w:hAnsiTheme="minorHAnsi" w:cstheme="minorHAnsi"/>
          <w:bCs/>
          <w:color w:val="auto"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Tr="001A298A">
        <w:tblPrEx>
          <w:tblW w:w="0" w:type="auto"/>
          <w:tblLook w:val="04A0"/>
        </w:tblPrEx>
        <w:tc>
          <w:tcPr>
            <w:tcW w:w="4322" w:type="dxa"/>
          </w:tcPr>
          <w:p w:rsidR="001A298A" w:rsidRPr="0000548E" w:rsidP="00FF67BF">
            <w:pPr>
              <w:pStyle w:val="Default"/>
              <w:spacing w:after="24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Projeto de Lei nº 1</w:t>
            </w:r>
            <w:r w:rsidR="00FF67BF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45</w:t>
            </w:r>
            <w:r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/2023</w:t>
            </w:r>
          </w:p>
        </w:tc>
        <w:tc>
          <w:tcPr>
            <w:tcW w:w="4322" w:type="dxa"/>
          </w:tcPr>
          <w:p w:rsidR="001A298A" w:rsidRPr="001A298A" w:rsidP="00FF67BF">
            <w:pPr>
              <w:pStyle w:val="Default"/>
              <w:spacing w:after="24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Emenda 01 ao PL 1</w:t>
            </w:r>
            <w:r w:rsidR="00FF67BF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45</w:t>
            </w:r>
            <w:r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/2023</w:t>
            </w:r>
          </w:p>
        </w:tc>
      </w:tr>
      <w:tr w:rsidTr="001A298A">
        <w:tblPrEx>
          <w:tblW w:w="0" w:type="auto"/>
          <w:tblLook w:val="04A0"/>
        </w:tblPrEx>
        <w:tc>
          <w:tcPr>
            <w:tcW w:w="4322" w:type="dxa"/>
          </w:tcPr>
          <w:p w:rsidR="00FF67BF" w:rsidP="008B1281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i/>
              </w:rPr>
            </w:pPr>
          </w:p>
          <w:p w:rsidR="00FF67BF" w:rsidRPr="00FF67BF" w:rsidP="008B1281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i/>
                <w:sz w:val="36"/>
                <w:szCs w:val="36"/>
              </w:rPr>
            </w:pPr>
          </w:p>
          <w:p w:rsidR="00FF67BF" w:rsidRPr="00FF67BF" w:rsidP="00FF67BF">
            <w:pPr>
              <w:pStyle w:val="Default"/>
              <w:spacing w:after="120"/>
              <w:ind w:left="142" w:right="137"/>
              <w:jc w:val="both"/>
              <w:rPr>
                <w:rFonts w:asciiTheme="minorHAnsi" w:hAnsiTheme="minorHAnsi"/>
                <w:i/>
              </w:rPr>
            </w:pPr>
            <w:r w:rsidRPr="00FF67BF">
              <w:rPr>
                <w:rFonts w:asciiTheme="minorHAnsi" w:hAnsiTheme="minorHAnsi"/>
                <w:b/>
                <w:i/>
              </w:rPr>
              <w:t>Art. 1º.</w:t>
            </w:r>
            <w:r w:rsidRPr="00FF67BF">
              <w:rPr>
                <w:rFonts w:asciiTheme="minorHAnsi" w:hAnsiTheme="minorHAnsi"/>
                <w:i/>
              </w:rPr>
              <w:t xml:space="preserve"> Fica permitida a presença de um acompanhante de escolha da mulher</w:t>
            </w:r>
            <w:r w:rsidRPr="00FF67BF">
              <w:rPr>
                <w:rFonts w:asciiTheme="minorHAnsi" w:hAnsiTheme="minorHAnsi"/>
                <w:i/>
              </w:rPr>
              <w:t xml:space="preserve"> </w:t>
            </w:r>
            <w:r w:rsidRPr="00FF67BF">
              <w:rPr>
                <w:rFonts w:asciiTheme="minorHAnsi" w:hAnsiTheme="minorHAnsi"/>
                <w:i/>
              </w:rPr>
              <w:t xml:space="preserve">em todos os exames mamários, genitais e retais, independente do sexo ou gênero da pessoa que realize o exame. </w:t>
            </w:r>
          </w:p>
          <w:p w:rsidR="001A298A" w:rsidP="00FF67BF">
            <w:pPr>
              <w:pStyle w:val="Default"/>
              <w:spacing w:after="120"/>
              <w:ind w:left="142" w:right="137"/>
              <w:jc w:val="both"/>
              <w:rPr>
                <w:rFonts w:eastAsia="Times New Roman" w:asciiTheme="minorHAnsi" w:hAnsiTheme="minorHAnsi" w:cstheme="minorHAnsi"/>
                <w:bCs/>
                <w:color w:val="auto"/>
              </w:rPr>
            </w:pPr>
            <w:r w:rsidRPr="00FF67BF">
              <w:rPr>
                <w:rFonts w:asciiTheme="minorHAnsi" w:hAnsiTheme="minorHAnsi"/>
                <w:b/>
                <w:i/>
              </w:rPr>
              <w:t>Parágrafo único</w:t>
            </w:r>
            <w:r w:rsidRPr="00FF67BF">
              <w:rPr>
                <w:rFonts w:asciiTheme="minorHAnsi" w:hAnsiTheme="minorHAnsi"/>
                <w:i/>
              </w:rPr>
              <w:t xml:space="preserve">. Esta lei se aplica mesmo quando os exames forem realizados em ambulatórios e internações, incluindo trabalho de parto, parto e pós-parto imediato, bem como durante estudos de diagnóstico </w:t>
            </w:r>
            <w:r w:rsidRPr="00FF67BF">
              <w:rPr>
                <w:rFonts w:asciiTheme="minorHAnsi" w:hAnsiTheme="minorHAnsi"/>
                <w:i/>
              </w:rPr>
              <w:t xml:space="preserve">como transvaginal, ultrassonografias ou teste </w:t>
            </w:r>
            <w:r w:rsidRPr="00FF67BF">
              <w:rPr>
                <w:rFonts w:asciiTheme="minorHAnsi" w:hAnsiTheme="minorHAnsi"/>
                <w:i/>
              </w:rPr>
              <w:t>urodinâmico</w:t>
            </w:r>
            <w:r w:rsidRPr="00FF67BF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4322" w:type="dxa"/>
          </w:tcPr>
          <w:p w:rsidR="00FF67BF" w:rsidRPr="00FF67BF" w:rsidP="001A298A">
            <w:pPr>
              <w:pStyle w:val="Default"/>
              <w:spacing w:after="120"/>
              <w:jc w:val="both"/>
              <w:rPr>
                <w:rFonts w:asciiTheme="minorHAnsi" w:hAnsiTheme="minorHAnsi"/>
              </w:rPr>
            </w:pPr>
            <w:r w:rsidRPr="00FF67BF">
              <w:rPr>
                <w:rFonts w:asciiTheme="minorHAnsi" w:hAnsiTheme="minorHAnsi"/>
              </w:rPr>
              <w:t>Art. 1º. O art. 1º d</w:t>
            </w:r>
            <w:r w:rsidRPr="00FF67BF">
              <w:rPr>
                <w:rFonts w:asciiTheme="minorHAnsi" w:hAnsiTheme="minorHAnsi"/>
              </w:rPr>
              <w:t xml:space="preserve">o Projeto de Lei 145/2023, passa a ter a seguinte redação, excluído o parágrafo único: </w:t>
            </w:r>
          </w:p>
          <w:p w:rsidR="00FF67BF" w:rsidRPr="00FF67BF" w:rsidP="00FF67BF">
            <w:pPr>
              <w:pStyle w:val="Default"/>
              <w:spacing w:after="120"/>
              <w:ind w:left="214" w:right="206"/>
              <w:jc w:val="both"/>
              <w:rPr>
                <w:rFonts w:asciiTheme="minorHAnsi" w:hAnsiTheme="minorHAnsi"/>
                <w:i/>
              </w:rPr>
            </w:pPr>
            <w:r w:rsidRPr="00FF67BF">
              <w:rPr>
                <w:rFonts w:asciiTheme="minorHAnsi" w:hAnsiTheme="minorHAnsi"/>
                <w:b/>
                <w:i/>
              </w:rPr>
              <w:t>Art. 1º</w:t>
            </w:r>
            <w:r w:rsidRPr="00FF67BF">
              <w:rPr>
                <w:rFonts w:asciiTheme="minorHAnsi" w:hAnsiTheme="minorHAnsi"/>
                <w:i/>
              </w:rPr>
              <w:t>. Fica permitida, independentemente do sexo ou gênero da pessoa que realize o exame ou procedimento, a presença de um acompanhante de escolha da mulher:</w:t>
            </w:r>
          </w:p>
          <w:p w:rsidR="001A298A" w:rsidRPr="00FF67BF" w:rsidP="00FF67BF">
            <w:pPr>
              <w:pStyle w:val="Default"/>
              <w:spacing w:after="120"/>
              <w:ind w:left="214" w:right="206"/>
              <w:jc w:val="both"/>
              <w:rPr>
                <w:rFonts w:asciiTheme="minorHAnsi" w:hAnsiTheme="minorHAnsi"/>
                <w:i/>
              </w:rPr>
            </w:pPr>
            <w:r w:rsidRPr="00FF67BF">
              <w:rPr>
                <w:rFonts w:asciiTheme="minorHAnsi" w:hAnsiTheme="minorHAnsi"/>
                <w:i/>
              </w:rPr>
              <w:t>I - nos seus exames mamários, genitais e retais, inclusive quando esses exames forem realizados em ambulatórios e internações;</w:t>
            </w:r>
          </w:p>
          <w:p w:rsidR="00FF67BF" w:rsidRPr="00FF67BF" w:rsidP="00FF67BF">
            <w:pPr>
              <w:pStyle w:val="Default"/>
              <w:spacing w:after="120"/>
              <w:ind w:left="214" w:right="206"/>
              <w:jc w:val="both"/>
              <w:rPr>
                <w:rFonts w:asciiTheme="minorHAnsi" w:hAnsiTheme="minorHAnsi"/>
                <w:i/>
              </w:rPr>
            </w:pPr>
            <w:r w:rsidRPr="00FF67BF">
              <w:rPr>
                <w:rFonts w:asciiTheme="minorHAnsi" w:hAnsiTheme="minorHAnsi"/>
                <w:i/>
              </w:rPr>
              <w:t xml:space="preserve">II - nos seus exames para estudo de </w:t>
            </w:r>
            <w:r w:rsidRPr="00FF67BF">
              <w:rPr>
                <w:rFonts w:asciiTheme="minorHAnsi" w:hAnsiTheme="minorHAnsi"/>
                <w:i/>
              </w:rPr>
              <w:t xml:space="preserve">diagnóstico, como teste </w:t>
            </w:r>
            <w:r w:rsidRPr="00FF67BF">
              <w:rPr>
                <w:rFonts w:asciiTheme="minorHAnsi" w:hAnsiTheme="minorHAnsi"/>
                <w:i/>
              </w:rPr>
              <w:t>urodinâmico</w:t>
            </w:r>
            <w:r w:rsidRPr="00FF67BF">
              <w:rPr>
                <w:rFonts w:asciiTheme="minorHAnsi" w:hAnsiTheme="minorHAnsi"/>
                <w:i/>
              </w:rPr>
              <w:t xml:space="preserve">, ultrassonografia transvaginal e outras ultrassonografias; </w:t>
            </w:r>
          </w:p>
          <w:p w:rsidR="00FF67BF" w:rsidRPr="00FF67BF" w:rsidP="00FF67BF">
            <w:pPr>
              <w:pStyle w:val="Default"/>
              <w:spacing w:after="120"/>
              <w:ind w:left="214" w:right="206"/>
              <w:jc w:val="both"/>
              <w:rPr>
                <w:rFonts w:asciiTheme="minorHAnsi" w:hAnsiTheme="minorHAnsi"/>
                <w:i/>
              </w:rPr>
            </w:pPr>
            <w:r w:rsidRPr="00FF67BF">
              <w:rPr>
                <w:rFonts w:asciiTheme="minorHAnsi" w:hAnsiTheme="minorHAnsi"/>
                <w:i/>
              </w:rPr>
              <w:t>III - no seu trabalho de parto, parto e pós-parto imediato.</w:t>
            </w:r>
          </w:p>
          <w:p w:rsidR="00FF67BF" w:rsidRPr="001A298A" w:rsidP="00FF67BF">
            <w:pPr>
              <w:pStyle w:val="Default"/>
              <w:spacing w:after="120"/>
              <w:ind w:left="214" w:right="206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FF67BF">
              <w:rPr>
                <w:rFonts w:asciiTheme="minorHAnsi" w:hAnsiTheme="minorHAnsi"/>
                <w:i/>
              </w:rPr>
              <w:t>IV – nos procedimentos que utilizem de sedação ou anestesia que induza a inconsciência da paciente mulher.</w:t>
            </w:r>
          </w:p>
        </w:tc>
      </w:tr>
    </w:tbl>
    <w:p w:rsidR="001A298A" w:rsidRPr="00323A06" w:rsidP="00D53D44">
      <w:pPr>
        <w:pStyle w:val="Default"/>
        <w:spacing w:after="240" w:line="360" w:lineRule="auto"/>
        <w:ind w:firstLine="1418"/>
        <w:jc w:val="both"/>
        <w:rPr>
          <w:rFonts w:eastAsia="Times New Roman" w:asciiTheme="minorHAnsi" w:hAnsiTheme="minorHAnsi" w:cstheme="minorHAnsi"/>
          <w:bCs/>
          <w:color w:val="auto"/>
          <w:sz w:val="12"/>
          <w:szCs w:val="12"/>
        </w:rPr>
      </w:pPr>
      <w:bookmarkStart w:id="0" w:name="_GoBack"/>
      <w:bookmarkEnd w:id="0"/>
    </w:p>
    <w:p w:rsidR="00A779B8" w:rsidRPr="001D6A14" w:rsidP="00D53D44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 w:rsidRPr="001D6A14">
        <w:rPr>
          <w:rFonts w:asciiTheme="minorHAnsi" w:hAnsiTheme="minorHAnsi" w:cstheme="minorHAnsi"/>
          <w:i/>
          <w:color w:val="auto"/>
        </w:rPr>
        <w:t>Ab initio</w:t>
      </w:r>
      <w:r w:rsidRPr="001D6A14">
        <w:rPr>
          <w:rFonts w:asciiTheme="minorHAnsi" w:hAnsiTheme="minorHAnsi" w:cstheme="minorHAnsi"/>
          <w:color w:val="auto"/>
        </w:rPr>
        <w:t>, cumpre destacar a competência regimental d</w:t>
      </w:r>
      <w:r w:rsidRPr="001D6A14" w:rsidR="004B1794">
        <w:rPr>
          <w:rFonts w:asciiTheme="minorHAnsi" w:hAnsiTheme="minorHAnsi" w:cstheme="minorHAnsi"/>
          <w:color w:val="auto"/>
        </w:rPr>
        <w:t>a Comissão de Justiça e Redação</w:t>
      </w:r>
      <w:r w:rsidRPr="001D6A14">
        <w:rPr>
          <w:rFonts w:asciiTheme="minorHAnsi" w:hAnsiTheme="minorHAnsi" w:cstheme="minorHAnsi"/>
          <w:color w:val="auto"/>
        </w:rPr>
        <w:t xml:space="preserve"> estabelecida no artigo 38.</w:t>
      </w:r>
      <w:r w:rsidRPr="001D6A14" w:rsidR="0082204D">
        <w:rPr>
          <w:rFonts w:asciiTheme="minorHAnsi" w:hAnsiTheme="minorHAnsi" w:cstheme="minorHAnsi"/>
          <w:color w:val="auto"/>
        </w:rPr>
        <w:t xml:space="preserve"> </w:t>
      </w:r>
      <w:r w:rsidR="00D53D44">
        <w:rPr>
          <w:rFonts w:asciiTheme="minorHAnsi" w:hAnsiTheme="minorHAnsi" w:cstheme="minorHAnsi"/>
          <w:color w:val="auto"/>
        </w:rPr>
        <w:t>Re</w:t>
      </w:r>
      <w:r w:rsidRPr="001D6A14" w:rsidR="0082204D">
        <w:rPr>
          <w:rFonts w:asciiTheme="minorHAnsi" w:hAnsiTheme="minorHAnsi" w:cstheme="minorHAnsi"/>
          <w:color w:val="auto"/>
        </w:rPr>
        <w:t>ssalta-se</w:t>
      </w:r>
      <w:r w:rsidRPr="001D6A14">
        <w:rPr>
          <w:rFonts w:asciiTheme="minorHAnsi" w:hAnsiTheme="minorHAnsi" w:cstheme="minorHAnsi"/>
          <w:color w:val="auto"/>
        </w:rPr>
        <w:t xml:space="preserve"> que a opinião jurídica exarada neste parecer </w:t>
      </w:r>
      <w:r w:rsidRPr="001D6A14">
        <w:rPr>
          <w:rFonts w:asciiTheme="minorHAnsi" w:hAnsiTheme="minorHAnsi" w:cstheme="minorHAnsi"/>
          <w:b/>
          <w:color w:val="auto"/>
        </w:rPr>
        <w:t>não tem força vinculante</w:t>
      </w:r>
      <w:r w:rsidRPr="00365F3A">
        <w:rPr>
          <w:rFonts w:asciiTheme="minorHAnsi" w:hAnsiTheme="minorHAnsi" w:cstheme="minorHAnsi"/>
          <w:color w:val="auto"/>
        </w:rPr>
        <w:t xml:space="preserve">, </w:t>
      </w:r>
      <w:r w:rsidRPr="001D6A14">
        <w:rPr>
          <w:rFonts w:asciiTheme="minorHAnsi" w:hAnsiTheme="minorHAnsi" w:cstheme="minorHAnsi"/>
          <w:color w:val="auto"/>
        </w:rPr>
        <w:t>sendo meramente opinativo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Pr="001D6A14">
        <w:rPr>
          <w:rFonts w:asciiTheme="minorHAnsi" w:hAnsiTheme="minorHAnsi" w:cstheme="minorHAnsi"/>
          <w:color w:val="auto"/>
        </w:rPr>
        <w:t xml:space="preserve"> não </w:t>
      </w:r>
      <w:r w:rsidRPr="001D6A14" w:rsidR="001D6A14">
        <w:rPr>
          <w:rFonts w:asciiTheme="minorHAnsi" w:hAnsiTheme="minorHAnsi" w:cstheme="minorHAnsi"/>
          <w:color w:val="auto"/>
        </w:rPr>
        <w:t xml:space="preserve">vinculando ulterior decisão </w:t>
      </w:r>
      <w:r w:rsidRPr="001D6A14">
        <w:rPr>
          <w:rFonts w:asciiTheme="minorHAnsi" w:hAnsiTheme="minorHAnsi" w:cstheme="minorHAnsi"/>
          <w:color w:val="auto"/>
        </w:rPr>
        <w:t>proferida pelas Comissões e/ou nobres vereadores.</w:t>
      </w:r>
      <w:r w:rsidRPr="001D6A14" w:rsidR="009D2232">
        <w:rPr>
          <w:rFonts w:asciiTheme="minorHAnsi" w:hAnsiTheme="minorHAnsi" w:cstheme="minorHAnsi"/>
          <w:color w:val="auto"/>
        </w:rPr>
        <w:t xml:space="preserve"> </w:t>
      </w:r>
    </w:p>
    <w:p w:rsidR="00A779B8" w:rsidRPr="00D262DC" w:rsidP="00F648BB">
      <w:pPr>
        <w:tabs>
          <w:tab w:val="left" w:pos="1701"/>
        </w:tabs>
        <w:spacing w:after="240" w:line="360" w:lineRule="auto"/>
        <w:ind w:firstLine="1418"/>
        <w:jc w:val="both"/>
        <w:rPr>
          <w:rFonts w:eastAsia="Calibri"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szCs w:val="24"/>
        </w:rPr>
        <w:t>Assim</w:t>
      </w:r>
      <w:r w:rsidRPr="00D262DC" w:rsidR="00D262DC">
        <w:rPr>
          <w:rFonts w:eastAsia="Calibri" w:asciiTheme="minorHAnsi" w:hAnsiTheme="minorHAnsi" w:cstheme="minorHAnsi"/>
          <w:szCs w:val="24"/>
        </w:rPr>
        <w:t xml:space="preserve">, </w:t>
      </w:r>
      <w:r w:rsidRPr="00D262DC">
        <w:rPr>
          <w:rFonts w:eastAsia="Calibri" w:asciiTheme="minorHAnsi" w:hAnsiTheme="minorHAnsi" w:cstheme="minorHAnsi"/>
          <w:szCs w:val="24"/>
        </w:rPr>
        <w:t>considerando os aspectos jurídicos passamos a análise técnica do projeto em epígrafe solicitado.</w:t>
      </w:r>
    </w:p>
    <w:p w:rsidR="00A779B8" w:rsidRPr="00D262DC" w:rsidP="0000548E">
      <w:pPr>
        <w:spacing w:after="0" w:line="360" w:lineRule="auto"/>
        <w:ind w:firstLine="1418"/>
        <w:jc w:val="both"/>
        <w:rPr>
          <w:rFonts w:asciiTheme="minorHAnsi" w:hAnsiTheme="minorHAnsi" w:cstheme="minorHAnsi"/>
          <w:szCs w:val="24"/>
        </w:rPr>
      </w:pPr>
      <w:r w:rsidRPr="00D262DC">
        <w:rPr>
          <w:rFonts w:asciiTheme="minorHAnsi" w:hAnsiTheme="minorHAnsi" w:cs="Calibri"/>
          <w:szCs w:val="24"/>
        </w:rPr>
        <w:t>No que tange ao</w:t>
      </w:r>
      <w:r w:rsidR="003E1CF9">
        <w:rPr>
          <w:rFonts w:asciiTheme="minorHAnsi" w:hAnsiTheme="minorHAnsi" w:cs="Calibri"/>
          <w:szCs w:val="24"/>
        </w:rPr>
        <w:t xml:space="preserve"> projeto de emenda, </w:t>
      </w:r>
      <w:r w:rsidRPr="00D262DC">
        <w:rPr>
          <w:rFonts w:asciiTheme="minorHAnsi" w:hAnsiTheme="minorHAnsi" w:cs="Calibri"/>
          <w:szCs w:val="24"/>
        </w:rPr>
        <w:t>o Regimento Interno desta Casa de Leis assim estabelece:</w:t>
      </w:r>
    </w:p>
    <w:p w:rsidR="00A779B8" w:rsidRPr="0032224F" w:rsidP="0000548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32224F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00548E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00548E">
        <w:rPr>
          <w:rFonts w:asciiTheme="minorHAnsi" w:hAnsiTheme="minorHAns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00548E">
        <w:rPr>
          <w:rFonts w:asciiTheme="minorHAnsi" w:hAnsiTheme="minorHAnsi" w:cs="Calibri"/>
          <w:b/>
          <w:i/>
          <w:sz w:val="22"/>
          <w:szCs w:val="22"/>
        </w:rPr>
        <w:t>§ 4º. Emenda modificativa é a que se refere apenas à redação do artigo, sem alterar a sua substância</w:t>
      </w:r>
      <w:r w:rsidRPr="00944D41">
        <w:rPr>
          <w:rFonts w:asciiTheme="minorHAnsi" w:hAnsiTheme="minorHAnsi" w:cs="Calibri"/>
          <w:i/>
          <w:sz w:val="22"/>
          <w:szCs w:val="22"/>
        </w:rPr>
        <w:t xml:space="preserve">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32224F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32224F">
        <w:rPr>
          <w:rFonts w:asciiTheme="minorHAnsi" w:hAnsiTheme="minorHAnsi" w:cs="Calibri"/>
          <w:i/>
          <w:sz w:val="22"/>
          <w:szCs w:val="22"/>
        </w:rPr>
        <w:t>emenda estranhos</w:t>
      </w:r>
      <w:r w:rsidRPr="0032224F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756234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(Grifo nosso). </w:t>
      </w:r>
    </w:p>
    <w:p w:rsidR="00FF67B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</w:p>
    <w:p w:rsidR="00A779B8" w:rsidRPr="00864FC4" w:rsidP="00864FC4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Theme="minorHAnsi" w:hAnsiTheme="minorHAnsi" w:cs="Calibri"/>
          <w:szCs w:val="24"/>
        </w:rPr>
      </w:pPr>
      <w:r w:rsidRPr="00EA43E7">
        <w:rPr>
          <w:rFonts w:asciiTheme="minorHAnsi" w:hAnsiTheme="minorHAnsi" w:cs="Calibri"/>
          <w:szCs w:val="24"/>
        </w:rPr>
        <w:t xml:space="preserve"> Destarte, verifica-se que o projeto de emenda </w:t>
      </w:r>
      <w:r w:rsidRPr="00EA43E7" w:rsidR="005D6203">
        <w:rPr>
          <w:rFonts w:asciiTheme="minorHAnsi" w:hAnsiTheme="minorHAnsi" w:cs="Calibri"/>
          <w:szCs w:val="24"/>
        </w:rPr>
        <w:t xml:space="preserve">em apreço </w:t>
      </w:r>
      <w:r w:rsidRPr="00EA43E7">
        <w:rPr>
          <w:rFonts w:asciiTheme="minorHAnsi" w:hAnsiTheme="minorHAnsi" w:cs="Calibri"/>
          <w:szCs w:val="24"/>
        </w:rPr>
        <w:t>atende aos dispositivos do Regimento Interno da Câmara, não havendo óbice regimental na sua tramitação</w:t>
      </w:r>
      <w:r w:rsidR="0010716F">
        <w:rPr>
          <w:rFonts w:asciiTheme="minorHAnsi" w:hAnsiTheme="minorHAnsi" w:cs="Calibri"/>
          <w:szCs w:val="24"/>
        </w:rPr>
        <w:t>,</w:t>
      </w:r>
      <w:r w:rsidR="00944D41">
        <w:rPr>
          <w:rFonts w:asciiTheme="minorHAnsi" w:hAnsiTheme="minorHAnsi" w:cs="Calibri"/>
          <w:szCs w:val="24"/>
        </w:rPr>
        <w:t xml:space="preserve"> </w:t>
      </w:r>
      <w:r w:rsidRPr="001A7907" w:rsidR="00944D41">
        <w:rPr>
          <w:rFonts w:asciiTheme="minorHAnsi" w:hAnsiTheme="minorHAnsi" w:cs="Calibri"/>
          <w:szCs w:val="24"/>
        </w:rPr>
        <w:t>e</w:t>
      </w:r>
      <w:r w:rsidR="00944D41">
        <w:rPr>
          <w:rFonts w:asciiTheme="minorHAnsi" w:hAnsiTheme="minorHAnsi" w:cs="Calibri"/>
          <w:szCs w:val="24"/>
        </w:rPr>
        <w:t xml:space="preserve"> quanto à matéria</w:t>
      </w:r>
      <w:r w:rsidRPr="001A7907" w:rsidR="00944D41">
        <w:rPr>
          <w:rFonts w:asciiTheme="minorHAnsi" w:hAnsiTheme="minorHAnsi" w:cs="Calibri"/>
          <w:szCs w:val="24"/>
        </w:rPr>
        <w:t xml:space="preserve"> </w:t>
      </w:r>
      <w:r w:rsidR="00352E51">
        <w:rPr>
          <w:rFonts w:asciiTheme="minorHAnsi" w:hAnsiTheme="minorHAnsi" w:cs="Calibri"/>
          <w:szCs w:val="24"/>
        </w:rPr>
        <w:t xml:space="preserve">reiteramos </w:t>
      </w:r>
      <w:r w:rsidRPr="001A7907" w:rsidR="00944D41">
        <w:rPr>
          <w:rFonts w:asciiTheme="minorHAnsi" w:hAnsiTheme="minorHAnsi" w:cs="Calibri"/>
          <w:szCs w:val="24"/>
        </w:rPr>
        <w:t>Parecer Jurídico nº</w:t>
      </w:r>
      <w:r w:rsidR="00864FC4">
        <w:rPr>
          <w:rFonts w:asciiTheme="minorHAnsi" w:hAnsiTheme="minorHAnsi" w:cs="Calibri"/>
          <w:szCs w:val="24"/>
        </w:rPr>
        <w:t xml:space="preserve"> </w:t>
      </w:r>
      <w:r w:rsidR="00FF67BF">
        <w:rPr>
          <w:rFonts w:asciiTheme="minorHAnsi" w:hAnsiTheme="minorHAnsi" w:cs="Calibri"/>
          <w:szCs w:val="24"/>
        </w:rPr>
        <w:t>398</w:t>
      </w:r>
      <w:r w:rsidR="00CF3947">
        <w:rPr>
          <w:rFonts w:asciiTheme="minorHAnsi" w:hAnsiTheme="minorHAnsi" w:cs="Calibri"/>
          <w:szCs w:val="24"/>
        </w:rPr>
        <w:t>/2023</w:t>
      </w:r>
      <w:r w:rsidR="00864FC4">
        <w:rPr>
          <w:rFonts w:asciiTheme="minorHAnsi" w:hAnsiTheme="minorHAnsi" w:cs="Calibri"/>
          <w:szCs w:val="24"/>
        </w:rPr>
        <w:t xml:space="preserve">. </w:t>
      </w:r>
      <w:r w:rsidR="003A712F">
        <w:rPr>
          <w:rFonts w:asciiTheme="minorHAnsi" w:hAnsiTheme="minorHAnsi" w:cs="Calibri"/>
          <w:szCs w:val="24"/>
        </w:rPr>
        <w:t>No exame do mérito</w:t>
      </w:r>
      <w:r w:rsidRPr="001708EF">
        <w:rPr>
          <w:rFonts w:ascii="Calibri" w:hAnsi="Calibri" w:cstheme="minorHAnsi"/>
          <w:szCs w:val="24"/>
        </w:rPr>
        <w:t xml:space="preserve">, o </w:t>
      </w:r>
      <w:r w:rsidRPr="001708EF" w:rsidR="001708EF">
        <w:rPr>
          <w:rFonts w:ascii="Calibri" w:hAnsi="Calibri" w:cstheme="minorHAnsi"/>
          <w:szCs w:val="24"/>
        </w:rPr>
        <w:t>Plenário é soberano.</w:t>
      </w:r>
    </w:p>
    <w:p w:rsidR="00A779B8" w:rsidRPr="00CE118C" w:rsidP="00864F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>É o parecer, a superior consideração.</w:t>
      </w:r>
    </w:p>
    <w:p w:rsidR="00A779B8" w:rsidP="00864F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CE118C">
        <w:rPr>
          <w:rFonts w:ascii="Calibri" w:hAnsi="Calibri" w:cs="Calibri"/>
          <w:szCs w:val="24"/>
        </w:rPr>
        <w:t xml:space="preserve">Procuradoria, </w:t>
      </w:r>
      <w:r w:rsidR="00BA74FB">
        <w:rPr>
          <w:rFonts w:ascii="Calibri" w:hAnsi="Calibri" w:cs="Calibri"/>
          <w:szCs w:val="24"/>
        </w:rPr>
        <w:t>1</w:t>
      </w:r>
      <w:r w:rsidR="00FF67BF">
        <w:rPr>
          <w:rFonts w:ascii="Calibri" w:hAnsi="Calibri" w:cs="Calibri"/>
          <w:szCs w:val="24"/>
        </w:rPr>
        <w:t>º</w:t>
      </w:r>
      <w:r w:rsidRPr="00CE118C">
        <w:rPr>
          <w:rFonts w:ascii="Calibri" w:hAnsi="Calibri" w:cs="Calibri"/>
          <w:szCs w:val="24"/>
        </w:rPr>
        <w:t xml:space="preserve"> de </w:t>
      </w:r>
      <w:r w:rsidR="00FF67BF">
        <w:rPr>
          <w:rFonts w:ascii="Calibri" w:hAnsi="Calibri" w:cs="Calibri"/>
          <w:szCs w:val="24"/>
        </w:rPr>
        <w:t>novembro</w:t>
      </w:r>
      <w:r w:rsidRPr="00CE118C">
        <w:rPr>
          <w:rFonts w:ascii="Calibri" w:hAnsi="Calibri" w:cs="Calibri"/>
          <w:szCs w:val="24"/>
        </w:rPr>
        <w:t xml:space="preserve"> de 202</w:t>
      </w:r>
      <w:r w:rsidRPr="00CE118C" w:rsidR="006F165C">
        <w:rPr>
          <w:rFonts w:ascii="Calibri" w:hAnsi="Calibri" w:cs="Calibri"/>
          <w:szCs w:val="24"/>
        </w:rPr>
        <w:t>3</w:t>
      </w:r>
      <w:r w:rsidRPr="00CE118C">
        <w:rPr>
          <w:rFonts w:ascii="Calibri" w:hAnsi="Calibri" w:cs="Calibri"/>
          <w:szCs w:val="24"/>
        </w:rPr>
        <w:t>.</w:t>
      </w:r>
    </w:p>
    <w:p w:rsidR="00864FC4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FF67BF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352E51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A779B8" w:rsidRPr="003A7521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 w:rsidR="006F165C">
        <w:rPr>
          <w:rFonts w:ascii="Calibri" w:hAnsi="Calibri" w:cs="Calibri"/>
          <w:b/>
          <w:szCs w:val="24"/>
        </w:rPr>
        <w:t xml:space="preserve">a - OAB/SP </w:t>
      </w:r>
      <w:r w:rsidR="00E31B26">
        <w:rPr>
          <w:rFonts w:ascii="Calibri" w:hAnsi="Calibri" w:cs="Calibri"/>
          <w:b/>
          <w:szCs w:val="24"/>
        </w:rPr>
        <w:t>nº</w:t>
      </w:r>
      <w:r w:rsidR="00D53D44">
        <w:rPr>
          <w:rFonts w:ascii="Calibri" w:hAnsi="Calibri" w:cs="Calibri"/>
          <w:b/>
          <w:szCs w:val="24"/>
        </w:rPr>
        <w:t xml:space="preserve"> 308.298</w:t>
      </w:r>
    </w:p>
    <w:p w:rsidR="00A779B8" w:rsidRPr="00743FE1" w:rsidP="007904AB">
      <w:pPr>
        <w:pStyle w:val="BodyText"/>
        <w:spacing w:after="0" w:line="240" w:lineRule="auto"/>
        <w:jc w:val="center"/>
      </w:pPr>
      <w:r>
        <w:rPr>
          <w:rFonts w:ascii="Calibri" w:hAnsi="Calibri" w:cs="Calibri"/>
          <w:szCs w:val="24"/>
        </w:rPr>
        <w:t>Assinado digitalmente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560E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6560E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560E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560E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6560E" w:rsidP="00305026">
            <w:pPr>
              <w:pStyle w:val="Footer"/>
              <w:ind w:left="-1985" w:right="-313"/>
              <w:jc w:val="center"/>
            </w:pPr>
          </w:p>
          <w:p w:rsidR="00A6560E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23A06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23A06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560E">
      <w:pPr>
        <w:spacing w:after="0" w:line="240" w:lineRule="auto"/>
      </w:pPr>
      <w:r>
        <w:separator/>
      </w:r>
    </w:p>
  </w:footnote>
  <w:footnote w:type="continuationSeparator" w:id="1">
    <w:p w:rsidR="00A6560E">
      <w:pPr>
        <w:spacing w:after="0" w:line="240" w:lineRule="auto"/>
      </w:pPr>
      <w:r>
        <w:continuationSeparator/>
      </w:r>
    </w:p>
  </w:footnote>
  <w:footnote w:id="2">
    <w:p w:rsidR="00944D41" w:rsidRPr="00944D41" w:rsidP="00944D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44D41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944D41">
        <w:rPr>
          <w:rFonts w:asciiTheme="minorHAnsi" w:hAnsiTheme="minorHAnsi" w:cstheme="minorHAnsi"/>
          <w:sz w:val="20"/>
          <w:szCs w:val="20"/>
        </w:rPr>
        <w:t xml:space="preserve"> </w:t>
      </w:r>
      <w:r w:rsidRPr="00944D41">
        <w:rPr>
          <w:rFonts w:asciiTheme="minorHAnsi" w:hAnsiTheme="minorHAnsi" w:cstheme="minorHAnsi"/>
          <w:color w:val="auto"/>
          <w:sz w:val="20"/>
          <w:szCs w:val="20"/>
        </w:rPr>
        <w:t>Nesse sentido é o entendimento do C. Supremo Tribunal Federal: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“O parecer emitido por procurador ou advogado de órgão da administração pública não é ato administrativo.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Nada mais é do que a opinião emitida pelo operador do direito, opinião técnico-jurídica, que orientará o administrador na tomada da decisão, na prática do ato administrativo, que se constitui na execução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ex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oficio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da lei.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60E" w:rsidP="00305026">
    <w:pPr>
      <w:pStyle w:val="Header"/>
      <w:jc w:val="center"/>
      <w:rPr>
        <w:b/>
        <w:sz w:val="26"/>
        <w:lang w:val="pt-PT"/>
      </w:rPr>
    </w:pPr>
  </w:p>
  <w:p w:rsidR="00A6560E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0E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659078171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129740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6034928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560E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36062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491030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560E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560E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F0439D"/>
    <w:multiLevelType w:val="hybridMultilevel"/>
    <w:tmpl w:val="26863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B8C"/>
    <w:multiLevelType w:val="hybridMultilevel"/>
    <w:tmpl w:val="70ECB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6E8"/>
    <w:multiLevelType w:val="hybridMultilevel"/>
    <w:tmpl w:val="50461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0548E"/>
    <w:rsid w:val="00031240"/>
    <w:rsid w:val="00035153"/>
    <w:rsid w:val="00046F94"/>
    <w:rsid w:val="000473D6"/>
    <w:rsid w:val="000575E2"/>
    <w:rsid w:val="000A5422"/>
    <w:rsid w:val="000E77F7"/>
    <w:rsid w:val="0010716F"/>
    <w:rsid w:val="0011053B"/>
    <w:rsid w:val="00116C2C"/>
    <w:rsid w:val="00125B9A"/>
    <w:rsid w:val="00152919"/>
    <w:rsid w:val="00166A4A"/>
    <w:rsid w:val="001708EF"/>
    <w:rsid w:val="00185E77"/>
    <w:rsid w:val="001A298A"/>
    <w:rsid w:val="001A7907"/>
    <w:rsid w:val="001B56D5"/>
    <w:rsid w:val="001D63E7"/>
    <w:rsid w:val="001D6A14"/>
    <w:rsid w:val="001F75A1"/>
    <w:rsid w:val="00222C85"/>
    <w:rsid w:val="002332AB"/>
    <w:rsid w:val="00235BF6"/>
    <w:rsid w:val="00244542"/>
    <w:rsid w:val="002F41B0"/>
    <w:rsid w:val="00305026"/>
    <w:rsid w:val="0032224F"/>
    <w:rsid w:val="00323A06"/>
    <w:rsid w:val="00352E51"/>
    <w:rsid w:val="00353DD1"/>
    <w:rsid w:val="0035695C"/>
    <w:rsid w:val="00365F3A"/>
    <w:rsid w:val="00380740"/>
    <w:rsid w:val="003A712F"/>
    <w:rsid w:val="003A7521"/>
    <w:rsid w:val="003D4024"/>
    <w:rsid w:val="003E0D77"/>
    <w:rsid w:val="003E1CF9"/>
    <w:rsid w:val="00431C9A"/>
    <w:rsid w:val="00496CD5"/>
    <w:rsid w:val="004B1794"/>
    <w:rsid w:val="005163A4"/>
    <w:rsid w:val="00522A30"/>
    <w:rsid w:val="0055143B"/>
    <w:rsid w:val="00561C45"/>
    <w:rsid w:val="00565D77"/>
    <w:rsid w:val="00591C6F"/>
    <w:rsid w:val="005B754D"/>
    <w:rsid w:val="005D402B"/>
    <w:rsid w:val="005D6203"/>
    <w:rsid w:val="00621BFC"/>
    <w:rsid w:val="00626A4F"/>
    <w:rsid w:val="00646BC4"/>
    <w:rsid w:val="006E6F69"/>
    <w:rsid w:val="006F165C"/>
    <w:rsid w:val="006F4218"/>
    <w:rsid w:val="007338C1"/>
    <w:rsid w:val="00743FE1"/>
    <w:rsid w:val="00750362"/>
    <w:rsid w:val="00756234"/>
    <w:rsid w:val="0078016A"/>
    <w:rsid w:val="00783082"/>
    <w:rsid w:val="007904AB"/>
    <w:rsid w:val="007B5A05"/>
    <w:rsid w:val="007C6D50"/>
    <w:rsid w:val="007D2626"/>
    <w:rsid w:val="00813294"/>
    <w:rsid w:val="0082204D"/>
    <w:rsid w:val="00864FC4"/>
    <w:rsid w:val="0087598C"/>
    <w:rsid w:val="008A7D22"/>
    <w:rsid w:val="008B1281"/>
    <w:rsid w:val="008D703C"/>
    <w:rsid w:val="00933CA9"/>
    <w:rsid w:val="00944D41"/>
    <w:rsid w:val="00963B6F"/>
    <w:rsid w:val="009C7616"/>
    <w:rsid w:val="009D2232"/>
    <w:rsid w:val="00A11C58"/>
    <w:rsid w:val="00A3393A"/>
    <w:rsid w:val="00A33C8A"/>
    <w:rsid w:val="00A6560E"/>
    <w:rsid w:val="00A779B8"/>
    <w:rsid w:val="00AA0609"/>
    <w:rsid w:val="00AA2F4C"/>
    <w:rsid w:val="00AC33D2"/>
    <w:rsid w:val="00AF01F9"/>
    <w:rsid w:val="00B232DD"/>
    <w:rsid w:val="00B477B4"/>
    <w:rsid w:val="00BA74FB"/>
    <w:rsid w:val="00BD076E"/>
    <w:rsid w:val="00BE6AF5"/>
    <w:rsid w:val="00C15DC4"/>
    <w:rsid w:val="00C2365D"/>
    <w:rsid w:val="00C40D18"/>
    <w:rsid w:val="00CC06A8"/>
    <w:rsid w:val="00CE118C"/>
    <w:rsid w:val="00CF3947"/>
    <w:rsid w:val="00D01A07"/>
    <w:rsid w:val="00D13CCD"/>
    <w:rsid w:val="00D262DC"/>
    <w:rsid w:val="00D3018D"/>
    <w:rsid w:val="00D4238B"/>
    <w:rsid w:val="00D45484"/>
    <w:rsid w:val="00D53D44"/>
    <w:rsid w:val="00D70598"/>
    <w:rsid w:val="00D76EAD"/>
    <w:rsid w:val="00D932DC"/>
    <w:rsid w:val="00E31B26"/>
    <w:rsid w:val="00E325E8"/>
    <w:rsid w:val="00E52006"/>
    <w:rsid w:val="00E71AE8"/>
    <w:rsid w:val="00E90CDC"/>
    <w:rsid w:val="00EA43E7"/>
    <w:rsid w:val="00EB17A8"/>
    <w:rsid w:val="00EC7B64"/>
    <w:rsid w:val="00EE71E8"/>
    <w:rsid w:val="00F003C1"/>
    <w:rsid w:val="00F13634"/>
    <w:rsid w:val="00F13855"/>
    <w:rsid w:val="00F33184"/>
    <w:rsid w:val="00F439F6"/>
    <w:rsid w:val="00F512FB"/>
    <w:rsid w:val="00F53BEF"/>
    <w:rsid w:val="00F56D5F"/>
    <w:rsid w:val="00F648BB"/>
    <w:rsid w:val="00F90411"/>
    <w:rsid w:val="00FF197E"/>
    <w:rsid w:val="00FF67B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3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D53D44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D53D44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D53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F118-B17D-4C43-BBBD-7C8B6BF4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4</cp:revision>
  <dcterms:created xsi:type="dcterms:W3CDTF">2023-11-01T15:59:00Z</dcterms:created>
  <dcterms:modified xsi:type="dcterms:W3CDTF">2023-11-01T16:08:00Z</dcterms:modified>
</cp:coreProperties>
</file>