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1D7" w:rsidRPr="006B3D5D" w:rsidP="002F51D7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</w:rPr>
        <w:t>Parecer J</w:t>
      </w:r>
      <w:r w:rsidR="00D227FF">
        <w:rPr>
          <w:rFonts w:asciiTheme="minorHAnsi" w:hAnsiTheme="minorHAnsi" w:cstheme="minorHAnsi"/>
          <w:b/>
        </w:rPr>
        <w:t>urídico</w:t>
      </w:r>
      <w:r>
        <w:rPr>
          <w:rFonts w:asciiTheme="minorHAnsi" w:hAnsiTheme="minorHAnsi" w:cstheme="minorHAnsi"/>
          <w:b/>
        </w:rPr>
        <w:t xml:space="preserve"> nº </w:t>
      </w:r>
      <w:r w:rsidR="003120CE">
        <w:rPr>
          <w:rFonts w:asciiTheme="minorHAnsi" w:hAnsiTheme="minorHAnsi" w:cstheme="minorHAnsi"/>
          <w:b/>
        </w:rPr>
        <w:t>377</w:t>
      </w:r>
      <w:r w:rsidRPr="00D33B2B">
        <w:rPr>
          <w:rFonts w:asciiTheme="minorHAnsi" w:hAnsiTheme="minorHAnsi" w:cstheme="minorHAnsi"/>
          <w:b/>
        </w:rPr>
        <w:t>/20</w:t>
      </w:r>
      <w:r w:rsidR="00D227FF">
        <w:rPr>
          <w:rFonts w:asciiTheme="minorHAnsi" w:hAnsiTheme="minorHAnsi" w:cstheme="minorHAnsi"/>
          <w:b/>
        </w:rPr>
        <w:t>23</w:t>
      </w:r>
    </w:p>
    <w:p w:rsidR="003120CE" w:rsidRPr="00D319B3" w:rsidP="002F51D7">
      <w:pPr>
        <w:jc w:val="both"/>
        <w:rPr>
          <w:rFonts w:asciiTheme="minorHAnsi" w:hAnsiTheme="minorHAnsi" w:cstheme="minorHAnsi"/>
          <w:szCs w:val="24"/>
        </w:rPr>
      </w:pPr>
      <w:r w:rsidRPr="00D33B2B">
        <w:rPr>
          <w:rFonts w:asciiTheme="minorHAnsi" w:hAnsiTheme="minorHAnsi" w:cstheme="minorHAnsi"/>
          <w:b/>
          <w:bCs/>
          <w:szCs w:val="24"/>
        </w:rPr>
        <w:t xml:space="preserve">Assunto: </w:t>
      </w:r>
      <w:r w:rsidRPr="00D227FF">
        <w:rPr>
          <w:rFonts w:asciiTheme="minorHAnsi" w:hAnsiTheme="minorHAnsi" w:cstheme="minorHAnsi"/>
          <w:bCs/>
          <w:szCs w:val="24"/>
        </w:rPr>
        <w:t xml:space="preserve">Projeto de Lei nº </w:t>
      </w:r>
      <w:r w:rsidRPr="00D227FF" w:rsidR="00D227FF">
        <w:rPr>
          <w:rFonts w:asciiTheme="minorHAnsi" w:hAnsiTheme="minorHAnsi" w:cstheme="minorHAnsi"/>
          <w:bCs/>
          <w:szCs w:val="24"/>
        </w:rPr>
        <w:t>13</w:t>
      </w:r>
      <w:r>
        <w:rPr>
          <w:rFonts w:asciiTheme="minorHAnsi" w:hAnsiTheme="minorHAnsi" w:cstheme="minorHAnsi"/>
          <w:bCs/>
          <w:szCs w:val="24"/>
        </w:rPr>
        <w:t>8</w:t>
      </w:r>
      <w:r w:rsidRPr="00D227FF">
        <w:rPr>
          <w:rFonts w:asciiTheme="minorHAnsi" w:hAnsiTheme="minorHAnsi" w:cstheme="minorHAnsi"/>
          <w:bCs/>
          <w:szCs w:val="24"/>
        </w:rPr>
        <w:t>/20</w:t>
      </w:r>
      <w:r w:rsidRPr="00D227FF" w:rsidR="00D227FF">
        <w:rPr>
          <w:rFonts w:asciiTheme="minorHAnsi" w:hAnsiTheme="minorHAnsi" w:cstheme="minorHAnsi"/>
          <w:bCs/>
          <w:szCs w:val="24"/>
        </w:rPr>
        <w:t>23</w:t>
      </w:r>
      <w:r w:rsidRPr="00D227FF">
        <w:rPr>
          <w:rFonts w:asciiTheme="minorHAnsi" w:hAnsiTheme="minorHAnsi" w:cstheme="minorHAnsi"/>
          <w:bCs/>
          <w:szCs w:val="24"/>
        </w:rPr>
        <w:t xml:space="preserve"> –</w:t>
      </w:r>
      <w:r w:rsidRPr="00D227FF" w:rsidR="00D227FF">
        <w:rPr>
          <w:rFonts w:asciiTheme="minorHAnsi" w:hAnsiTheme="minorHAnsi" w:cstheme="minorHAnsi"/>
          <w:bCs/>
          <w:szCs w:val="24"/>
        </w:rPr>
        <w:t xml:space="preserve"> </w:t>
      </w:r>
      <w:r w:rsidRPr="00D319B3">
        <w:rPr>
          <w:rFonts w:asciiTheme="minorHAnsi" w:hAnsiTheme="minorHAnsi" w:cstheme="minorHAnsi"/>
          <w:szCs w:val="24"/>
        </w:rPr>
        <w:t>Dispõe sobre a possibilidade de acompanhamento e fiscalização de obras públicas por pessoa física, no Município de Valinhos, na forma que especifica</w:t>
      </w:r>
      <w:r w:rsidR="00D319B3">
        <w:rPr>
          <w:rFonts w:asciiTheme="minorHAnsi" w:hAnsiTheme="minorHAnsi" w:cstheme="minorHAnsi"/>
          <w:szCs w:val="24"/>
        </w:rPr>
        <w:t>.</w:t>
      </w:r>
    </w:p>
    <w:p w:rsidR="002F51D7" w:rsidP="002F51D7">
      <w:pPr>
        <w:pStyle w:val="Default"/>
        <w:spacing w:after="240" w:line="360" w:lineRule="auto"/>
        <w:jc w:val="both"/>
        <w:rPr>
          <w:rFonts w:asciiTheme="minorHAnsi" w:hAnsiTheme="minorHAnsi" w:cstheme="minorHAnsi"/>
          <w:b/>
          <w:bCs/>
        </w:rPr>
      </w:pPr>
      <w:r w:rsidRPr="00D33B2B">
        <w:rPr>
          <w:rFonts w:asciiTheme="minorHAnsi" w:hAnsiTheme="minorHAnsi" w:cstheme="minorHAnsi"/>
          <w:b/>
          <w:bCs/>
        </w:rPr>
        <w:t>Autoria</w:t>
      </w:r>
      <w:r>
        <w:rPr>
          <w:rFonts w:asciiTheme="minorHAnsi" w:hAnsiTheme="minorHAnsi" w:cstheme="minorHAnsi"/>
          <w:b/>
          <w:bCs/>
        </w:rPr>
        <w:t xml:space="preserve">: </w:t>
      </w:r>
      <w:r w:rsidRPr="00D227FF">
        <w:rPr>
          <w:rFonts w:asciiTheme="minorHAnsi" w:hAnsiTheme="minorHAnsi" w:cstheme="minorHAnsi"/>
          <w:bCs/>
        </w:rPr>
        <w:t>Vereador Veiga</w:t>
      </w:r>
    </w:p>
    <w:p w:rsidR="00FD1875" w:rsidP="00D227FF">
      <w:pPr>
        <w:pStyle w:val="Default"/>
        <w:tabs>
          <w:tab w:val="left" w:pos="705"/>
        </w:tabs>
        <w:jc w:val="both"/>
        <w:rPr>
          <w:rFonts w:asciiTheme="minorHAnsi" w:hAnsiTheme="minorHAnsi" w:cstheme="minorHAnsi"/>
          <w:b/>
          <w:i/>
          <w:color w:val="auto"/>
        </w:rPr>
      </w:pPr>
    </w:p>
    <w:p w:rsidR="00D319B3" w:rsidP="00D227FF">
      <w:pPr>
        <w:pStyle w:val="Default"/>
        <w:tabs>
          <w:tab w:val="left" w:pos="705"/>
        </w:tabs>
        <w:jc w:val="both"/>
        <w:rPr>
          <w:rFonts w:asciiTheme="minorHAnsi" w:hAnsiTheme="minorHAnsi" w:cstheme="minorHAnsi"/>
          <w:b/>
          <w:i/>
          <w:color w:val="auto"/>
        </w:rPr>
      </w:pPr>
    </w:p>
    <w:p w:rsidR="00D227FF" w:rsidRPr="0034462A" w:rsidP="00D227FF">
      <w:pPr>
        <w:pStyle w:val="Default"/>
        <w:tabs>
          <w:tab w:val="left" w:pos="705"/>
        </w:tabs>
        <w:jc w:val="both"/>
        <w:rPr>
          <w:rFonts w:asciiTheme="minorHAnsi" w:hAnsiTheme="minorHAnsi" w:cstheme="minorHAnsi"/>
          <w:b/>
          <w:i/>
          <w:color w:val="auto"/>
        </w:rPr>
      </w:pPr>
      <w:r w:rsidRPr="0034462A">
        <w:rPr>
          <w:rFonts w:asciiTheme="minorHAnsi" w:hAnsiTheme="minorHAnsi" w:cstheme="minorHAnsi"/>
          <w:b/>
          <w:i/>
          <w:color w:val="auto"/>
        </w:rPr>
        <w:t>À Comissão de Justiça e Redação,</w:t>
      </w:r>
    </w:p>
    <w:p w:rsidR="00D227FF" w:rsidRPr="0034462A" w:rsidP="00D227FF">
      <w:pPr>
        <w:pStyle w:val="Default"/>
        <w:tabs>
          <w:tab w:val="left" w:pos="705"/>
        </w:tabs>
        <w:jc w:val="both"/>
        <w:rPr>
          <w:rFonts w:asciiTheme="minorHAnsi" w:hAnsiTheme="minorHAnsi" w:cstheme="minorHAnsi"/>
          <w:b/>
          <w:i/>
          <w:color w:val="auto"/>
        </w:rPr>
      </w:pPr>
      <w:r w:rsidRPr="0034462A">
        <w:rPr>
          <w:rFonts w:asciiTheme="minorHAnsi" w:hAnsiTheme="minorHAnsi" w:cstheme="minorHAnsi"/>
          <w:b/>
          <w:i/>
          <w:color w:val="auto"/>
        </w:rPr>
        <w:t>Exmo. Presidente Vereador Gabriel Bueno.</w:t>
      </w:r>
    </w:p>
    <w:p w:rsidR="002F51D7" w:rsidRPr="002F51D7" w:rsidP="002F51D7">
      <w:pPr>
        <w:pStyle w:val="Default"/>
        <w:jc w:val="both"/>
        <w:rPr>
          <w:rFonts w:asciiTheme="minorHAnsi" w:hAnsiTheme="minorHAnsi" w:cstheme="minorHAnsi"/>
          <w:b/>
        </w:rPr>
      </w:pPr>
    </w:p>
    <w:p w:rsidR="002F51D7" w:rsidP="002F51D7">
      <w:pPr>
        <w:pStyle w:val="Default"/>
        <w:spacing w:after="240" w:line="360" w:lineRule="auto"/>
        <w:jc w:val="both"/>
        <w:rPr>
          <w:rFonts w:asciiTheme="minorHAnsi" w:hAnsiTheme="minorHAnsi" w:cstheme="minorHAnsi"/>
          <w:b/>
          <w:color w:val="auto"/>
          <w:sz w:val="12"/>
          <w:szCs w:val="12"/>
        </w:rPr>
      </w:pPr>
    </w:p>
    <w:p w:rsidR="00D319B3" w:rsidRPr="00FD1875" w:rsidP="002F51D7">
      <w:pPr>
        <w:pStyle w:val="Default"/>
        <w:spacing w:after="240" w:line="360" w:lineRule="auto"/>
        <w:jc w:val="both"/>
        <w:rPr>
          <w:rFonts w:asciiTheme="minorHAnsi" w:hAnsiTheme="minorHAnsi" w:cstheme="minorHAnsi"/>
          <w:b/>
          <w:color w:val="auto"/>
          <w:sz w:val="12"/>
          <w:szCs w:val="12"/>
        </w:rPr>
      </w:pPr>
    </w:p>
    <w:p w:rsidR="00D319B3" w:rsidRPr="00D319B3" w:rsidP="00D319B3">
      <w:pPr>
        <w:spacing w:after="240" w:line="360" w:lineRule="auto"/>
        <w:ind w:firstLine="1701"/>
        <w:jc w:val="both"/>
        <w:rPr>
          <w:rFonts w:asciiTheme="minorHAnsi" w:hAnsiTheme="minorHAnsi" w:cstheme="minorHAnsi"/>
          <w:i/>
          <w:szCs w:val="24"/>
        </w:rPr>
      </w:pPr>
      <w:r w:rsidRPr="00D33B2B">
        <w:rPr>
          <w:rFonts w:asciiTheme="minorHAnsi" w:hAnsiTheme="minorHAnsi" w:cstheme="minorHAnsi"/>
          <w:szCs w:val="24"/>
        </w:rPr>
        <w:t>Trata-se de parecer jurídico relativo ao projeto em epígrafe</w:t>
      </w:r>
      <w:r>
        <w:rPr>
          <w:rFonts w:asciiTheme="minorHAnsi" w:hAnsiTheme="minorHAnsi" w:cstheme="minorHAnsi"/>
          <w:szCs w:val="24"/>
        </w:rPr>
        <w:t xml:space="preserve"> que</w:t>
      </w:r>
      <w:r w:rsidRPr="006B3D5D">
        <w:rPr>
          <w:rFonts w:asciiTheme="minorHAnsi" w:hAnsiTheme="minorHAnsi" w:cstheme="minorHAnsi"/>
          <w:szCs w:val="24"/>
        </w:rPr>
        <w:t xml:space="preserve"> </w:t>
      </w:r>
      <w:r w:rsidRPr="00D319B3">
        <w:rPr>
          <w:rFonts w:asciiTheme="minorHAnsi" w:hAnsiTheme="minorHAnsi" w:cstheme="minorHAnsi"/>
          <w:i/>
          <w:szCs w:val="24"/>
        </w:rPr>
        <w:t>“Dispõe sobre a possibilidade de acompanhamento e fiscalização de obras públicas por pessoa física, no Município de Valinhos, na forma que especifica”.</w:t>
      </w:r>
    </w:p>
    <w:p w:rsidR="003120CE" w:rsidRPr="00C54F57" w:rsidP="003120CE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</w:t>
      </w:r>
      <w:r>
        <w:rPr>
          <w:rFonts w:asciiTheme="minorHAnsi" w:hAnsiTheme="minorHAnsi" w:cstheme="minorHAnsi"/>
          <w:bCs/>
          <w:szCs w:val="24"/>
        </w:rPr>
        <w:tab/>
      </w:r>
      <w:r w:rsidRPr="00C54F57">
        <w:rPr>
          <w:rFonts w:asciiTheme="minorHAnsi" w:hAnsiTheme="minorHAnsi" w:cstheme="minorHAnsi"/>
          <w:i/>
          <w:szCs w:val="24"/>
        </w:rPr>
        <w:t>Ab initio</w:t>
      </w:r>
      <w:r w:rsidRPr="00C54F57">
        <w:rPr>
          <w:rFonts w:asciiTheme="minorHAnsi" w:hAnsiTheme="minorHAnsi" w:cstheme="minorHAnsi"/>
          <w:szCs w:val="24"/>
        </w:rPr>
        <w:t>, cumpre destacar a competência regimental da Comissão de Justiça e Redação, estabelecida no artigo 38.</w:t>
      </w:r>
    </w:p>
    <w:p w:rsidR="003120CE" w:rsidRPr="00C54F57" w:rsidP="003120CE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 w:rsidRPr="00C54F57">
        <w:rPr>
          <w:rFonts w:asciiTheme="minorHAnsi" w:hAnsiTheme="minorHAnsi" w:cstheme="minorHAnsi"/>
          <w:szCs w:val="24"/>
        </w:rPr>
        <w:tab/>
      </w:r>
      <w:r w:rsidRPr="00C54F57">
        <w:rPr>
          <w:rFonts w:asciiTheme="minorHAnsi" w:hAnsiTheme="minorHAnsi" w:cstheme="minorHAnsi"/>
          <w:szCs w:val="24"/>
        </w:rPr>
        <w:t>Outrossim</w:t>
      </w:r>
      <w:r w:rsidRPr="00C54F57">
        <w:rPr>
          <w:rFonts w:asciiTheme="minorHAnsi" w:hAnsiTheme="minorHAnsi" w:cstheme="minorHAnsi"/>
          <w:szCs w:val="24"/>
        </w:rPr>
        <w:t>, ressalta-se que a opinião jurídica exarada neste parecer não tem força vinculante, sendo meramente opinativo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C54F57">
        <w:rPr>
          <w:rFonts w:asciiTheme="minorHAnsi" w:hAnsiTheme="minorHAnsi" w:cstheme="minorHAnsi"/>
          <w:szCs w:val="24"/>
        </w:rPr>
        <w:t xml:space="preserve"> não fundamentando decisão proferida pelas Comissões e/ou nobres vereadores.</w:t>
      </w:r>
    </w:p>
    <w:p w:rsidR="003120CE" w:rsidRPr="00C54F57" w:rsidP="003120CE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 w:rsidRPr="00C54F57">
        <w:rPr>
          <w:rFonts w:asciiTheme="minorHAnsi" w:hAnsiTheme="minorHAnsi" w:cstheme="minorHAnsi"/>
          <w:szCs w:val="24"/>
        </w:rPr>
        <w:tab/>
        <w:t>Desta feita, considerando os aspectos constitucionais,</w:t>
      </w:r>
      <w:r>
        <w:rPr>
          <w:rFonts w:asciiTheme="minorHAnsi" w:hAnsiTheme="minorHAnsi" w:cstheme="minorHAnsi"/>
          <w:szCs w:val="24"/>
        </w:rPr>
        <w:t xml:space="preserve"> legais e jurídicos,</w:t>
      </w:r>
      <w:r w:rsidRPr="00C54F57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3120CE" w:rsidP="003120CE">
      <w:pPr>
        <w:tabs>
          <w:tab w:val="left" w:pos="1701"/>
        </w:tabs>
        <w:spacing w:after="120" w:line="360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C54F57">
        <w:rPr>
          <w:rFonts w:asciiTheme="minorHAnsi" w:hAnsiTheme="minorHAnsi" w:cstheme="minorHAnsi"/>
          <w:szCs w:val="24"/>
        </w:rPr>
        <w:tab/>
      </w:r>
      <w:r w:rsidRPr="00C54F57">
        <w:rPr>
          <w:rFonts w:asciiTheme="minorHAnsi" w:eastAsiaTheme="minorHAnsi" w:hAnsiTheme="minorHAnsi" w:cstheme="minorHAnsi"/>
          <w:szCs w:val="24"/>
          <w:lang w:eastAsia="en-US"/>
        </w:rPr>
        <w:t xml:space="preserve">De início, no que se refere </w:t>
      </w:r>
      <w:r w:rsidR="00D733A7">
        <w:rPr>
          <w:rFonts w:asciiTheme="minorHAnsi" w:eastAsiaTheme="minorHAnsi" w:hAnsiTheme="minorHAnsi" w:cstheme="minorHAnsi"/>
          <w:szCs w:val="24"/>
          <w:lang w:eastAsia="en-US"/>
        </w:rPr>
        <w:t xml:space="preserve">à </w:t>
      </w:r>
      <w:r w:rsidRPr="00D733A7" w:rsidR="00D733A7">
        <w:rPr>
          <w:rFonts w:asciiTheme="minorHAnsi" w:eastAsiaTheme="minorHAnsi" w:hAnsiTheme="minorHAnsi" w:cstheme="minorHAnsi"/>
          <w:b/>
          <w:szCs w:val="24"/>
          <w:lang w:eastAsia="en-US"/>
        </w:rPr>
        <w:t>competência legislativa</w:t>
      </w:r>
      <w:r w:rsidR="00610F9C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</w:t>
      </w:r>
      <w:r w:rsidR="00610F9C">
        <w:rPr>
          <w:rFonts w:asciiTheme="minorHAnsi" w:eastAsiaTheme="minorHAnsi" w:hAnsiTheme="minorHAnsi" w:cstheme="minorHAnsi"/>
          <w:szCs w:val="24"/>
          <w:lang w:eastAsia="en-US"/>
        </w:rPr>
        <w:t>ao</w:t>
      </w:r>
      <w:r w:rsidR="00D733A7">
        <w:rPr>
          <w:rFonts w:asciiTheme="minorHAnsi" w:eastAsiaTheme="minorHAnsi" w:hAnsiTheme="minorHAnsi" w:cstheme="minorHAnsi"/>
          <w:szCs w:val="24"/>
          <w:lang w:eastAsia="en-US"/>
        </w:rPr>
        <w:t xml:space="preserve"> município</w:t>
      </w:r>
      <w:r w:rsidR="00610F9C">
        <w:rPr>
          <w:rFonts w:asciiTheme="minorHAnsi" w:eastAsiaTheme="minorHAnsi" w:hAnsiTheme="minorHAnsi" w:cstheme="minorHAnsi"/>
          <w:szCs w:val="24"/>
          <w:lang w:eastAsia="en-US"/>
        </w:rPr>
        <w:t xml:space="preserve"> compete </w:t>
      </w:r>
      <w:r w:rsidRPr="00C54F57">
        <w:rPr>
          <w:rFonts w:asciiTheme="minorHAnsi" w:eastAsiaTheme="minorHAnsi" w:hAnsiTheme="minorHAnsi" w:cstheme="minorHAnsi"/>
          <w:szCs w:val="24"/>
          <w:lang w:eastAsia="en-US"/>
        </w:rPr>
        <w:t>legislar sobre assuntos de interesse local e suplementar a legislação f</w:t>
      </w:r>
      <w:r>
        <w:rPr>
          <w:rFonts w:asciiTheme="minorHAnsi" w:eastAsiaTheme="minorHAnsi" w:hAnsiTheme="minorHAnsi" w:cstheme="minorHAnsi"/>
          <w:szCs w:val="24"/>
          <w:lang w:eastAsia="en-US"/>
        </w:rPr>
        <w:t>ederal e estadual no que couber (art. 30, I e II, CF/88).</w:t>
      </w:r>
    </w:p>
    <w:p w:rsidR="003120CE" w:rsidRPr="00C54F57" w:rsidP="003120CE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C54F57">
        <w:rPr>
          <w:rFonts w:asciiTheme="minorHAnsi" w:eastAsiaTheme="minorHAnsi" w:hAnsiTheme="minorHAnsi" w:cstheme="minorHAnsi"/>
          <w:szCs w:val="24"/>
          <w:lang w:eastAsia="en-US"/>
        </w:rPr>
        <w:t xml:space="preserve">   </w:t>
      </w:r>
      <w:r w:rsidRPr="00C54F57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="00610F9C">
        <w:rPr>
          <w:rFonts w:asciiTheme="minorHAnsi" w:eastAsiaTheme="minorHAnsi" w:hAnsiTheme="minorHAnsi" w:cstheme="minorHAnsi"/>
          <w:szCs w:val="24"/>
          <w:lang w:eastAsia="en-US"/>
        </w:rPr>
        <w:t>Não obstante</w:t>
      </w:r>
      <w:r>
        <w:rPr>
          <w:rFonts w:asciiTheme="minorHAnsi" w:eastAsiaTheme="minorHAnsi" w:hAnsiTheme="minorHAnsi" w:cstheme="minorHAnsi"/>
          <w:szCs w:val="24"/>
          <w:lang w:eastAsia="en-US"/>
        </w:rPr>
        <w:t>, no caso em apreço infere-se</w:t>
      </w:r>
      <w:r w:rsidRPr="00C54F57">
        <w:rPr>
          <w:rFonts w:asciiTheme="minorHAnsi" w:eastAsiaTheme="minorHAnsi" w:hAnsiTheme="minorHAnsi" w:cstheme="minorHAnsi"/>
          <w:szCs w:val="24"/>
          <w:lang w:eastAsia="en-US"/>
        </w:rPr>
        <w:t xml:space="preserve"> que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o projeto</w:t>
      </w:r>
      <w:r w:rsidRPr="00C54F57">
        <w:rPr>
          <w:rFonts w:asciiTheme="minorHAnsi" w:eastAsiaTheme="minorHAnsi" w:hAnsiTheme="minorHAnsi" w:cstheme="minorHAnsi"/>
          <w:szCs w:val="24"/>
          <w:lang w:eastAsia="en-US"/>
        </w:rPr>
        <w:t xml:space="preserve"> trata de </w:t>
      </w:r>
      <w:r>
        <w:rPr>
          <w:rFonts w:asciiTheme="minorHAnsi" w:eastAsiaTheme="minorHAnsi" w:hAnsiTheme="minorHAnsi" w:cstheme="minorHAnsi"/>
          <w:szCs w:val="24"/>
          <w:lang w:eastAsia="en-US"/>
        </w:rPr>
        <w:t>matéria</w:t>
      </w:r>
      <w:r w:rsidRPr="00C54F57">
        <w:rPr>
          <w:rFonts w:asciiTheme="minorHAnsi" w:eastAsiaTheme="minorHAnsi" w:hAnsiTheme="minorHAnsi" w:cstheme="minorHAnsi"/>
          <w:szCs w:val="24"/>
          <w:lang w:eastAsia="en-US"/>
        </w:rPr>
        <w:t xml:space="preserve"> cuja competência para legislar é privativa da União, conforme art. 22, inciso </w:t>
      </w:r>
      <w:r>
        <w:rPr>
          <w:rFonts w:asciiTheme="minorHAnsi" w:eastAsiaTheme="minorHAnsi" w:hAnsiTheme="minorHAnsi" w:cstheme="minorHAnsi"/>
          <w:szCs w:val="24"/>
          <w:lang w:eastAsia="en-US"/>
        </w:rPr>
        <w:t>XXVII</w:t>
      </w:r>
      <w:r w:rsidRPr="00C54F57">
        <w:rPr>
          <w:rFonts w:asciiTheme="minorHAnsi" w:eastAsiaTheme="minorHAnsi" w:hAnsiTheme="minorHAnsi" w:cstheme="minorHAnsi"/>
          <w:szCs w:val="24"/>
          <w:lang w:eastAsia="en-US"/>
        </w:rPr>
        <w:t xml:space="preserve"> da Constituição Federal, </w:t>
      </w:r>
      <w:r w:rsidRPr="00C54F57">
        <w:rPr>
          <w:rFonts w:asciiTheme="minorHAnsi" w:eastAsiaTheme="minorHAnsi" w:hAnsiTheme="minorHAnsi" w:cstheme="minorHAnsi"/>
          <w:i/>
          <w:szCs w:val="24"/>
          <w:lang w:eastAsia="en-US"/>
        </w:rPr>
        <w:t>in verbis</w:t>
      </w:r>
      <w:r w:rsidRPr="00C54F57">
        <w:rPr>
          <w:rFonts w:asciiTheme="minorHAnsi" w:eastAsiaTheme="minorHAnsi" w:hAnsiTheme="minorHAnsi" w:cstheme="minorHAnsi"/>
          <w:szCs w:val="24"/>
          <w:lang w:eastAsia="en-US"/>
        </w:rPr>
        <w:t>:</w:t>
      </w:r>
    </w:p>
    <w:p w:rsidR="003120CE" w:rsidRPr="00C86280" w:rsidP="003120CE">
      <w:pPr>
        <w:autoSpaceDE w:val="0"/>
        <w:autoSpaceDN w:val="0"/>
        <w:adjustRightInd w:val="0"/>
        <w:spacing w:before="120" w:after="120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C8628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Art. 22. Compete privativamente à União legislar sobre:</w:t>
      </w:r>
    </w:p>
    <w:p w:rsidR="003120CE" w:rsidRPr="00C86280" w:rsidP="003120CE">
      <w:pPr>
        <w:autoSpaceDE w:val="0"/>
        <w:autoSpaceDN w:val="0"/>
        <w:adjustRightInd w:val="0"/>
        <w:spacing w:before="120" w:after="120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C8628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C8628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(...)</w:t>
      </w:r>
    </w:p>
    <w:p w:rsidR="003120CE" w:rsidRPr="00C86280" w:rsidP="003120CE">
      <w:pPr>
        <w:autoSpaceDE w:val="0"/>
        <w:autoSpaceDN w:val="0"/>
        <w:adjustRightInd w:val="0"/>
        <w:spacing w:before="120" w:after="120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C8628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XXVII – </w:t>
      </w:r>
      <w:r w:rsidRPr="00C86280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normas gerais de licitação e contratação</w:t>
      </w:r>
      <w:r w:rsidRPr="00C8628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, em todas as modalidades, para as administrações públicas diretas, autárquicas e fundacionais da União, Estados, Distrito Federal e Municípios, obedecido o disposto no art. 37, XXI, e para as empresas públicas e sociedades de economia mista, nos termos do art. 173, § 1°, III;                </w:t>
      </w:r>
      <w:hyperlink r:id="rId6" w:anchor="art1" w:history="1">
        <w:r w:rsidRPr="00C86280">
          <w:rPr>
            <w:rFonts w:asciiTheme="minorHAnsi" w:eastAsiaTheme="minorHAnsi" w:hAnsiTheme="minorHAnsi" w:cstheme="minorHAnsi"/>
            <w:i/>
            <w:sz w:val="22"/>
            <w:szCs w:val="22"/>
            <w:lang w:eastAsia="en-US"/>
          </w:rPr>
          <w:t>(Redação dada pela Emenda Constitucional nº 19, de 1998)</w:t>
        </w:r>
      </w:hyperlink>
    </w:p>
    <w:p w:rsidR="003120CE" w:rsidRPr="00C86280" w:rsidP="003120CE">
      <w:pPr>
        <w:autoSpaceDE w:val="0"/>
        <w:autoSpaceDN w:val="0"/>
        <w:adjustRightInd w:val="0"/>
        <w:spacing w:before="120" w:after="120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C8628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(...)</w:t>
      </w:r>
    </w:p>
    <w:p w:rsidR="00D319B3" w:rsidP="00F807CB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C86280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C86280">
        <w:rPr>
          <w:rFonts w:asciiTheme="minorHAnsi" w:eastAsiaTheme="minorHAnsi" w:hAnsiTheme="minorHAnsi" w:cstheme="minorHAnsi"/>
          <w:szCs w:val="24"/>
          <w:lang w:eastAsia="en-US"/>
        </w:rPr>
        <w:tab/>
      </w:r>
      <w:r w:rsidR="00F807CB">
        <w:rPr>
          <w:rFonts w:asciiTheme="minorHAnsi" w:eastAsiaTheme="minorHAnsi" w:hAnsiTheme="minorHAnsi" w:cstheme="minorHAnsi"/>
          <w:szCs w:val="24"/>
          <w:lang w:eastAsia="en-US"/>
        </w:rPr>
        <w:t>Com efeito, n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o concernente à fiscalização dos contratos administrativos a Lei Nacional nº 14.133/2021, nova </w:t>
      </w:r>
      <w:r w:rsidRPr="00D319B3">
        <w:rPr>
          <w:rFonts w:asciiTheme="minorHAnsi" w:eastAsiaTheme="minorHAnsi" w:hAnsiTheme="minorHAnsi" w:cstheme="minorHAnsi"/>
          <w:szCs w:val="24"/>
          <w:lang w:eastAsia="en-US"/>
        </w:rPr>
        <w:t>Lei de Licitações e Contratos Administrativos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(NLCC) estabelece:</w:t>
      </w:r>
    </w:p>
    <w:p w:rsidR="00D319B3" w:rsidRPr="00D319B3" w:rsidP="00D319B3">
      <w:pPr>
        <w:spacing w:before="225" w:after="225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D319B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“Art. 117.</w:t>
      </w: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A execução do contrato deverá ser acompanhada e fiscalizada por </w:t>
      </w: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1</w:t>
      </w: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(um) ou mais fiscais do contrato, representantes da Administração especialmente </w:t>
      </w:r>
      <w:r w:rsidRPr="00F807CB">
        <w:rPr>
          <w:rFonts w:asciiTheme="minorHAnsi" w:eastAsiaTheme="minorHAnsi" w:hAnsiTheme="minorHAnsi" w:cstheme="minorHAnsi"/>
          <w:b/>
          <w:i/>
          <w:sz w:val="22"/>
          <w:szCs w:val="22"/>
          <w:u w:val="thick"/>
          <w:lang w:eastAsia="en-US"/>
        </w:rPr>
        <w:t>designados conforme requisitos estabelecidos no </w:t>
      </w:r>
      <w:hyperlink r:id="rId7" w:anchor="art7" w:history="1">
        <w:r w:rsidRPr="00F807CB">
          <w:rPr>
            <w:rFonts w:asciiTheme="minorHAnsi" w:eastAsiaTheme="minorHAnsi" w:hAnsiTheme="minorHAnsi" w:cstheme="minorHAnsi"/>
            <w:b/>
            <w:i/>
            <w:sz w:val="22"/>
            <w:szCs w:val="22"/>
            <w:u w:val="thick"/>
            <w:lang w:eastAsia="en-US"/>
          </w:rPr>
          <w:t>art. 7º desta Lei</w:t>
        </w:r>
      </w:hyperlink>
      <w:r w:rsidRPr="00F807CB">
        <w:rPr>
          <w:rFonts w:asciiTheme="minorHAnsi" w:eastAsiaTheme="minorHAnsi" w:hAnsiTheme="minorHAnsi" w:cstheme="minorHAnsi"/>
          <w:i/>
          <w:sz w:val="22"/>
          <w:szCs w:val="22"/>
          <w:u w:val="thick"/>
          <w:lang w:eastAsia="en-US"/>
        </w:rPr>
        <w:t>,</w:t>
      </w: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ou pelos respectivos substitutos, permitida a contratação de terceiros para assisti-los e subsidiá-los com informações pertinentes a essa atribuição.</w:t>
      </w:r>
    </w:p>
    <w:p w:rsidR="00D319B3" w:rsidRPr="00D319B3" w:rsidP="00D319B3">
      <w:pPr>
        <w:spacing w:before="225" w:after="225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bookmarkStart w:id="0" w:name="art117§1"/>
      <w:bookmarkEnd w:id="0"/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§ 1º O fiscal do contrato anotará em registro próprio todas as ocorrências relacionadas à execução do contrato, determinando o que for necessário para a regularização das faltas ou dos defeitos observados.</w:t>
      </w:r>
    </w:p>
    <w:p w:rsidR="00D319B3" w:rsidRPr="00D319B3" w:rsidP="00D319B3">
      <w:pPr>
        <w:spacing w:before="225" w:after="225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bookmarkStart w:id="1" w:name="art117§2"/>
      <w:bookmarkEnd w:id="1"/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§ 2º </w:t>
      </w:r>
      <w:r w:rsidRPr="00F807CB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O fiscal do contrato informará a seus superiores, em tempo hábil para a adoção das medidas convenientes, a situação que demandar decisão ou providência que ultrapasse sua competência</w:t>
      </w: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.</w:t>
      </w:r>
    </w:p>
    <w:p w:rsidR="00D319B3" w:rsidRPr="00D319B3" w:rsidP="00D319B3">
      <w:pPr>
        <w:spacing w:before="225" w:after="225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bookmarkStart w:id="2" w:name="art117§3"/>
      <w:bookmarkEnd w:id="2"/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§ 3º </w:t>
      </w:r>
      <w:r w:rsidRPr="00F807CB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O fiscal do contrato será auxiliado pelos órgãos de assessoramento jurídico e de controle interno da Administração</w:t>
      </w: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, que deverão </w:t>
      </w: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dirimir dúvidas</w:t>
      </w: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e subsidiá-lo com informações relevantes para prevenir riscos na execução contratual.</w:t>
      </w:r>
    </w:p>
    <w:p w:rsidR="00D319B3" w:rsidRPr="00D319B3" w:rsidP="00D319B3">
      <w:pPr>
        <w:spacing w:before="225" w:after="225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bookmarkStart w:id="3" w:name="art117§4"/>
      <w:bookmarkEnd w:id="3"/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§ 4º Na hipótese da contratação de </w:t>
      </w: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terceiros prevista</w:t>
      </w: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no caput deste artigo, deverão ser observadas as seguintes regras:</w:t>
      </w:r>
    </w:p>
    <w:p w:rsidR="00D319B3" w:rsidRPr="00D319B3" w:rsidP="00D319B3">
      <w:pPr>
        <w:spacing w:before="225" w:after="225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bookmarkStart w:id="4" w:name="art117§4i"/>
      <w:bookmarkEnd w:id="4"/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I - a empresa ou o profissional contratado assumirá responsabilidade civil objetiva pela veracidade e pela precisão das informações prestadas, firmará termo de compromisso de confidencialidade e não poderá exercer atribuição própria e exclusiva de fiscal de contrato;</w:t>
      </w:r>
    </w:p>
    <w:p w:rsidR="00D319B3" w:rsidRPr="00D319B3" w:rsidP="00D319B3">
      <w:pPr>
        <w:spacing w:before="225" w:after="225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bookmarkStart w:id="5" w:name="art117§4ii"/>
      <w:bookmarkEnd w:id="5"/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II - a contratação de terceiros não eximirá de responsabilidade o fiscal do contrato, nos limites das informações recebidas do terceiro contratado.”</w:t>
      </w:r>
    </w:p>
    <w:p w:rsidR="00D319B3" w:rsidRPr="00D319B3" w:rsidP="00D319B3">
      <w:pPr>
        <w:spacing w:before="225" w:after="225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___________________________________________________</w:t>
      </w:r>
    </w:p>
    <w:p w:rsidR="00D319B3" w:rsidRPr="00D319B3" w:rsidP="00D319B3">
      <w:pPr>
        <w:spacing w:before="225" w:after="225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“Art. 7º </w:t>
      </w:r>
      <w:r w:rsidRPr="00F807CB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Caberá à autoridade máxima do órgão ou da entidade</w:t>
      </w: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, ou a quem as normas de organização administrativa </w:t>
      </w: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indicarem</w:t>
      </w: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, </w:t>
      </w:r>
      <w:r w:rsidRPr="00F807CB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promover gestão por competências e designar agentes públicos para o desempenho das funções essenciais à execução desta Lei</w:t>
      </w: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que preencham os seguintes requisitos:</w:t>
      </w:r>
    </w:p>
    <w:p w:rsidR="00D319B3" w:rsidRPr="00F807CB" w:rsidP="00D319B3">
      <w:pPr>
        <w:spacing w:before="225" w:after="225"/>
        <w:ind w:left="2268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  <w:bookmarkStart w:id="6" w:name="art7i"/>
      <w:bookmarkEnd w:id="6"/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I - </w:t>
      </w:r>
      <w:r w:rsidRPr="00D319B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sejam</w:t>
      </w:r>
      <w:r w:rsidRPr="00D319B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, preferencialmente, servidor efetivo ou empregado público</w:t>
      </w: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F807CB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dos quadros permanentes da Administração Pública;</w:t>
      </w:r>
    </w:p>
    <w:p w:rsidR="00D319B3" w:rsidRPr="00D319B3" w:rsidP="00D319B3">
      <w:pPr>
        <w:spacing w:before="225" w:after="225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bookmarkStart w:id="7" w:name="art7ii"/>
      <w:bookmarkEnd w:id="7"/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II - </w:t>
      </w:r>
      <w:r w:rsidRPr="00D319B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tenham atribuições relacionadas a licitações e contratos ou possuam formação compatível ou qualificação atestada por certificação profissional emitida por escola de governo criada e mantida pelo poder público</w:t>
      </w: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; </w:t>
      </w: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e</w:t>
      </w:r>
    </w:p>
    <w:p w:rsidR="00D319B3" w:rsidRPr="00D319B3" w:rsidP="00D319B3">
      <w:pPr>
        <w:spacing w:before="225" w:after="225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bookmarkStart w:id="8" w:name="art7iii"/>
      <w:bookmarkEnd w:id="8"/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III - não sejam cônjuge ou companheiro de licitantes ou contratados habituais da Administração nem tenham com eles vínculo de parentesco, colateral ou por afinidade, até o terceiro grau, ou de natureza técnica, comercial, econômica, financeira, trabalhista e civil.</w:t>
      </w:r>
    </w:p>
    <w:p w:rsidR="00D319B3" w:rsidRPr="00D319B3" w:rsidP="00D319B3">
      <w:pPr>
        <w:spacing w:before="225" w:after="225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bookmarkStart w:id="9" w:name="art7§1"/>
      <w:bookmarkEnd w:id="9"/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§ 1º A autoridade referida no caput deste artigo deverá observar o princípio da segregação de funções, vedada a designação do mesmo agente público para atuação simultânea em funções mais suscetíveis a riscos, de modo a reduzir a possibilidade de ocultação de erros e de ocorrência de fraudes na respectiva contratação.</w:t>
      </w:r>
    </w:p>
    <w:p w:rsidR="00D319B3" w:rsidRPr="00D319B3" w:rsidP="00D319B3">
      <w:pPr>
        <w:spacing w:before="225" w:after="225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bookmarkStart w:id="10" w:name="art7§2"/>
      <w:bookmarkEnd w:id="10"/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§ 2º O disposto no caput e no § 1º deste artigo, inclusive os requisitos estabelecidos, também se aplica aos órgãos de assessoramento jurídico e de controle interno da Administração.</w:t>
      </w:r>
      <w:r w:rsidRPr="00D319B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”</w:t>
      </w:r>
    </w:p>
    <w:p w:rsidR="00D319B3" w:rsidP="00D319B3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C54F57">
        <w:rPr>
          <w:rFonts w:asciiTheme="minorHAnsi" w:eastAsiaTheme="minorHAnsi" w:hAnsiTheme="minorHAnsi" w:cstheme="minorHAnsi"/>
          <w:szCs w:val="24"/>
          <w:lang w:eastAsia="en-US"/>
        </w:rPr>
        <w:tab/>
      </w:r>
    </w:p>
    <w:p w:rsidR="00F807CB" w:rsidP="00F807CB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Destarte</w:t>
      </w:r>
      <w:r w:rsidRPr="00C86280">
        <w:rPr>
          <w:rFonts w:asciiTheme="minorHAnsi" w:eastAsiaTheme="minorHAnsi" w:hAnsiTheme="minorHAnsi" w:cstheme="minorHAnsi"/>
          <w:szCs w:val="24"/>
          <w:lang w:eastAsia="en-US"/>
        </w:rPr>
        <w:t xml:space="preserve">, </w:t>
      </w:r>
      <w:r w:rsidRPr="00C86280">
        <w:rPr>
          <w:rFonts w:asciiTheme="minorHAnsi" w:eastAsiaTheme="minorHAnsi" w:hAnsiTheme="minorHAnsi" w:cstheme="minorHAnsi"/>
          <w:i/>
          <w:szCs w:val="24"/>
          <w:lang w:eastAsia="en-US"/>
        </w:rPr>
        <w:t>data máxima vênia,</w:t>
      </w:r>
      <w:r w:rsidRPr="00C86280">
        <w:rPr>
          <w:rFonts w:asciiTheme="minorHAnsi" w:eastAsiaTheme="minorHAnsi" w:hAnsiTheme="minorHAnsi" w:cstheme="minorHAnsi"/>
          <w:szCs w:val="24"/>
          <w:lang w:eastAsia="en-US"/>
        </w:rPr>
        <w:t xml:space="preserve"> verifica-se que ao dispor </w:t>
      </w:r>
      <w:r w:rsidRPr="00D319B3">
        <w:rPr>
          <w:rFonts w:asciiTheme="minorHAnsi" w:hAnsiTheme="minorHAnsi" w:cstheme="minorHAnsi"/>
          <w:szCs w:val="24"/>
        </w:rPr>
        <w:t>a possibilidade de acompanhamento e fiscalização de ob</w:t>
      </w:r>
      <w:r>
        <w:rPr>
          <w:rFonts w:asciiTheme="minorHAnsi" w:hAnsiTheme="minorHAnsi" w:cstheme="minorHAnsi"/>
          <w:szCs w:val="24"/>
        </w:rPr>
        <w:t xml:space="preserve">ras públicas por pessoa física, </w:t>
      </w:r>
      <w:r w:rsidRPr="00D319B3">
        <w:rPr>
          <w:rFonts w:asciiTheme="minorHAnsi" w:hAnsiTheme="minorHAnsi" w:cstheme="minorHAnsi"/>
          <w:szCs w:val="24"/>
        </w:rPr>
        <w:t>mediante chamamento público</w:t>
      </w:r>
      <w:r>
        <w:rPr>
          <w:rFonts w:asciiTheme="minorHAnsi" w:hAnsiTheme="minorHAnsi" w:cstheme="minorHAnsi"/>
          <w:szCs w:val="24"/>
        </w:rPr>
        <w:t xml:space="preserve">, </w:t>
      </w:r>
      <w:r w:rsidRPr="00C86280">
        <w:rPr>
          <w:rFonts w:asciiTheme="minorHAnsi" w:eastAsiaTheme="minorHAnsi" w:hAnsiTheme="minorHAnsi" w:cstheme="minorHAnsi"/>
          <w:szCs w:val="24"/>
          <w:lang w:eastAsia="en-US"/>
        </w:rPr>
        <w:t>o projeto adentra indevidamente na competência privativa da União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de legislar sobre normas gerais de licitação</w:t>
      </w:r>
      <w:r w:rsidRPr="00C86280">
        <w:rPr>
          <w:rFonts w:asciiTheme="minorHAnsi" w:eastAsiaTheme="minorHAnsi" w:hAnsiTheme="minorHAnsi" w:cstheme="minorHAnsi"/>
          <w:szCs w:val="24"/>
          <w:lang w:eastAsia="en-US"/>
        </w:rPr>
        <w:t xml:space="preserve">, 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violando o disposto no </w:t>
      </w:r>
      <w:r w:rsidRPr="00C54F57">
        <w:rPr>
          <w:rFonts w:asciiTheme="minorHAnsi" w:eastAsiaTheme="minorHAnsi" w:hAnsiTheme="minorHAnsi" w:cstheme="minorHAnsi"/>
          <w:szCs w:val="24"/>
          <w:lang w:eastAsia="en-US"/>
        </w:rPr>
        <w:t xml:space="preserve">art. 22, inciso </w:t>
      </w:r>
      <w:r>
        <w:rPr>
          <w:rFonts w:asciiTheme="minorHAnsi" w:eastAsiaTheme="minorHAnsi" w:hAnsiTheme="minorHAnsi" w:cstheme="minorHAnsi"/>
          <w:szCs w:val="24"/>
          <w:lang w:eastAsia="en-US"/>
        </w:rPr>
        <w:t>XXVII</w:t>
      </w:r>
      <w:r w:rsidRPr="00C54F57">
        <w:rPr>
          <w:rFonts w:asciiTheme="minorHAnsi" w:eastAsiaTheme="minorHAnsi" w:hAnsiTheme="minorHAnsi" w:cstheme="minorHAnsi"/>
          <w:szCs w:val="24"/>
          <w:lang w:eastAsia="en-US"/>
        </w:rPr>
        <w:t xml:space="preserve"> da Constituição Federal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e </w:t>
      </w:r>
      <w:r>
        <w:rPr>
          <w:rFonts w:asciiTheme="minorHAnsi" w:eastAsiaTheme="minorHAnsi" w:hAnsiTheme="minorHAnsi" w:cstheme="minorHAnsi"/>
          <w:szCs w:val="24"/>
          <w:lang w:eastAsia="en-US"/>
        </w:rPr>
        <w:t>144</w:t>
      </w:r>
      <w:r w:rsidRPr="00C86280">
        <w:rPr>
          <w:rFonts w:asciiTheme="minorHAnsi" w:eastAsiaTheme="minorHAnsi" w:hAnsiTheme="minorHAnsi" w:cstheme="minorHAnsi"/>
          <w:szCs w:val="24"/>
          <w:lang w:eastAsia="en-US"/>
        </w:rPr>
        <w:t xml:space="preserve"> da Cons</w:t>
      </w:r>
      <w:r>
        <w:rPr>
          <w:rFonts w:asciiTheme="minorHAnsi" w:eastAsiaTheme="minorHAnsi" w:hAnsiTheme="minorHAnsi" w:cstheme="minorHAnsi"/>
          <w:szCs w:val="24"/>
          <w:lang w:eastAsia="en-US"/>
        </w:rPr>
        <w:t>tituição do Estado de São Paulo</w:t>
      </w:r>
      <w:r w:rsidRPr="00C86280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:rsidR="00072C70" w:rsidRPr="000B4AF0" w:rsidP="00072C70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asciiTheme="minorHAnsi" w:hAnsiTheme="minorHAnsi" w:cstheme="minorHAnsi"/>
          <w:i/>
          <w:iCs/>
        </w:rPr>
      </w:pPr>
      <w:bookmarkStart w:id="11" w:name="_GoBack"/>
      <w:bookmarkEnd w:id="11"/>
      <w:r>
        <w:rPr>
          <w:rFonts w:asciiTheme="minorHAnsi" w:eastAsiaTheme="minorHAnsi" w:hAnsiTheme="minorHAnsi" w:cstheme="minorHAnsi"/>
          <w:szCs w:val="24"/>
          <w:lang w:eastAsia="en-US"/>
        </w:rPr>
        <w:t>Noutro aspecto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, o projeto </w:t>
      </w:r>
      <w:r>
        <w:rPr>
          <w:rFonts w:asciiTheme="minorHAnsi" w:hAnsiTheme="minorHAnsi" w:cstheme="minorHAnsi"/>
          <w:szCs w:val="24"/>
          <w:shd w:val="clear" w:color="auto" w:fill="FFFFFF"/>
        </w:rPr>
        <w:t>vulnera</w:t>
      </w:r>
      <w:r w:rsidRPr="000B4AF0">
        <w:rPr>
          <w:rFonts w:asciiTheme="minorHAnsi" w:hAnsiTheme="minorHAnsi" w:cstheme="minorHAnsi"/>
          <w:szCs w:val="24"/>
          <w:shd w:val="clear" w:color="auto" w:fill="FFFFFF"/>
        </w:rPr>
        <w:t xml:space="preserve"> o princípio da separação dos poderes e da reserva de administração</w:t>
      </w:r>
      <w:r>
        <w:rPr>
          <w:rFonts w:asciiTheme="minorHAnsi" w:hAnsiTheme="minorHAnsi" w:cstheme="minorHAnsi"/>
          <w:szCs w:val="24"/>
          <w:shd w:val="clear" w:color="auto" w:fill="FFFFFF"/>
        </w:rPr>
        <w:t>,</w:t>
      </w:r>
      <w:r w:rsidRPr="000B4AF0">
        <w:rPr>
          <w:rFonts w:asciiTheme="minorHAnsi" w:hAnsiTheme="minorHAnsi" w:cstheme="minorHAnsi"/>
          <w:szCs w:val="24"/>
          <w:shd w:val="clear" w:color="auto" w:fill="FFFFFF"/>
        </w:rPr>
        <w:t xml:space="preserve"> dispostos nos artigos 5º e 47, incisos </w:t>
      </w:r>
      <w:r w:rsidRPr="000B4AF0">
        <w:rPr>
          <w:rFonts w:asciiTheme="minorHAnsi" w:hAnsiTheme="minorHAnsi" w:cstheme="minorHAnsi"/>
        </w:rPr>
        <w:t xml:space="preserve">II e XIV, da Constituição Estadual, que constituem dispositivos de observância obrigatória aos Municípios, in </w:t>
      </w:r>
      <w:r w:rsidRPr="000B4AF0">
        <w:rPr>
          <w:rFonts w:asciiTheme="minorHAnsi" w:hAnsiTheme="minorHAnsi" w:cstheme="minorHAnsi"/>
          <w:i/>
          <w:iCs/>
        </w:rPr>
        <w:t>verbis:</w:t>
      </w:r>
    </w:p>
    <w:p w:rsidR="00072C70" w:rsidRPr="000B4AF0" w:rsidP="00072C70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“Art. 5º - São Poderes do Estado, independentes e harmônicos entre si, o Legislativo, o Executivo e o Judiciário.”</w:t>
      </w:r>
    </w:p>
    <w:p w:rsidR="00072C70" w:rsidRPr="000B4AF0" w:rsidP="00072C70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</w:p>
    <w:p w:rsidR="00072C70" w:rsidRPr="000B4AF0" w:rsidP="00072C70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 xml:space="preserve">“Art. 47 - Compete privativamente ao Governador, além de outras atribuições previstas nesta Constituição: </w:t>
      </w:r>
    </w:p>
    <w:p w:rsidR="00072C70" w:rsidRPr="000B4AF0" w:rsidP="00072C70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 xml:space="preserve"> [...]</w:t>
      </w:r>
    </w:p>
    <w:p w:rsidR="00072C70" w:rsidRPr="000B4AF0" w:rsidP="00072C70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II - exercer, com o auxílio dos Secretários de Estado, a direção superior da administração estadual;</w:t>
      </w:r>
    </w:p>
    <w:p w:rsidR="00072C70" w:rsidRPr="000B4AF0" w:rsidP="00072C70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[...]</w:t>
      </w:r>
    </w:p>
    <w:p w:rsidR="00072C70" w:rsidRPr="000B4AF0" w:rsidP="00072C70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XIV - praticar os demais atos de administração, nos limites da competência do Executivo;”</w:t>
      </w: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;</w:t>
      </w:r>
    </w:p>
    <w:p w:rsidR="00072C70" w:rsidP="00D319B3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:rsidR="003120CE" w:rsidRPr="00D319B3" w:rsidP="00D319B3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Nessa linha</w:t>
      </w:r>
      <w:r w:rsidRPr="00C54F57">
        <w:rPr>
          <w:rFonts w:asciiTheme="minorHAnsi" w:eastAsiaTheme="minorHAnsi" w:hAnsiTheme="minorHAnsi" w:cstheme="minorHAnsi"/>
          <w:szCs w:val="24"/>
          <w:lang w:eastAsia="en-US"/>
        </w:rPr>
        <w:t xml:space="preserve">, </w:t>
      </w:r>
      <w:r>
        <w:rPr>
          <w:rFonts w:asciiTheme="minorHAnsi" w:eastAsiaTheme="minorHAnsi" w:hAnsiTheme="minorHAnsi" w:cstheme="minorHAnsi"/>
          <w:szCs w:val="24"/>
          <w:lang w:eastAsia="en-US"/>
        </w:rPr>
        <w:t>colacionamos decisões do</w:t>
      </w:r>
      <w:r w:rsidRPr="00C54F57">
        <w:rPr>
          <w:rFonts w:asciiTheme="minorHAnsi" w:eastAsiaTheme="minorHAnsi" w:hAnsiTheme="minorHAnsi" w:cstheme="minorHAnsi"/>
          <w:szCs w:val="24"/>
          <w:lang w:eastAsia="en-US"/>
        </w:rPr>
        <w:t xml:space="preserve"> Tribunal de Justiça do Estado de São Paulo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em casos análogos</w:t>
      </w:r>
      <w:r>
        <w:rPr>
          <w:rFonts w:asciiTheme="minorHAnsi" w:hAnsiTheme="minorHAnsi" w:cstheme="minorHAnsi"/>
        </w:rPr>
        <w:t>:</w:t>
      </w:r>
    </w:p>
    <w:p w:rsidR="003120CE" w:rsidP="00072C70">
      <w:pPr>
        <w:pBdr>
          <w:bottom w:val="single" w:sz="12" w:space="1" w:color="auto"/>
        </w:pBdr>
        <w:autoSpaceDE w:val="0"/>
        <w:autoSpaceDN w:val="0"/>
        <w:adjustRightInd w:val="0"/>
        <w:ind w:left="2268"/>
        <w:jc w:val="both"/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</w:pPr>
      <w:r w:rsidRPr="00482DBE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"AÇÃO DIRETA DE INCONSTITUCIONALIDADE – Lei nº 4.476, de 15-8-2018, do Município de Capão Bonito, que </w:t>
      </w:r>
      <w:r w:rsidRPr="00511660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 xml:space="preserve">'Regula no âmbito municipal a aplicação do artigo 55, inciso VI e artigo 56, inciso II da Lei Federal 8.666/93, obrigando a utilização do seguro-garantia de execução de contratos públicos de obras e de fornecimento de bens ou de serviços, denominando essa modalidade e aplicação da Lei, como Seguro Anticorrupção SAC; e </w:t>
      </w:r>
      <w:r w:rsidRPr="00511660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>dá</w:t>
      </w:r>
      <w:r w:rsidRPr="00511660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 xml:space="preserve"> outras providências' – </w:t>
      </w:r>
      <w:r w:rsidRPr="00511660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>Normas gerais de licitação e contração pública – Competência legislativa da União – Art. 22, XXVII da CF/88. Usurpação de competência.</w:t>
      </w:r>
      <w:r w:rsidRPr="00482DBE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 Obrigação de utilizar seguro-garantia de execução de contratos públicos de obras e de fornecimento de bens ou de serviços. Licitação. Competência concorrente. Questão que envolve interesse nacional, regional e local. Competência legislativa da União para estabelecer normas gerais e dos Estados e Municípios para suplementar a legislação federal, no que couber. Legislação suplementar que deve apenas complementar, suprir as diretrizes gerais instituídas pela União. Art. 24, § 1º. Inconstitucionalidade. Ocorrência. </w:t>
      </w:r>
      <w:r w:rsidRPr="00511660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>Ação procedente</w:t>
      </w:r>
      <w:r w:rsidRPr="00482DBE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>."</w:t>
      </w:r>
    </w:p>
    <w:p w:rsidR="003120CE" w:rsidRPr="003120CE" w:rsidP="00072C70">
      <w:pPr>
        <w:pBdr>
          <w:bottom w:val="single" w:sz="12" w:space="1" w:color="auto"/>
        </w:pBdr>
        <w:autoSpaceDE w:val="0"/>
        <w:autoSpaceDN w:val="0"/>
        <w:adjustRightInd w:val="0"/>
        <w:ind w:left="2268"/>
        <w:jc w:val="both"/>
        <w:rPr>
          <w:rFonts w:ascii="Calibri" w:hAnsi="Calibri" w:cs="Calibri"/>
          <w:i/>
          <w:color w:val="000000"/>
          <w:sz w:val="20"/>
          <w:shd w:val="clear" w:color="auto" w:fill="FFFFFF"/>
        </w:rPr>
      </w:pPr>
      <w:r w:rsidRPr="003120CE">
        <w:rPr>
          <w:rFonts w:ascii="Calibri" w:hAnsi="Calibri" w:cs="Calibri"/>
          <w:i/>
          <w:color w:val="000000"/>
          <w:sz w:val="20"/>
          <w:shd w:val="clear" w:color="auto" w:fill="FFFFFF"/>
        </w:rPr>
        <w:t> (TJSP;</w:t>
      </w:r>
      <w:r w:rsidRPr="003120CE">
        <w:rPr>
          <w:rFonts w:ascii="Calibri" w:hAnsi="Calibri" w:cs="Calibri"/>
          <w:i/>
          <w:color w:val="000000"/>
          <w:sz w:val="20"/>
          <w:shd w:val="clear" w:color="auto" w:fill="FFFFFF"/>
        </w:rPr>
        <w:t xml:space="preserve">  </w:t>
      </w:r>
      <w:r w:rsidRPr="003120CE">
        <w:rPr>
          <w:rFonts w:ascii="Calibri" w:hAnsi="Calibri" w:cs="Calibri"/>
          <w:i/>
          <w:color w:val="000000"/>
          <w:sz w:val="20"/>
          <w:shd w:val="clear" w:color="auto" w:fill="FFFFFF"/>
        </w:rPr>
        <w:t>Direta de Inconstitucionalidade 2058811-55.2019.8.26.0000; Relator (a): Carlos Bueno; Órgão Julgador: Órgão Especial; Tribunal de Justiça de São Paulo - N/A; Data do Julgamento: 14/08/2019; Data de Registro: 16/08/2019)</w:t>
      </w:r>
    </w:p>
    <w:p w:rsidR="003120CE" w:rsidP="003120CE">
      <w:pPr>
        <w:autoSpaceDE w:val="0"/>
        <w:autoSpaceDN w:val="0"/>
        <w:adjustRightInd w:val="0"/>
        <w:spacing w:line="300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</w:pPr>
    </w:p>
    <w:p w:rsidR="003120CE" w:rsidP="00072C70">
      <w:pPr>
        <w:pBdr>
          <w:bottom w:val="single" w:sz="12" w:space="1" w:color="auto"/>
        </w:pBdr>
        <w:autoSpaceDE w:val="0"/>
        <w:autoSpaceDN w:val="0"/>
        <w:adjustRightInd w:val="0"/>
        <w:ind w:left="2268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482DBE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AÇÃO DIRETA DE INCONSTITUCIONALIDADE. CONSTITUCIONAL. ADMINISTRATIVO. Lei nº 5.277, de 19 de junho de 2018, do Município de Pirassununga que </w:t>
      </w:r>
      <w:r w:rsidRPr="00511660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 xml:space="preserve">dispõe sobre a regulamentação no âmbito municipal da aplicação do artigo 55, inciso VI, e artigo 56, inciso II, ambos da Lei Federal nº 8.666/93, obrigando a utilização de seguro garantia de execução de contratos públicos de obras e de fornecimento de bens ou de serviços denominando essa modalidade e aplicação da Lei como Seguro </w:t>
      </w:r>
      <w:r w:rsidRPr="00511660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>Anti</w:t>
      </w:r>
      <w:r w:rsidRPr="00511660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 xml:space="preserve"> Corrupção – SAC, e dá outras providências.</w:t>
      </w:r>
      <w:r w:rsidRPr="00482DBE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 A norma municipal ora analisada, ao prever a obrigatoriedade de contratação de seguro garantia de execução em todos os contratos públicos de obras e de fornecimento de bens ou serviços cujo valor seja igual ou superior ao limite mínimo previsto no artigo 22, inciso II, da Lei 8.666/93 (artigo 1º e seguintes da lei municipal), bem como ao prever a dependência de anuência da seguradora nas hipóteses de alteração do contrato principal (artigo 17 e seguintes), seus poderes e competências (artigo 22 e seguintes), além de disciplinar sobre o sinistro e execução da apólice (artigo 24 e seguintes) </w:t>
      </w:r>
      <w:r w:rsidRPr="00511660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 xml:space="preserve">invadiu a competência privativa da União, ao legislar sobre Direito Civil, seguros, e normas </w:t>
      </w:r>
      <w:r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>gerais de licitação e contratos</w:t>
      </w:r>
      <w:r w:rsidRPr="00511660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>.</w:t>
      </w:r>
      <w:r w:rsidRPr="00482DBE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 Destarte, verifica-se que, muito embora os Municípios possuam competência para complementar a legislação federal em matéria local no tocante às licitações, </w:t>
      </w:r>
      <w:r w:rsidRPr="00511660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 xml:space="preserve">a lei em análise apresentou normas gerais sobre a matéria e, ainda, normas sobre </w:t>
      </w:r>
      <w:r w:rsidRPr="00511660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>Direito Civil e seguros, usurpando, desse modo</w:t>
      </w:r>
      <w:r w:rsidRPr="00511660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>, a competência legislativa privativa da União, violando o pacto federativo previsto no artigo 22, incisos I, II e XXVII, da Constituição Federal e nos artigos 117 e 144, ambos da Constituição Estadual.</w:t>
      </w:r>
      <w:r w:rsidRPr="00482DBE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 A suplementação de legislação estadual ou federal, no que couber, exige que o conteúdo legislado </w:t>
      </w:r>
      <w:r w:rsidRPr="00482DBE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>seja de atribuição municipal, não podendo o município legislar sobre tema cuja competência é da União. A suplementação ocorre por meio de complementação ou legislar na ausência da norma. A jurisprudência vem entendendo que, para legislar na ausência de normas, o Município precisa ter competência constitucional sobre a matéria. Já a complementação não pode implicar regrar em sentido oposto à norma geral existente. Ação procedente para declarar a inconstitucionalidade da lei municipal.</w:t>
      </w:r>
      <w:r w:rsidR="00072C70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 </w:t>
      </w:r>
      <w:r w:rsidRPr="003120CE">
        <w:rPr>
          <w:rFonts w:ascii="Calibri" w:hAnsi="Calibri" w:cs="Calibri"/>
          <w:i/>
          <w:color w:val="000000"/>
          <w:sz w:val="20"/>
          <w:shd w:val="clear" w:color="auto" w:fill="FFFFFF"/>
        </w:rPr>
        <w:t>(TJSP;</w:t>
      </w:r>
      <w:r w:rsidRPr="003120CE">
        <w:rPr>
          <w:rFonts w:ascii="Calibri" w:hAnsi="Calibri" w:cs="Calibri"/>
          <w:i/>
          <w:color w:val="000000"/>
          <w:sz w:val="20"/>
          <w:shd w:val="clear" w:color="auto" w:fill="FFFFFF"/>
        </w:rPr>
        <w:t xml:space="preserve">  </w:t>
      </w:r>
      <w:r w:rsidRPr="003120CE">
        <w:rPr>
          <w:rFonts w:ascii="Calibri" w:hAnsi="Calibri" w:cs="Calibri"/>
          <w:i/>
          <w:color w:val="000000"/>
          <w:sz w:val="20"/>
          <w:shd w:val="clear" w:color="auto" w:fill="FFFFFF"/>
        </w:rPr>
        <w:t xml:space="preserve">Direta de Inconstitucionalidade 2010319-32.2019.8.26.0000; Relator (a): Alex </w:t>
      </w:r>
      <w:r w:rsidRPr="003120CE">
        <w:rPr>
          <w:rFonts w:ascii="Calibri" w:hAnsi="Calibri" w:cs="Calibri"/>
          <w:i/>
          <w:color w:val="000000"/>
          <w:sz w:val="20"/>
          <w:shd w:val="clear" w:color="auto" w:fill="FFFFFF"/>
        </w:rPr>
        <w:t>Zilenovski</w:t>
      </w:r>
      <w:r w:rsidRPr="003120CE">
        <w:rPr>
          <w:rFonts w:ascii="Calibri" w:hAnsi="Calibri" w:cs="Calibri"/>
          <w:i/>
          <w:color w:val="000000"/>
          <w:sz w:val="20"/>
          <w:shd w:val="clear" w:color="auto" w:fill="FFFFFF"/>
        </w:rPr>
        <w:t>; Órgão Julgador: Órgão Especial; Tribunal de Justiça de São Paulo - N/A; Data do Julgamento: 24/04/2019; Data de Registro: 26/04/2019</w:t>
      </w:r>
      <w:r w:rsidRPr="00511660">
        <w:rPr>
          <w:rFonts w:ascii="Calibri" w:hAnsi="Calibri" w:cs="Calibri"/>
          <w:i/>
          <w:color w:val="000000"/>
          <w:shd w:val="clear" w:color="auto" w:fill="FFFFFF"/>
        </w:rPr>
        <w:t>)</w:t>
      </w:r>
    </w:p>
    <w:p w:rsidR="003120CE" w:rsidRPr="00511660" w:rsidP="003120CE">
      <w:pPr>
        <w:autoSpaceDE w:val="0"/>
        <w:autoSpaceDN w:val="0"/>
        <w:adjustRightInd w:val="0"/>
        <w:spacing w:line="300" w:lineRule="auto"/>
        <w:ind w:left="2268"/>
        <w:jc w:val="both"/>
        <w:rPr>
          <w:rFonts w:ascii="Calibri" w:hAnsi="Calibri" w:cs="Calibri"/>
          <w:i/>
          <w:color w:val="000000"/>
          <w:shd w:val="clear" w:color="auto" w:fill="FFFFFF"/>
        </w:rPr>
      </w:pPr>
    </w:p>
    <w:p w:rsidR="003120CE" w:rsidP="003120CE">
      <w:pPr>
        <w:autoSpaceDE w:val="0"/>
        <w:autoSpaceDN w:val="0"/>
        <w:adjustRightInd w:val="0"/>
        <w:spacing w:line="300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</w:pPr>
    </w:p>
    <w:p w:rsidR="003120CE" w:rsidP="003120CE">
      <w:pPr>
        <w:pStyle w:val="corpodapea"/>
        <w:spacing w:before="0" w:beforeAutospacing="0" w:after="20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C54F57">
        <w:rPr>
          <w:rFonts w:asciiTheme="minorHAnsi" w:hAnsiTheme="minorHAnsi" w:cstheme="minorHAnsi"/>
        </w:rPr>
        <w:t xml:space="preserve">Ante todo o exposto, malgrado a boa intenção </w:t>
      </w:r>
      <w:r>
        <w:rPr>
          <w:rFonts w:asciiTheme="minorHAnsi" w:hAnsiTheme="minorHAnsi" w:cstheme="minorHAnsi"/>
        </w:rPr>
        <w:t>d</w:t>
      </w:r>
      <w:r w:rsidRPr="00C54F57">
        <w:rPr>
          <w:rFonts w:asciiTheme="minorHAnsi" w:hAnsiTheme="minorHAnsi" w:cstheme="minorHAnsi"/>
        </w:rPr>
        <w:t>o nobre</w:t>
      </w:r>
      <w:r w:rsidR="00072C70">
        <w:rPr>
          <w:rFonts w:asciiTheme="minorHAnsi" w:hAnsiTheme="minorHAnsi" w:cstheme="minorHAnsi"/>
        </w:rPr>
        <w:t xml:space="preserve"> </w:t>
      </w:r>
      <w:r w:rsidR="00072C70">
        <w:rPr>
          <w:rFonts w:asciiTheme="minorHAnsi" w:hAnsiTheme="minorHAnsi" w:cstheme="minorHAnsi"/>
        </w:rPr>
        <w:t>edil</w:t>
      </w:r>
      <w:r w:rsidRPr="00C54F57">
        <w:rPr>
          <w:rFonts w:asciiTheme="minorHAnsi" w:hAnsiTheme="minorHAnsi" w:cstheme="minorHAnsi"/>
        </w:rPr>
        <w:t xml:space="preserve"> </w:t>
      </w:r>
      <w:r w:rsidR="00072C70">
        <w:rPr>
          <w:rFonts w:asciiTheme="minorHAnsi" w:hAnsiTheme="minorHAnsi" w:cstheme="minorHAnsi"/>
        </w:rPr>
        <w:t>opinamos</w:t>
      </w:r>
      <w:r w:rsidRPr="00C54F57">
        <w:rPr>
          <w:rFonts w:asciiTheme="minorHAnsi" w:hAnsiTheme="minorHAnsi" w:cstheme="minorHAnsi"/>
        </w:rPr>
        <w:t xml:space="preserve"> pela inconstitucionalidade do projeto pelos fundamentos acima articulados. No mérito manifestar-se-á o soberano plenário. </w:t>
      </w:r>
    </w:p>
    <w:p w:rsidR="003120CE" w:rsidP="003120CE">
      <w:pPr>
        <w:pStyle w:val="corpodapea"/>
        <w:spacing w:before="0" w:beforeAutospacing="0" w:after="20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 o parecer</w:t>
      </w:r>
    </w:p>
    <w:p w:rsidR="002F51D7" w:rsidP="003120CE">
      <w:pPr>
        <w:pStyle w:val="corpodapea"/>
        <w:spacing w:before="0" w:beforeAutospacing="0" w:after="20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Procuradoria</w:t>
      </w:r>
      <w:r w:rsidRPr="001D30EE">
        <w:rPr>
          <w:rFonts w:asciiTheme="minorHAnsi" w:hAnsiTheme="minorHAnsi" w:cstheme="minorHAnsi"/>
        </w:rPr>
        <w:t xml:space="preserve">, aos </w:t>
      </w:r>
      <w:r>
        <w:rPr>
          <w:rFonts w:asciiTheme="minorHAnsi" w:hAnsiTheme="minorHAnsi" w:cstheme="minorHAnsi"/>
        </w:rPr>
        <w:t>17</w:t>
      </w:r>
      <w:r w:rsidRPr="001D30EE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outubro</w:t>
      </w:r>
      <w:r w:rsidRPr="001D30EE">
        <w:rPr>
          <w:rFonts w:asciiTheme="minorHAnsi" w:hAnsiTheme="minorHAnsi" w:cstheme="minorHAnsi"/>
        </w:rPr>
        <w:t xml:space="preserve"> de 20</w:t>
      </w:r>
      <w:r>
        <w:rPr>
          <w:rFonts w:asciiTheme="minorHAnsi" w:hAnsiTheme="minorHAnsi" w:cstheme="minorHAnsi"/>
        </w:rPr>
        <w:t>23</w:t>
      </w:r>
      <w:r w:rsidRPr="001D30EE">
        <w:rPr>
          <w:rFonts w:asciiTheme="minorHAnsi" w:hAnsiTheme="minorHAnsi" w:cstheme="minorHAnsi"/>
        </w:rPr>
        <w:t>.</w:t>
      </w:r>
    </w:p>
    <w:p w:rsidR="002F51D7" w:rsidP="002F51D7">
      <w:pPr>
        <w:autoSpaceDE w:val="0"/>
        <w:autoSpaceDN w:val="0"/>
        <w:adjustRightInd w:val="0"/>
        <w:ind w:firstLine="1701"/>
        <w:jc w:val="both"/>
        <w:rPr>
          <w:rFonts w:asciiTheme="minorHAnsi" w:hAnsiTheme="minorHAnsi" w:cstheme="minorHAnsi"/>
          <w:szCs w:val="24"/>
        </w:rPr>
      </w:pPr>
    </w:p>
    <w:p w:rsidR="002F51D7" w:rsidP="002F51D7">
      <w:pPr>
        <w:autoSpaceDE w:val="0"/>
        <w:autoSpaceDN w:val="0"/>
        <w:adjustRightInd w:val="0"/>
        <w:ind w:firstLine="1701"/>
        <w:jc w:val="both"/>
        <w:rPr>
          <w:rFonts w:asciiTheme="minorHAnsi" w:hAnsiTheme="minorHAnsi" w:cstheme="minorHAnsi"/>
          <w:szCs w:val="24"/>
        </w:rPr>
      </w:pPr>
    </w:p>
    <w:p w:rsidR="002F51D7" w:rsidRPr="004E0A05" w:rsidP="002F51D7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4E0A05">
        <w:rPr>
          <w:rFonts w:asciiTheme="minorHAnsi" w:hAnsiTheme="minorHAnsi" w:cstheme="minorHAnsi"/>
          <w:b/>
          <w:szCs w:val="24"/>
        </w:rPr>
        <w:t>Rosemeire de Souza Cardoso Barbosa</w:t>
      </w:r>
    </w:p>
    <w:p w:rsidR="002F51D7" w:rsidP="002F51D7">
      <w:pPr>
        <w:jc w:val="center"/>
        <w:rPr>
          <w:rFonts w:asciiTheme="minorHAnsi" w:hAnsiTheme="minorHAnsi" w:cstheme="minorHAnsi"/>
          <w:b/>
          <w:szCs w:val="24"/>
        </w:rPr>
      </w:pPr>
      <w:r w:rsidRPr="004E0A05">
        <w:rPr>
          <w:rFonts w:asciiTheme="minorHAnsi" w:hAnsiTheme="minorHAnsi" w:cstheme="minorHAnsi"/>
          <w:b/>
          <w:szCs w:val="24"/>
        </w:rPr>
        <w:t>Procuradora - OAB/SP 308.298</w:t>
      </w:r>
    </w:p>
    <w:p w:rsidR="00D227FF" w:rsidRPr="00D227FF" w:rsidP="002F51D7">
      <w:pPr>
        <w:jc w:val="center"/>
        <w:rPr>
          <w:rFonts w:asciiTheme="minorHAnsi" w:hAnsiTheme="minorHAnsi" w:cstheme="minorHAnsi"/>
          <w:szCs w:val="24"/>
        </w:rPr>
      </w:pPr>
      <w:r w:rsidRPr="00D227FF">
        <w:rPr>
          <w:rFonts w:asciiTheme="minorHAnsi" w:hAnsiTheme="minorHAnsi" w:cstheme="minorHAnsi"/>
          <w:szCs w:val="24"/>
        </w:rPr>
        <w:t>Assinado digitalmente</w:t>
      </w:r>
    </w:p>
    <w:p w:rsidR="00C24D20"/>
    <w:sectPr w:rsidSect="0054631C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631C">
    <w:pPr>
      <w:pStyle w:val="Footer"/>
    </w:pPr>
  </w:p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D227FF" w:rsidP="00D227FF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</w:t>
            </w:r>
          </w:p>
          <w:p w:rsidR="00D227FF" w:rsidP="00D227F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D227FF" w:rsidP="00D227FF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D227FF" w:rsidP="00D227F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807CB">
              <w:rPr>
                <w:b/>
                <w:bCs/>
                <w:noProof/>
                <w:sz w:val="18"/>
                <w:szCs w:val="18"/>
              </w:rPr>
              <w:t>6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807CB">
              <w:rPr>
                <w:b/>
                <w:bCs/>
                <w:noProof/>
                <w:sz w:val="18"/>
                <w:szCs w:val="18"/>
              </w:rPr>
              <w:t>6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A7B18">
      <w:r>
        <w:separator/>
      </w:r>
    </w:p>
  </w:footnote>
  <w:footnote w:type="continuationSeparator" w:id="1">
    <w:p w:rsidR="003A7B18">
      <w:r>
        <w:continuationSeparator/>
      </w:r>
    </w:p>
  </w:footnote>
  <w:footnote w:id="2">
    <w:p w:rsidR="003120CE" w:rsidRPr="008C4200" w:rsidP="003120CE">
      <w:pPr>
        <w:pStyle w:val="Default"/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3120CE">
        <w:rPr>
          <w:rFonts w:asciiTheme="minorHAnsi" w:hAnsiTheme="minorHAnsi" w:cstheme="minorHAnsi"/>
          <w:sz w:val="20"/>
          <w:szCs w:val="20"/>
        </w:rPr>
        <w:t xml:space="preserve">Nesse sentido é o entendimento do Supremo Tribunal Federal: </w:t>
      </w:r>
      <w:r w:rsidRPr="003120CE">
        <w:rPr>
          <w:rFonts w:asciiTheme="minorHAnsi" w:hAnsiTheme="minorHAnsi" w:cstheme="minorHAnsi"/>
          <w:i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120CE">
        <w:rPr>
          <w:rFonts w:asciiTheme="minorHAnsi" w:hAnsiTheme="minorHAnsi" w:cstheme="minorHAnsi"/>
          <w:i/>
          <w:sz w:val="20"/>
          <w:szCs w:val="20"/>
        </w:rPr>
        <w:t>exoficio</w:t>
      </w:r>
      <w:r w:rsidRPr="003120CE">
        <w:rPr>
          <w:rFonts w:asciiTheme="minorHAnsi" w:hAnsiTheme="minorHAnsi" w:cstheme="minorHAnsi"/>
          <w:i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</w:t>
      </w:r>
      <w:r w:rsidRPr="003120CE">
        <w:rPr>
          <w:rFonts w:asciiTheme="minorHAnsi" w:hAnsiTheme="minorHAnsi" w:cstheme="minorHAnsi"/>
          <w:i/>
          <w:sz w:val="20"/>
          <w:szCs w:val="20"/>
        </w:rPr>
        <w:t>)</w:t>
      </w:r>
      <w:r w:rsidRPr="008C4200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3120CE" w:rsidRPr="00C54F57" w:rsidP="003120CE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</w:rPr>
      </w:pPr>
    </w:p>
    <w:p w:rsidR="003120C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27FF" w:rsidP="00D227FF">
    <w:pPr>
      <w:pStyle w:val="Header"/>
      <w:jc w:val="center"/>
      <w:rPr>
        <w:b/>
        <w:sz w:val="26"/>
        <w:lang w:val="pt-PT"/>
      </w:rPr>
    </w:pPr>
  </w:p>
  <w:p w:rsidR="00D227FF" w:rsidP="00D227F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7FF" w:rsidP="00D227F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398851658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2307053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59648094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D227FF" w:rsidP="00D227F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560163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59063707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227FF" w:rsidP="00D227F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227FF" w:rsidP="00D227F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D227FF" w:rsidP="00D227FF">
    <w:pPr>
      <w:pStyle w:val="Header"/>
    </w:pPr>
  </w:p>
  <w:p w:rsidR="00D227FF" w:rsidP="00D227FF">
    <w:pPr>
      <w:pStyle w:val="Header"/>
    </w:pPr>
  </w:p>
  <w:p w:rsidR="00D227FF" w:rsidP="00D227FF">
    <w:pPr>
      <w:pStyle w:val="Header"/>
    </w:pPr>
  </w:p>
  <w:p w:rsidR="00D227FF" w:rsidP="00D22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10223D"/>
    <w:multiLevelType w:val="hybridMultilevel"/>
    <w:tmpl w:val="D1B002E6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D1E27"/>
    <w:multiLevelType w:val="hybridMultilevel"/>
    <w:tmpl w:val="0C0A2AE4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55031BA0"/>
    <w:multiLevelType w:val="hybridMultilevel"/>
    <w:tmpl w:val="FF0038E8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D7"/>
    <w:rsid w:val="00072C70"/>
    <w:rsid w:val="000A0CD1"/>
    <w:rsid w:val="000B4AF0"/>
    <w:rsid w:val="001D30EE"/>
    <w:rsid w:val="002F51D7"/>
    <w:rsid w:val="003120CE"/>
    <w:rsid w:val="0034462A"/>
    <w:rsid w:val="003A7B18"/>
    <w:rsid w:val="00482DBE"/>
    <w:rsid w:val="004E0A05"/>
    <w:rsid w:val="00511660"/>
    <w:rsid w:val="0054631C"/>
    <w:rsid w:val="00551274"/>
    <w:rsid w:val="005C6A85"/>
    <w:rsid w:val="00610F9C"/>
    <w:rsid w:val="006B3D5D"/>
    <w:rsid w:val="00863BD8"/>
    <w:rsid w:val="008C4200"/>
    <w:rsid w:val="00B84A81"/>
    <w:rsid w:val="00C24D20"/>
    <w:rsid w:val="00C54F57"/>
    <w:rsid w:val="00C86280"/>
    <w:rsid w:val="00CB661D"/>
    <w:rsid w:val="00D227FF"/>
    <w:rsid w:val="00D319B3"/>
    <w:rsid w:val="00D33B2B"/>
    <w:rsid w:val="00D733A7"/>
    <w:rsid w:val="00DF5D40"/>
    <w:rsid w:val="00E54AEA"/>
    <w:rsid w:val="00F53BEF"/>
    <w:rsid w:val="00F807CB"/>
    <w:rsid w:val="00FD1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D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51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2F51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F51D7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F51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F51D7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F51D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2F51D7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2F51D7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2F51D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2F51D7"/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2F51D7"/>
  </w:style>
  <w:style w:type="character" w:styleId="Emphasis">
    <w:name w:val="Emphasis"/>
    <w:basedOn w:val="DefaultParagraphFont"/>
    <w:uiPriority w:val="20"/>
    <w:qFormat/>
    <w:rsid w:val="002F51D7"/>
    <w:rPr>
      <w:i/>
      <w:iCs/>
    </w:rPr>
  </w:style>
  <w:style w:type="paragraph" w:styleId="Quote">
    <w:name w:val="Quote"/>
    <w:basedOn w:val="Normal"/>
    <w:next w:val="Normal"/>
    <w:link w:val="CitaoChar"/>
    <w:uiPriority w:val="29"/>
    <w:qFormat/>
    <w:rsid w:val="002F51D7"/>
    <w:pPr>
      <w:ind w:left="2268" w:firstLine="709"/>
      <w:jc w:val="both"/>
    </w:pPr>
    <w:rPr>
      <w:rFonts w:ascii="Times New Roman" w:hAnsi="Times New Roman"/>
      <w:iCs/>
      <w:color w:val="404040" w:themeColor="text1" w:themeTint="BF"/>
      <w:sz w:val="20"/>
      <w:szCs w:val="24"/>
    </w:rPr>
  </w:style>
  <w:style w:type="character" w:customStyle="1" w:styleId="CitaoChar">
    <w:name w:val="Citação Char"/>
    <w:basedOn w:val="DefaultParagraphFont"/>
    <w:link w:val="Quote"/>
    <w:uiPriority w:val="29"/>
    <w:rsid w:val="002F51D7"/>
    <w:rPr>
      <w:rFonts w:ascii="Times New Roman" w:eastAsia="Times New Roman" w:hAnsi="Times New Roman" w:cs="Times New Roman"/>
      <w:iCs/>
      <w:color w:val="404040" w:themeColor="text1" w:themeTint="BF"/>
      <w:sz w:val="20"/>
      <w:szCs w:val="24"/>
      <w:lang w:eastAsia="pt-BR"/>
    </w:rPr>
  </w:style>
  <w:style w:type="paragraph" w:customStyle="1" w:styleId="paragrafo">
    <w:name w:val="paragrafo"/>
    <w:basedOn w:val="Normal"/>
    <w:rsid w:val="00D22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D22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D227FF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227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227FF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5C6A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odapea">
    <w:name w:val="corpodapea"/>
    <w:basedOn w:val="Normal"/>
    <w:rsid w:val="003120C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3120CE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3120CE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3120C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31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planalto.gov.br/ccivil_03/constituicao/Emendas/Emc/emc19.htm" TargetMode="External" /><Relationship Id="rId7" Type="http://schemas.openxmlformats.org/officeDocument/2006/relationships/hyperlink" Target="https://www.planalto.gov.br/ccivil_03/_ato2019-2022/2021/lei/l14133.htm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9998-2C05-42EB-859F-EAC33D72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1660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7</cp:revision>
  <dcterms:created xsi:type="dcterms:W3CDTF">2023-10-17T18:36:00Z</dcterms:created>
  <dcterms:modified xsi:type="dcterms:W3CDTF">2023-10-24T13:22:00Z</dcterms:modified>
</cp:coreProperties>
</file>