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C6777" w:rsidP="003C6777">
      <w:pPr>
        <w:pStyle w:val="Default"/>
        <w:spacing w:line="276" w:lineRule="auto"/>
        <w:jc w:val="both"/>
        <w:rPr>
          <w:rFonts w:ascii="Calibri" w:hAnsi="Calibri" w:cs="Calibri"/>
          <w:b/>
          <w:color w:val="FF0000"/>
        </w:rPr>
      </w:pPr>
    </w:p>
    <w:p w:rsidR="00A779B8" w:rsidRPr="00EA1CEF" w:rsidP="003C6777">
      <w:pPr>
        <w:pStyle w:val="Default"/>
        <w:spacing w:line="276" w:lineRule="auto"/>
        <w:jc w:val="both"/>
        <w:rPr>
          <w:rFonts w:ascii="Calibri" w:eastAsia="Times New Roman" w:hAnsi="Calibri" w:cs="Calibri"/>
          <w:bCs/>
          <w:color w:val="auto"/>
        </w:rPr>
      </w:pPr>
      <w:r w:rsidRPr="00EA1CEF">
        <w:rPr>
          <w:rFonts w:ascii="Calibri" w:hAnsi="Calibri" w:cs="Calibri"/>
          <w:b/>
          <w:color w:val="auto"/>
        </w:rPr>
        <w:t xml:space="preserve">Parecer Jurídico nº </w:t>
      </w:r>
      <w:r w:rsidRPr="00EA1CEF" w:rsidR="00EA1CEF">
        <w:rPr>
          <w:rFonts w:ascii="Calibri" w:hAnsi="Calibri" w:cs="Calibri"/>
          <w:b/>
          <w:color w:val="auto"/>
        </w:rPr>
        <w:t>365</w:t>
      </w:r>
      <w:r w:rsidRPr="00EA1CEF">
        <w:rPr>
          <w:rFonts w:ascii="Calibri" w:hAnsi="Calibri" w:cs="Calibri"/>
          <w:b/>
          <w:color w:val="auto"/>
        </w:rPr>
        <w:t>/202</w:t>
      </w:r>
      <w:r w:rsidRPr="00EA1CEF" w:rsidR="00FA62B0">
        <w:rPr>
          <w:rFonts w:ascii="Calibri" w:hAnsi="Calibri" w:cs="Calibri"/>
          <w:b/>
          <w:color w:val="auto"/>
        </w:rPr>
        <w:t>3</w:t>
      </w:r>
      <w:r w:rsidRPr="00EA1CEF">
        <w:rPr>
          <w:rFonts w:ascii="Calibri" w:hAnsi="Calibri" w:cs="Calibri"/>
          <w:b/>
          <w:color w:val="auto"/>
        </w:rPr>
        <w:t>.</w:t>
      </w:r>
    </w:p>
    <w:p w:rsidR="004475D4" w:rsidRPr="00614E1F" w:rsidP="003C6777">
      <w:pPr>
        <w:spacing w:after="0"/>
        <w:jc w:val="both"/>
        <w:rPr>
          <w:rFonts w:ascii="Calibri" w:hAnsi="Calibri" w:cs="Calibri"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Assunto</w:t>
      </w:r>
      <w:r w:rsidRPr="00305026">
        <w:rPr>
          <w:rFonts w:ascii="Calibri" w:hAnsi="Calibri" w:cs="Calibri"/>
          <w:bCs/>
          <w:szCs w:val="24"/>
        </w:rPr>
        <w:t xml:space="preserve">: </w:t>
      </w:r>
      <w:r w:rsidR="00C86AE4">
        <w:rPr>
          <w:rFonts w:ascii="Calibri" w:hAnsi="Calibri" w:cs="Calibri"/>
          <w:b/>
          <w:bCs/>
          <w:szCs w:val="24"/>
        </w:rPr>
        <w:t>Emenda 01</w:t>
      </w:r>
      <w:r w:rsidR="00FA62B0">
        <w:rPr>
          <w:rFonts w:ascii="Calibri" w:hAnsi="Calibri" w:cs="Calibri"/>
          <w:b/>
          <w:bCs/>
          <w:szCs w:val="24"/>
        </w:rPr>
        <w:t xml:space="preserve"> ao Projeto de Lei nº</w:t>
      </w:r>
      <w:r w:rsidR="00614E1F">
        <w:rPr>
          <w:rFonts w:ascii="Calibri" w:hAnsi="Calibri" w:cs="Calibri"/>
          <w:b/>
          <w:bCs/>
          <w:szCs w:val="24"/>
        </w:rPr>
        <w:t xml:space="preserve"> 2</w:t>
      </w:r>
      <w:r w:rsidR="00E31B93">
        <w:rPr>
          <w:rFonts w:ascii="Calibri" w:hAnsi="Calibri" w:cs="Calibri"/>
          <w:b/>
          <w:bCs/>
          <w:szCs w:val="24"/>
        </w:rPr>
        <w:t>15</w:t>
      </w:r>
      <w:r w:rsidRPr="00305026">
        <w:rPr>
          <w:rFonts w:ascii="Calibri" w:hAnsi="Calibri" w:cs="Calibri"/>
          <w:b/>
          <w:bCs/>
          <w:szCs w:val="24"/>
        </w:rPr>
        <w:t>/202</w:t>
      </w:r>
      <w:r w:rsidR="00614E1F">
        <w:rPr>
          <w:rFonts w:ascii="Calibri" w:hAnsi="Calibri" w:cs="Calibri"/>
          <w:b/>
          <w:bCs/>
          <w:szCs w:val="24"/>
        </w:rPr>
        <w:t>2</w:t>
      </w:r>
      <w:r w:rsidRPr="00305026">
        <w:rPr>
          <w:rFonts w:ascii="Calibri" w:hAnsi="Calibri" w:cs="Calibri"/>
          <w:bCs/>
          <w:szCs w:val="24"/>
        </w:rPr>
        <w:t xml:space="preserve"> que</w:t>
      </w:r>
      <w:r w:rsidR="00FA62B0">
        <w:rPr>
          <w:rFonts w:ascii="Calibri" w:hAnsi="Calibri" w:cs="Calibri"/>
          <w:bCs/>
          <w:szCs w:val="24"/>
        </w:rPr>
        <w:t xml:space="preserve"> </w:t>
      </w:r>
      <w:r w:rsidRPr="00FA62B0" w:rsidR="00FA62B0">
        <w:rPr>
          <w:rFonts w:eastAsia="Calibri" w:asciiTheme="minorHAnsi" w:hAnsiTheme="minorHAnsi" w:cstheme="minorHAnsi"/>
          <w:color w:val="000000"/>
          <w:szCs w:val="24"/>
        </w:rPr>
        <w:t>“</w:t>
      </w:r>
      <w:r w:rsidR="00614E1F">
        <w:rPr>
          <w:rFonts w:eastAsia="Calibri" w:asciiTheme="minorHAnsi" w:hAnsiTheme="minorHAnsi" w:cstheme="minorHAnsi"/>
          <w:color w:val="000000"/>
          <w:szCs w:val="24"/>
        </w:rPr>
        <w:t>R</w:t>
      </w:r>
      <w:r w:rsidRPr="00614E1F" w:rsidR="00614E1F">
        <w:rPr>
          <w:rFonts w:ascii="Calibri" w:hAnsi="Calibri" w:cs="Calibri"/>
          <w:bCs/>
          <w:szCs w:val="24"/>
        </w:rPr>
        <w:t>egula o contrato de trabalho por tempo determinado no âmbito municipal, para atender necessidade de excepcional interesse público, e revoga dispos</w:t>
      </w:r>
      <w:r w:rsidR="00614E1F">
        <w:rPr>
          <w:rFonts w:ascii="Calibri" w:hAnsi="Calibri" w:cs="Calibri"/>
          <w:bCs/>
          <w:szCs w:val="24"/>
        </w:rPr>
        <w:t>itivo e Leis correlatos.</w:t>
      </w:r>
      <w:r w:rsidRPr="00FA62B0" w:rsidR="00614E1F">
        <w:rPr>
          <w:rFonts w:eastAsia="Calibri" w:asciiTheme="minorHAnsi" w:hAnsiTheme="minorHAnsi" w:cstheme="minorHAnsi"/>
          <w:color w:val="000000"/>
          <w:szCs w:val="24"/>
        </w:rPr>
        <w:t>”.</w:t>
      </w:r>
    </w:p>
    <w:p w:rsidR="00305026" w:rsidRPr="00FA62B0" w:rsidP="003C6777">
      <w:pPr>
        <w:spacing w:after="0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do Executivo. </w:t>
      </w:r>
      <w:r w:rsidRPr="00305026">
        <w:rPr>
          <w:rFonts w:ascii="Calibri" w:hAnsi="Calibri" w:cs="Calibri"/>
          <w:b/>
          <w:bCs/>
          <w:szCs w:val="24"/>
        </w:rPr>
        <w:t xml:space="preserve">Ofício nº </w:t>
      </w:r>
      <w:r w:rsidR="003C6777">
        <w:rPr>
          <w:rFonts w:ascii="Calibri" w:hAnsi="Calibri" w:cs="Calibri"/>
          <w:b/>
          <w:bCs/>
          <w:szCs w:val="24"/>
        </w:rPr>
        <w:t>1</w:t>
      </w:r>
      <w:r w:rsidR="00614E1F">
        <w:rPr>
          <w:rFonts w:ascii="Calibri" w:hAnsi="Calibri" w:cs="Calibri"/>
          <w:b/>
          <w:bCs/>
          <w:szCs w:val="24"/>
        </w:rPr>
        <w:t>9</w:t>
      </w:r>
      <w:r w:rsidRPr="00305026">
        <w:rPr>
          <w:rFonts w:ascii="Calibri" w:hAnsi="Calibri" w:cs="Calibri"/>
          <w:b/>
          <w:bCs/>
          <w:szCs w:val="24"/>
        </w:rPr>
        <w:t>/202</w:t>
      </w:r>
      <w:r w:rsidR="003C6777">
        <w:rPr>
          <w:rFonts w:ascii="Calibri" w:hAnsi="Calibri" w:cs="Calibri"/>
          <w:b/>
          <w:bCs/>
          <w:szCs w:val="24"/>
        </w:rPr>
        <w:t>3</w:t>
      </w:r>
      <w:r w:rsidR="00614E1F">
        <w:rPr>
          <w:rFonts w:ascii="Calibri" w:hAnsi="Calibri" w:cs="Calibri"/>
          <w:b/>
          <w:bCs/>
          <w:szCs w:val="24"/>
        </w:rPr>
        <w:t>-DG</w:t>
      </w:r>
      <w:r w:rsidRPr="00305026">
        <w:rPr>
          <w:rFonts w:ascii="Calibri" w:hAnsi="Calibri" w:cs="Calibri"/>
          <w:b/>
          <w:bCs/>
          <w:szCs w:val="24"/>
        </w:rPr>
        <w:t>L/GP/P</w:t>
      </w:r>
    </w:p>
    <w:p w:rsidR="00A779B8" w:rsidRPr="00DA5745" w:rsidP="003C6777">
      <w:pPr>
        <w:pStyle w:val="Default"/>
        <w:spacing w:line="276" w:lineRule="auto"/>
        <w:jc w:val="both"/>
        <w:rPr>
          <w:rFonts w:ascii="Calibri" w:hAnsi="Calibri" w:cs="Calibri"/>
          <w:b/>
          <w:i/>
          <w:color w:val="auto"/>
        </w:rPr>
      </w:pPr>
    </w:p>
    <w:p w:rsidR="00DD5A76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677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DD5A76">
        <w:rPr>
          <w:rFonts w:ascii="Calibri" w:hAnsi="Calibri" w:cs="Calibri"/>
          <w:b/>
          <w:i/>
          <w:color w:val="auto"/>
        </w:rPr>
        <w:t xml:space="preserve">Vereador </w:t>
      </w:r>
      <w:r w:rsidR="00FA62B0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D5A76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677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05026" w:rsidRPr="00614E1F" w:rsidP="00614E1F">
      <w:pPr>
        <w:pStyle w:val="Default"/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>em epígrafe que</w:t>
      </w:r>
      <w:r w:rsidR="009D2232">
        <w:rPr>
          <w:rFonts w:asciiTheme="minorHAnsi" w:hAnsiTheme="minorHAnsi" w:cstheme="minorHAnsi"/>
        </w:rPr>
        <w:t xml:space="preserve"> pretende </w:t>
      </w:r>
      <w:r w:rsidR="00E31B93">
        <w:rPr>
          <w:rFonts w:asciiTheme="minorHAnsi" w:hAnsiTheme="minorHAnsi" w:cstheme="minorHAnsi"/>
        </w:rPr>
        <w:t>alterar a redação do</w:t>
      </w:r>
      <w:r w:rsidR="00614E1F">
        <w:rPr>
          <w:rFonts w:asciiTheme="minorHAnsi" w:hAnsiTheme="minorHAnsi" w:cstheme="minorHAnsi"/>
        </w:rPr>
        <w:t>s</w:t>
      </w:r>
      <w:r w:rsidR="00E31B93">
        <w:rPr>
          <w:rFonts w:asciiTheme="minorHAnsi" w:hAnsiTheme="minorHAnsi" w:cstheme="minorHAnsi"/>
        </w:rPr>
        <w:t xml:space="preserve"> art</w:t>
      </w:r>
      <w:r w:rsidR="00614E1F">
        <w:rPr>
          <w:rFonts w:asciiTheme="minorHAnsi" w:hAnsiTheme="minorHAnsi" w:cstheme="minorHAnsi"/>
        </w:rPr>
        <w:t>s</w:t>
      </w:r>
      <w:r w:rsidR="00E31B93">
        <w:rPr>
          <w:rFonts w:asciiTheme="minorHAnsi" w:hAnsiTheme="minorHAnsi" w:cstheme="minorHAnsi"/>
        </w:rPr>
        <w:t>. 2</w:t>
      </w:r>
      <w:r w:rsidR="00614E1F">
        <w:rPr>
          <w:rFonts w:asciiTheme="minorHAnsi" w:hAnsiTheme="minorHAnsi" w:cstheme="minorHAnsi"/>
        </w:rPr>
        <w:t>º e 13</w:t>
      </w:r>
      <w:r w:rsidR="00FA62B0">
        <w:rPr>
          <w:rFonts w:asciiTheme="minorHAnsi" w:hAnsiTheme="minorHAnsi" w:cstheme="minorHAnsi"/>
        </w:rPr>
        <w:t xml:space="preserve"> do Projeto de Lei nº </w:t>
      </w:r>
      <w:r w:rsidR="00614E1F">
        <w:rPr>
          <w:rFonts w:asciiTheme="minorHAnsi" w:hAnsiTheme="minorHAnsi" w:cstheme="minorHAnsi"/>
        </w:rPr>
        <w:t>2</w:t>
      </w:r>
      <w:r w:rsidR="00E31B93">
        <w:rPr>
          <w:rFonts w:asciiTheme="minorHAnsi" w:hAnsiTheme="minorHAnsi" w:cstheme="minorHAnsi"/>
        </w:rPr>
        <w:t>15</w:t>
      </w:r>
      <w:r w:rsidR="00FA62B0">
        <w:rPr>
          <w:rFonts w:asciiTheme="minorHAnsi" w:hAnsiTheme="minorHAnsi" w:cstheme="minorHAnsi"/>
        </w:rPr>
        <w:t>/202</w:t>
      </w:r>
      <w:r w:rsidR="00614E1F">
        <w:rPr>
          <w:rFonts w:asciiTheme="minorHAnsi" w:hAnsiTheme="minorHAnsi" w:cstheme="minorHAnsi"/>
        </w:rPr>
        <w:t>2</w:t>
      </w:r>
      <w:r w:rsidR="00FA62B0">
        <w:rPr>
          <w:rFonts w:asciiTheme="minorHAnsi" w:hAnsiTheme="minorHAnsi" w:cstheme="minorHAnsi"/>
        </w:rPr>
        <w:t>,</w:t>
      </w:r>
      <w:r w:rsidR="00DD5A76">
        <w:rPr>
          <w:rFonts w:asciiTheme="minorHAnsi" w:hAnsiTheme="minorHAnsi" w:cstheme="minorHAnsi"/>
        </w:rPr>
        <w:t xml:space="preserve"> </w:t>
      </w:r>
      <w:r w:rsidRPr="00305026" w:rsidR="00DD5A76">
        <w:rPr>
          <w:rFonts w:ascii="Calibri" w:hAnsi="Calibri" w:cs="Calibri"/>
          <w:bCs/>
        </w:rPr>
        <w:t>que</w:t>
      </w:r>
      <w:r w:rsidR="00DD5A76">
        <w:rPr>
          <w:rFonts w:ascii="Calibri" w:hAnsi="Calibri" w:cs="Calibri"/>
          <w:bCs/>
        </w:rPr>
        <w:t xml:space="preserve"> </w:t>
      </w:r>
      <w:r w:rsidRPr="00FA62B0" w:rsidR="00614E1F">
        <w:rPr>
          <w:rFonts w:asciiTheme="minorHAnsi" w:hAnsiTheme="minorHAnsi" w:cstheme="minorHAnsi"/>
        </w:rPr>
        <w:t>“</w:t>
      </w:r>
      <w:r w:rsidRPr="00614E1F" w:rsidR="00614E1F">
        <w:rPr>
          <w:rFonts w:asciiTheme="minorHAnsi" w:hAnsiTheme="minorHAnsi" w:cstheme="minorHAnsi"/>
          <w:i/>
        </w:rPr>
        <w:t>R</w:t>
      </w:r>
      <w:r w:rsidRPr="00614E1F" w:rsidR="00614E1F">
        <w:rPr>
          <w:rFonts w:ascii="Calibri" w:hAnsi="Calibri" w:cs="Calibri"/>
          <w:bCs/>
          <w:i/>
        </w:rPr>
        <w:t>egula o contrato de trabalho por tempo determinado no âmbito municipal, para atender necessidade de excepcional interesse público, e revoga dispositivo e Leis correlatos</w:t>
      </w:r>
      <w:r w:rsidR="00614E1F">
        <w:rPr>
          <w:rFonts w:ascii="Calibri" w:hAnsi="Calibri" w:cs="Calibri"/>
          <w:bCs/>
        </w:rPr>
        <w:t>”</w:t>
      </w:r>
      <w:r w:rsidR="00DD5A76">
        <w:rPr>
          <w:rFonts w:asciiTheme="minorHAnsi" w:hAnsiTheme="minorHAnsi" w:cstheme="minorHAnsi"/>
        </w:rPr>
        <w:t>,</w:t>
      </w:r>
      <w:r w:rsidR="00FA62B0">
        <w:rPr>
          <w:rFonts w:asciiTheme="minorHAnsi" w:hAnsiTheme="minorHAnsi" w:cstheme="minorHAnsi"/>
        </w:rPr>
        <w:t xml:space="preserve"> </w:t>
      </w:r>
      <w:r w:rsidR="00FA62B0">
        <w:rPr>
          <w:rFonts w:asciiTheme="minorHAnsi" w:hAnsiTheme="minorHAnsi" w:cstheme="minorHAnsi"/>
        </w:rPr>
        <w:t>nos</w:t>
      </w:r>
      <w:r w:rsidR="00FA62B0">
        <w:rPr>
          <w:rFonts w:asciiTheme="minorHAnsi" w:hAnsiTheme="minorHAnsi" w:cstheme="minorHAnsi"/>
        </w:rPr>
        <w:t xml:space="preserve"> </w:t>
      </w:r>
      <w:r w:rsidR="00FA62B0">
        <w:rPr>
          <w:rFonts w:asciiTheme="minorHAnsi" w:hAnsiTheme="minorHAnsi" w:cstheme="minorHAnsi"/>
        </w:rPr>
        <w:t>seguintes</w:t>
      </w:r>
      <w:r w:rsidR="00FA62B0">
        <w:rPr>
          <w:rFonts w:asciiTheme="minorHAnsi" w:hAnsiTheme="minorHAnsi" w:cstheme="minorHAnsi"/>
        </w:rPr>
        <w:t xml:space="preserve"> termos</w:t>
      </w:r>
      <w:r>
        <w:rPr>
          <w:rFonts w:asciiTheme="minorHAnsi" w:hAnsiTheme="minorHAnsi" w:cstheme="minorHAnsi"/>
        </w:rPr>
        <w:t>:</w:t>
      </w:r>
      <w:r w:rsidRPr="0006682F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897" w:type="dxa"/>
        <w:tblLayout w:type="fixed"/>
        <w:tblLook w:val="04A0"/>
      </w:tblPr>
      <w:tblGrid>
        <w:gridCol w:w="4644"/>
        <w:gridCol w:w="4253"/>
      </w:tblGrid>
      <w:tr w:rsidTr="003C6777">
        <w:tblPrEx>
          <w:tblW w:w="8897" w:type="dxa"/>
          <w:tblLayout w:type="fixed"/>
          <w:tblLook w:val="04A0"/>
        </w:tblPrEx>
        <w:trPr>
          <w:trHeight w:val="551"/>
        </w:trPr>
        <w:tc>
          <w:tcPr>
            <w:tcW w:w="4644" w:type="dxa"/>
          </w:tcPr>
          <w:p w:rsidR="00FA62B0" w:rsidRPr="003C6777" w:rsidP="00614E1F">
            <w:pPr>
              <w:tabs>
                <w:tab w:val="left" w:pos="1701"/>
              </w:tabs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Projeto de Lei nº </w:t>
            </w:r>
            <w:r w:rsidR="00614E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E31B9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</w:t>
            </w:r>
            <w:r w:rsidR="00614E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4253" w:type="dxa"/>
          </w:tcPr>
          <w:p w:rsidR="003C6777" w:rsidP="00FA62B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FA62B0" w:rsidRPr="003C6777" w:rsidP="00FA62B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Alteração proposta na Emenda 01 ao </w:t>
            </w:r>
          </w:p>
          <w:p w:rsidR="00FA62B0" w:rsidP="00614E1F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Projeto de Lei nº </w:t>
            </w:r>
            <w:r w:rsidR="00614E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E31B9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="00614E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:rsidR="00614E1F" w:rsidRPr="003C6777" w:rsidP="00614E1F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Tr="003C6777">
        <w:tblPrEx>
          <w:tblW w:w="8897" w:type="dxa"/>
          <w:tblLayout w:type="fixed"/>
          <w:tblLook w:val="04A0"/>
        </w:tblPrEx>
        <w:tc>
          <w:tcPr>
            <w:tcW w:w="4644" w:type="dxa"/>
          </w:tcPr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Art. 2° Consideram-se como de necessidade temporária de excepcional interesse público as contratações que visem a: </w:t>
            </w: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I - atender situações de urgência relacionadas à assistência em saúde pública; </w:t>
            </w: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II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-atender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situações de calamidade pública;</w:t>
            </w: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III - promover campanhas de saúde pública de caráter eventual, para atender situações temporárias ou circunstâncias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imprevisíveis decorrentes de fato alheio à vontade da administração pública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>IV - substituir profissionais de saúde lotados em unidades de atendimento à saúde em decorrência de:</w:t>
            </w:r>
          </w:p>
          <w:p w:rsidR="00097811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a) licença para tratamento de saúde superior a 90 (noventa) dias; </w:t>
            </w:r>
          </w:p>
          <w:p w:rsidR="00097811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b) licença gestante ou por adoção; </w:t>
            </w:r>
          </w:p>
          <w:p w:rsidR="00497D51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>c) licença para trato de interesses particulares.</w:t>
            </w:r>
          </w:p>
          <w:p w:rsidR="00097811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14E1F" w:rsidRPr="0011188D" w:rsidP="003C6777">
            <w:pPr>
              <w:ind w:left="142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V - suprir a carência temporária de professores e de profissionais de saúde lotados em unidades de atendimento à saúde, falecimento, exoneração ou demissão, desde que não haja concurso público vigente. </w:t>
            </w: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§ 1º As contratações temporárias de professores na hipótese prevista no</w:t>
            </w:r>
            <w:r w:rsidRPr="0011188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inciso V deste artigo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poderão ser efetivadas pelo prazo de até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(seis) meses, de acordo com a necessidade do serviço. </w:t>
            </w: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§ 2º As contratações temporárias nas hipóteses previstas nos incisos I a V deste artigo, excepcionada a contratação de professores, poderão ser efetivadas pelo prazo de até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12 (doze) meses, compatível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com a necessidade do serviço. </w:t>
            </w: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§ 3º Os prazos especificados nos §§ 1º e 2º deste artigo poderão ser prorrogados uma única vez, por igual ou menor prazo, considerada a necessidade do serviço, mediante justificativa expressa da autoridade a que se vinculem os serviços prestados, que apontem a necessidade temporária de excepcional interesse público, e formalização de termo aditivo. </w:t>
            </w:r>
          </w:p>
          <w:p w:rsidR="00614E1F" w:rsidRP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§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4º Na hipótese de contratação temporária em decorrência de vacância de cargo por aposentadoria, falecimento, exoneração ou demissão, a que se refere o inciso VI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deste artigo, deverá ser providenciada a realização de concurso público para provimento dos cargos vagos.</w:t>
            </w:r>
          </w:p>
          <w:p w:rsidR="00097811" w:rsidRPr="003C6777" w:rsidP="003C6777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14E1F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b/>
                <w:i/>
                <w:sz w:val="22"/>
                <w:szCs w:val="22"/>
              </w:rPr>
              <w:t>“Art. 2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° Consideram-se como de necessidade temporária de excepcional interesse público as contratações que visem a: </w:t>
            </w:r>
          </w:p>
          <w:p w:rsidR="00614E1F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I - atender situações de urgência relacionadas à assistência em saúde pública; </w:t>
            </w:r>
          </w:p>
          <w:p w:rsidR="00D1345C" w:rsidRPr="00614E1F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II - atender situações de calamidade pública;</w:t>
            </w:r>
          </w:p>
          <w:p w:rsidR="00614E1F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III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-promover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campanhas de saúde pública de caráter eventual, para atender situações temporárias ou circunstâncias imprevisíveis decorrentes de fato alheio à vontade da administração pública; </w:t>
            </w: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1188D" w:rsidRPr="0011188D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36"/>
                <w:szCs w:val="36"/>
              </w:rPr>
            </w:pPr>
          </w:p>
          <w:p w:rsidR="00614E1F" w:rsidP="00614E1F">
            <w:pPr>
              <w:spacing w:after="240"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§ 1º As contratações temporárias nas hipóteses previstas nos incisos deste artigo, poderão ser efetivadas pelo prazo de até 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12 (doze) meses, compatível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com a necessidade do serviço. </w:t>
            </w:r>
          </w:p>
          <w:p w:rsidR="00614E1F" w:rsidRPr="00614E1F" w:rsidP="00614E1F">
            <w:pPr>
              <w:spacing w:after="240"/>
              <w:ind w:left="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>§ 2º O prazo especificado no § 1º deste artigo poderá ser prorrogado uma única vez, por igual ou menor prazo, considerada a necessidade do serviço, mediante justificativa expressa da autoridade a que se vinculem os serviços prestados, que apontem a necessidade temporária de excepcional interesse público, e formalização de termo aditivo. (...)</w:t>
            </w:r>
          </w:p>
        </w:tc>
      </w:tr>
      <w:tr w:rsidTr="003C6777">
        <w:tblPrEx>
          <w:tblW w:w="8897" w:type="dxa"/>
          <w:tblLayout w:type="fixed"/>
          <w:tblLook w:val="04A0"/>
        </w:tblPrEx>
        <w:tc>
          <w:tcPr>
            <w:tcW w:w="4644" w:type="dxa"/>
          </w:tcPr>
          <w:p w:rsidR="006A5F1B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811">
              <w:rPr>
                <w:rFonts w:asciiTheme="minorHAnsi" w:hAnsiTheme="minorHAnsi"/>
                <w:b/>
                <w:i/>
                <w:sz w:val="22"/>
                <w:szCs w:val="22"/>
              </w:rPr>
              <w:t>Art. 13</w:t>
            </w: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>. O contrato firmado nos termos desta Lei</w:t>
            </w: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>, dar-se-á</w:t>
            </w: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 xml:space="preserve"> por meio de Regime Jurídico Administrativo Especial, cujas condições serão estabelecidas em Contrato de Trabalho por prazo determinado elaborado pela Administração Direta do Município de Valinhos, e extinguir-se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 xml:space="preserve">á: </w:t>
            </w:r>
          </w:p>
          <w:p w:rsidR="006A5F1B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 xml:space="preserve">I - pelo término do prazo de contratação; </w:t>
            </w:r>
          </w:p>
          <w:p w:rsidR="006A5F1B" w:rsidP="003C6777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>II - por iniciativa do contratado;</w:t>
            </w:r>
          </w:p>
          <w:p w:rsidR="006A5F1B" w:rsidP="006A5F1B">
            <w:pPr>
              <w:ind w:lef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811">
              <w:rPr>
                <w:rFonts w:asciiTheme="minorHAnsi" w:hAnsiTheme="minorHAnsi"/>
                <w:i/>
                <w:sz w:val="22"/>
                <w:szCs w:val="22"/>
              </w:rPr>
              <w:t>III - por iniciativa do órgão contratante, decorrente de conveniência administrativa;</w:t>
            </w:r>
          </w:p>
          <w:p w:rsidR="00614E1F" w:rsidRPr="006A5F1B" w:rsidP="006A5F1B">
            <w:pPr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F1B">
              <w:rPr>
                <w:rFonts w:asciiTheme="minorHAnsi" w:hAnsiTheme="minorHAnsi"/>
                <w:b/>
                <w:i/>
                <w:sz w:val="22"/>
                <w:szCs w:val="22"/>
              </w:rPr>
              <w:t>IV - na hipótese prevista no inciso III do art.10 desta Lei.</w:t>
            </w:r>
          </w:p>
        </w:tc>
        <w:tc>
          <w:tcPr>
            <w:tcW w:w="4253" w:type="dxa"/>
          </w:tcPr>
          <w:p w:rsidR="00614E1F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b/>
                <w:i/>
                <w:sz w:val="22"/>
                <w:szCs w:val="22"/>
              </w:rPr>
              <w:t>Art. 13.</w:t>
            </w: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 ... </w:t>
            </w:r>
          </w:p>
          <w:p w:rsidR="006A5F1B" w:rsidRPr="00614E1F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14E1F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14E1F">
              <w:rPr>
                <w:rFonts w:asciiTheme="minorHAnsi" w:hAnsiTheme="minorHAnsi"/>
                <w:i/>
                <w:sz w:val="22"/>
                <w:szCs w:val="22"/>
              </w:rPr>
              <w:t xml:space="preserve">(...) </w:t>
            </w:r>
          </w:p>
          <w:p w:rsidR="006A5F1B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A5F1B" w:rsidP="00097811">
            <w:pPr>
              <w:ind w:left="34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A5F1B">
              <w:rPr>
                <w:rFonts w:asciiTheme="minorHAnsi" w:hAnsiTheme="minorHAnsi"/>
                <w:b/>
                <w:i/>
                <w:sz w:val="22"/>
                <w:szCs w:val="22"/>
              </w:rPr>
              <w:t>IV – na hipótese prevista no inciso III do art.12 desta Lei.</w:t>
            </w:r>
          </w:p>
          <w:p w:rsidR="006A5F1B" w:rsidRPr="00614E1F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14E1F" w:rsidRPr="00614E1F" w:rsidP="00097811">
            <w:pPr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(...)</w:t>
            </w:r>
          </w:p>
        </w:tc>
      </w:tr>
    </w:tbl>
    <w:p w:rsidR="00DD5A76" w:rsidRPr="00DD5A76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3C6777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  <w:i/>
        </w:rPr>
      </w:pPr>
    </w:p>
    <w:p w:rsidR="00A779B8" w:rsidRPr="0006682F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3C6777">
      <w:pPr>
        <w:spacing w:after="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06682F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78308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 xml:space="preserve">atende aos dispositivos do Regimento Interno da Câmara, não </w:t>
      </w:r>
      <w:bookmarkStart w:id="0" w:name="_GoBack"/>
      <w:bookmarkEnd w:id="0"/>
      <w:r w:rsidRPr="00783082">
        <w:rPr>
          <w:rFonts w:asciiTheme="minorHAnsi" w:hAnsiTheme="minorHAnsi" w:cs="Calibri"/>
          <w:szCs w:val="24"/>
        </w:rPr>
        <w:t>havendo óbice regimental na sua tramitação</w:t>
      </w:r>
      <w:r w:rsidR="00D37943">
        <w:rPr>
          <w:rFonts w:asciiTheme="minorHAnsi" w:hAnsiTheme="minorHAnsi" w:cs="Calibri"/>
          <w:szCs w:val="24"/>
        </w:rPr>
        <w:t>,</w:t>
      </w:r>
      <w:r w:rsidRPr="00783082">
        <w:rPr>
          <w:rFonts w:asciiTheme="minorHAnsi" w:hAnsiTheme="minorHAnsi" w:cs="Calibri"/>
          <w:szCs w:val="24"/>
        </w:rPr>
        <w:t xml:space="preserve"> e quanto à matéria </w:t>
      </w:r>
      <w:r w:rsidR="00DD5A76">
        <w:rPr>
          <w:rFonts w:asciiTheme="minorHAnsi" w:hAnsiTheme="minorHAnsi" w:cs="Calibri"/>
          <w:szCs w:val="24"/>
        </w:rPr>
        <w:t xml:space="preserve">reiteramos </w:t>
      </w:r>
      <w:r w:rsidRPr="00783082">
        <w:rPr>
          <w:rFonts w:asciiTheme="minorHAnsi" w:hAnsiTheme="minorHAnsi" w:cs="Calibri"/>
          <w:szCs w:val="24"/>
        </w:rPr>
        <w:t xml:space="preserve">Parecer Jurídico nº </w:t>
      </w:r>
      <w:r w:rsidR="00E31B93">
        <w:rPr>
          <w:rFonts w:asciiTheme="minorHAnsi" w:hAnsiTheme="minorHAnsi" w:cs="Calibri"/>
          <w:szCs w:val="24"/>
        </w:rPr>
        <w:t>3</w:t>
      </w:r>
      <w:r w:rsidR="00C07FAF">
        <w:rPr>
          <w:rFonts w:asciiTheme="minorHAnsi" w:hAnsiTheme="minorHAnsi" w:cs="Calibri"/>
          <w:szCs w:val="24"/>
        </w:rPr>
        <w:t>95</w:t>
      </w:r>
      <w:r w:rsidRPr="00783082">
        <w:rPr>
          <w:rFonts w:asciiTheme="minorHAnsi" w:hAnsiTheme="minorHAnsi" w:cs="Calibri"/>
          <w:szCs w:val="24"/>
        </w:rPr>
        <w:t>/202</w:t>
      </w:r>
      <w:r w:rsidR="00C07FAF">
        <w:rPr>
          <w:rFonts w:asciiTheme="minorHAnsi" w:hAnsiTheme="minorHAnsi" w:cs="Calibri"/>
          <w:szCs w:val="24"/>
        </w:rPr>
        <w:t>2</w:t>
      </w:r>
      <w:r w:rsidRPr="00783082">
        <w:rPr>
          <w:rFonts w:asciiTheme="minorHAnsi" w:hAnsiTheme="minorHAnsi" w:cs="Calibri"/>
          <w:szCs w:val="24"/>
        </w:rPr>
        <w:t>. 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>,</w:t>
      </w:r>
      <w:r w:rsidR="009B5476">
        <w:rPr>
          <w:rFonts w:ascii="Calibri" w:hAnsi="Calibri" w:cs="Calibri"/>
          <w:szCs w:val="24"/>
        </w:rPr>
        <w:t xml:space="preserve"> 11</w:t>
      </w:r>
      <w:r w:rsidRPr="003A7521">
        <w:rPr>
          <w:rFonts w:ascii="Calibri" w:hAnsi="Calibri" w:cs="Calibri"/>
          <w:szCs w:val="24"/>
        </w:rPr>
        <w:t xml:space="preserve"> de </w:t>
      </w:r>
      <w:r w:rsidR="00C86AE4">
        <w:rPr>
          <w:rFonts w:ascii="Calibri" w:hAnsi="Calibri" w:cs="Calibri"/>
          <w:szCs w:val="24"/>
        </w:rPr>
        <w:t>outubro</w:t>
      </w:r>
      <w:r w:rsidRPr="003A7521">
        <w:rPr>
          <w:rFonts w:ascii="Calibri" w:hAnsi="Calibri" w:cs="Calibri"/>
          <w:szCs w:val="24"/>
        </w:rPr>
        <w:t xml:space="preserve"> de 202</w:t>
      </w:r>
      <w:r w:rsidR="00DD5A76">
        <w:rPr>
          <w:rFonts w:ascii="Calibri" w:hAnsi="Calibri" w:cs="Calibri"/>
          <w:szCs w:val="24"/>
        </w:rPr>
        <w:t>3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646BC4" w:rsidP="00A0091D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3C6777">
      <w:headerReference w:type="default" r:id="rId6"/>
      <w:footerReference w:type="default" r:id="rId7"/>
      <w:pgSz w:w="11906" w:h="16838"/>
      <w:pgMar w:top="2522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FA62B0" w:rsidP="00DD5A76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</w:t>
            </w:r>
            <w:r w:rsidR="00DD5A76">
              <w:rPr>
                <w:sz w:val="18"/>
                <w:lang w:val="pt-PT"/>
              </w:rPr>
              <w:t>_____________________________</w:t>
            </w: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FA62B0" w:rsidP="00305026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FA62B0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37943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37943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A62B0">
      <w:pPr>
        <w:spacing w:after="0" w:line="240" w:lineRule="auto"/>
      </w:pPr>
      <w:r>
        <w:separator/>
      </w:r>
    </w:p>
  </w:footnote>
  <w:footnote w:type="continuationSeparator" w:id="1">
    <w:p w:rsidR="00FA62B0">
      <w:pPr>
        <w:spacing w:after="0" w:line="240" w:lineRule="auto"/>
      </w:pPr>
      <w:r>
        <w:continuationSeparator/>
      </w:r>
    </w:p>
  </w:footnote>
  <w:footnote w:id="2">
    <w:p w:rsidR="003C6777" w:rsidRPr="003C6777" w:rsidP="003C6777">
      <w:pPr>
        <w:pStyle w:val="FootnoteText"/>
        <w:jc w:val="both"/>
        <w:rPr>
          <w:rFonts w:asciiTheme="minorHAnsi" w:hAnsiTheme="minorHAnsi" w:cstheme="minorHAnsi"/>
          <w:i/>
        </w:rPr>
      </w:pPr>
      <w:r w:rsidRPr="003C6777">
        <w:rPr>
          <w:rStyle w:val="FootnoteReference"/>
          <w:i/>
        </w:rPr>
        <w:footnoteRef/>
      </w:r>
      <w:r w:rsidRPr="003C6777">
        <w:rPr>
          <w:i/>
        </w:rPr>
        <w:t xml:space="preserve"> </w:t>
      </w:r>
      <w:r w:rsidRPr="003C6777">
        <w:rPr>
          <w:rFonts w:asciiTheme="minorHAnsi" w:hAnsiTheme="minorHAnsi" w:cstheme="minorHAnsi"/>
          <w:i/>
        </w:rPr>
        <w:t xml:space="preserve">Nesse sentido é o entendimento do Supremo Tribunal Federal: 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C6777">
        <w:rPr>
          <w:rFonts w:asciiTheme="minorHAnsi" w:hAnsiTheme="minorHAnsi" w:cstheme="minorHAnsi"/>
          <w:i/>
        </w:rPr>
        <w:t>ex</w:t>
      </w:r>
      <w:r w:rsidRPr="003C6777">
        <w:rPr>
          <w:rFonts w:asciiTheme="minorHAnsi" w:hAnsiTheme="minorHAnsi" w:cstheme="minorHAnsi"/>
          <w:i/>
        </w:rPr>
        <w:t xml:space="preserve"> </w:t>
      </w:r>
      <w:r w:rsidRPr="003C6777">
        <w:rPr>
          <w:rFonts w:asciiTheme="minorHAnsi" w:hAnsiTheme="minorHAnsi" w:cstheme="minorHAnsi"/>
          <w:i/>
        </w:rPr>
        <w:t>oficio</w:t>
      </w:r>
      <w:r w:rsidRPr="003C6777">
        <w:rPr>
          <w:rFonts w:asciiTheme="minorHAnsi" w:hAnsiTheme="minorHAnsi" w:cstheme="minorHAnsi"/>
          <w:i/>
        </w:rPr>
        <w:t xml:space="preserve"> da lei. </w:t>
      </w:r>
      <w:r w:rsidRPr="003C6777">
        <w:rPr>
          <w:rFonts w:asciiTheme="minorHAnsi" w:hAnsiTheme="minorHAnsi" w:cstheme="minorHAnsi"/>
          <w:i/>
        </w:rPr>
        <w:t>Na oportunidade do julgamento, porquanto envolvido na espécie simples parecer, ou seja, ato opinativo que poderia ser, ou não, considerado pelo administrador.”</w:t>
      </w:r>
      <w:r w:rsidRPr="003C6777">
        <w:rPr>
          <w:rFonts w:asciiTheme="minorHAnsi" w:hAnsiTheme="minorHAnsi" w:cstheme="minorHAnsi"/>
          <w:i/>
        </w:rPr>
        <w:t xml:space="preserve"> (Mandado de Segurança n° 24.584-1 - Distrito Federal - Relator: Min. Marco Aurélio de Mello – STF.) </w:t>
      </w:r>
    </w:p>
    <w:p w:rsidR="003C6777" w:rsidRPr="003C6777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62B0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2B0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57705880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221654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898060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FA62B0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873028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837605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FA62B0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FA62B0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4F3A"/>
    <w:rsid w:val="0006682F"/>
    <w:rsid w:val="00097811"/>
    <w:rsid w:val="0011188D"/>
    <w:rsid w:val="00135680"/>
    <w:rsid w:val="001B125C"/>
    <w:rsid w:val="002E451A"/>
    <w:rsid w:val="00305026"/>
    <w:rsid w:val="003A7521"/>
    <w:rsid w:val="003C6777"/>
    <w:rsid w:val="003D4024"/>
    <w:rsid w:val="004475D4"/>
    <w:rsid w:val="00497D51"/>
    <w:rsid w:val="005D6203"/>
    <w:rsid w:val="00614E1F"/>
    <w:rsid w:val="00646BC4"/>
    <w:rsid w:val="006A5F1B"/>
    <w:rsid w:val="00724E61"/>
    <w:rsid w:val="00743FE1"/>
    <w:rsid w:val="00783082"/>
    <w:rsid w:val="007C02EA"/>
    <w:rsid w:val="008310FD"/>
    <w:rsid w:val="009B5476"/>
    <w:rsid w:val="009D2232"/>
    <w:rsid w:val="009F744C"/>
    <w:rsid w:val="00A0091D"/>
    <w:rsid w:val="00A779B8"/>
    <w:rsid w:val="00AD09BD"/>
    <w:rsid w:val="00AF01F9"/>
    <w:rsid w:val="00C07FAF"/>
    <w:rsid w:val="00C86AE4"/>
    <w:rsid w:val="00D1345C"/>
    <w:rsid w:val="00D37943"/>
    <w:rsid w:val="00DA5745"/>
    <w:rsid w:val="00DD45D3"/>
    <w:rsid w:val="00DD5A76"/>
    <w:rsid w:val="00E31B93"/>
    <w:rsid w:val="00EA1CEF"/>
    <w:rsid w:val="00F33184"/>
    <w:rsid w:val="00F53BEF"/>
    <w:rsid w:val="00FA62B0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FA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unhideWhenUsed/>
    <w:rsid w:val="003C677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3C677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C6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E34C-A237-4502-9AFB-2DD6967D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dcterms:created xsi:type="dcterms:W3CDTF">2023-10-10T16:23:00Z</dcterms:created>
  <dcterms:modified xsi:type="dcterms:W3CDTF">2023-10-16T19:57:00Z</dcterms:modified>
</cp:coreProperties>
</file>