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C77A98" w:rsidP="00D92B73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C77A98">
        <w:rPr>
          <w:rFonts w:asciiTheme="minorHAnsi" w:hAnsiTheme="minorHAnsi" w:cstheme="minorHAnsi"/>
          <w:b/>
          <w:color w:val="auto"/>
        </w:rPr>
        <w:t>Parecer Jurídico nº</w:t>
      </w:r>
      <w:r w:rsidRPr="00C77A98" w:rsidR="000144A5">
        <w:rPr>
          <w:rFonts w:asciiTheme="minorHAnsi" w:hAnsiTheme="minorHAnsi" w:cstheme="minorHAnsi"/>
          <w:b/>
          <w:color w:val="auto"/>
        </w:rPr>
        <w:t xml:space="preserve"> </w:t>
      </w:r>
      <w:r w:rsidR="00DB478D">
        <w:rPr>
          <w:rFonts w:asciiTheme="minorHAnsi" w:hAnsiTheme="minorHAnsi" w:cstheme="minorHAnsi"/>
          <w:b/>
          <w:color w:val="auto"/>
        </w:rPr>
        <w:t>34</w:t>
      </w:r>
      <w:r w:rsidR="00E2449D">
        <w:rPr>
          <w:rFonts w:asciiTheme="minorHAnsi" w:hAnsiTheme="minorHAnsi" w:cstheme="minorHAnsi"/>
          <w:b/>
          <w:color w:val="auto"/>
        </w:rPr>
        <w:t>8</w:t>
      </w:r>
      <w:r w:rsidRPr="00C77A98">
        <w:rPr>
          <w:rFonts w:asciiTheme="minorHAnsi" w:hAnsiTheme="minorHAnsi" w:cstheme="minorHAnsi"/>
          <w:b/>
          <w:color w:val="auto"/>
        </w:rPr>
        <w:t>/202</w:t>
      </w:r>
      <w:r w:rsidRPr="00C77A98" w:rsidR="00184C16">
        <w:rPr>
          <w:rFonts w:asciiTheme="minorHAnsi" w:hAnsiTheme="minorHAnsi" w:cstheme="minorHAnsi"/>
          <w:b/>
          <w:color w:val="auto"/>
        </w:rPr>
        <w:t>3</w:t>
      </w:r>
      <w:r w:rsidRPr="00C77A98">
        <w:rPr>
          <w:rFonts w:asciiTheme="minorHAnsi" w:hAnsiTheme="minorHAnsi" w:cstheme="minorHAnsi"/>
          <w:b/>
          <w:color w:val="auto"/>
        </w:rPr>
        <w:t>.</w:t>
      </w:r>
    </w:p>
    <w:p w:rsidR="003C269B" w:rsidRPr="001E54DB" w:rsidP="001E54DB">
      <w:pPr>
        <w:spacing w:after="0" w:line="240" w:lineRule="auto"/>
        <w:jc w:val="both"/>
        <w:rPr>
          <w:rFonts w:eastAsia="Calibri" w:asciiTheme="minorHAnsi" w:hAnsiTheme="minorHAnsi" w:cstheme="minorHAnsi"/>
          <w:i/>
          <w:color w:val="000000"/>
          <w:szCs w:val="24"/>
        </w:rPr>
      </w:pPr>
      <w:r w:rsidRPr="001C49E1">
        <w:rPr>
          <w:rFonts w:asciiTheme="minorHAnsi" w:hAnsiTheme="minorHAnsi" w:cstheme="minorHAnsi"/>
          <w:b/>
          <w:bCs/>
          <w:szCs w:val="24"/>
        </w:rPr>
        <w:t>Assunto: Emenda 0</w:t>
      </w:r>
      <w:r w:rsidR="00DB478D">
        <w:rPr>
          <w:rFonts w:asciiTheme="minorHAnsi" w:hAnsiTheme="minorHAnsi" w:cstheme="minorHAnsi"/>
          <w:b/>
          <w:bCs/>
          <w:szCs w:val="24"/>
        </w:rPr>
        <w:t>2</w:t>
      </w:r>
      <w:r w:rsidRPr="001C49E1">
        <w:rPr>
          <w:rFonts w:asciiTheme="minorHAnsi" w:hAnsiTheme="minorHAnsi" w:cstheme="minorHAnsi"/>
          <w:b/>
          <w:bCs/>
          <w:szCs w:val="24"/>
        </w:rPr>
        <w:t xml:space="preserve"> ao </w:t>
      </w:r>
      <w:r w:rsidRPr="001C49E1" w:rsidR="00D06E04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="001E54DB">
        <w:rPr>
          <w:rFonts w:asciiTheme="minorHAnsi" w:hAnsiTheme="minorHAnsi" w:cstheme="minorHAnsi"/>
          <w:b/>
          <w:bCs/>
          <w:szCs w:val="24"/>
        </w:rPr>
        <w:t>4</w:t>
      </w:r>
      <w:r w:rsidR="0079728A">
        <w:rPr>
          <w:rFonts w:asciiTheme="minorHAnsi" w:hAnsiTheme="minorHAnsi" w:cstheme="minorHAnsi"/>
          <w:b/>
          <w:bCs/>
          <w:szCs w:val="24"/>
        </w:rPr>
        <w:t>1</w:t>
      </w:r>
      <w:r w:rsidRPr="001C49E1" w:rsidR="00184C16">
        <w:rPr>
          <w:rFonts w:asciiTheme="minorHAnsi" w:hAnsiTheme="minorHAnsi" w:cstheme="minorHAnsi"/>
          <w:b/>
          <w:bCs/>
          <w:szCs w:val="24"/>
        </w:rPr>
        <w:t>/202</w:t>
      </w:r>
      <w:r w:rsidR="0079728A">
        <w:rPr>
          <w:rFonts w:asciiTheme="minorHAnsi" w:hAnsiTheme="minorHAnsi" w:cstheme="minorHAnsi"/>
          <w:b/>
          <w:bCs/>
          <w:szCs w:val="24"/>
        </w:rPr>
        <w:t>3</w:t>
      </w:r>
      <w:r w:rsidRPr="001C49E1" w:rsidR="001121D0">
        <w:rPr>
          <w:rFonts w:asciiTheme="minorHAnsi" w:hAnsiTheme="minorHAnsi" w:cstheme="minorHAnsi"/>
          <w:bCs/>
          <w:szCs w:val="24"/>
        </w:rPr>
        <w:t xml:space="preserve"> </w:t>
      </w:r>
      <w:r w:rsidR="00196AA5">
        <w:rPr>
          <w:rFonts w:eastAsia="Calibri" w:asciiTheme="minorHAnsi" w:hAnsiTheme="minorHAnsi" w:cstheme="minorHAnsi"/>
          <w:szCs w:val="24"/>
        </w:rPr>
        <w:t xml:space="preserve">que </w:t>
      </w:r>
      <w:r w:rsidRPr="00196AA5" w:rsidR="00196AA5">
        <w:rPr>
          <w:rFonts w:asciiTheme="minorHAnsi" w:hAnsiTheme="minorHAnsi" w:cstheme="minorHAnsi"/>
        </w:rPr>
        <w:t>“</w:t>
      </w:r>
      <w:r w:rsidRPr="00196AA5" w:rsidR="00196AA5">
        <w:rPr>
          <w:rFonts w:asciiTheme="minorHAnsi" w:hAnsiTheme="minorHAnsi" w:cstheme="minorHAnsi"/>
          <w:i/>
        </w:rPr>
        <w:t>Institui o Programa de Cultura de Paz e Combate à Violência em Ambientes Pú</w:t>
      </w:r>
      <w:r w:rsidR="00196AA5">
        <w:rPr>
          <w:rFonts w:asciiTheme="minorHAnsi" w:hAnsiTheme="minorHAnsi" w:cstheme="minorHAnsi"/>
          <w:i/>
        </w:rPr>
        <w:t>blicos e dá outras providências</w:t>
      </w:r>
      <w:r w:rsidRPr="001E54DB" w:rsidR="001E54DB">
        <w:rPr>
          <w:rFonts w:eastAsia="Calibri" w:asciiTheme="minorHAnsi" w:hAnsiTheme="minorHAnsi" w:cstheme="minorHAnsi"/>
          <w:i/>
          <w:color w:val="000000"/>
          <w:szCs w:val="24"/>
        </w:rPr>
        <w:t>”</w:t>
      </w:r>
      <w:r w:rsidR="009663D4">
        <w:rPr>
          <w:rFonts w:eastAsia="Calibri" w:asciiTheme="minorHAnsi" w:hAnsiTheme="minorHAnsi" w:cstheme="minorHAnsi"/>
          <w:i/>
          <w:color w:val="000000"/>
          <w:szCs w:val="24"/>
        </w:rPr>
        <w:t>.</w:t>
      </w:r>
    </w:p>
    <w:p w:rsidR="005F4237" w:rsidRPr="001C49E1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b/>
          <w:szCs w:val="24"/>
        </w:rPr>
        <w:t xml:space="preserve">Autoria da Emenda: </w:t>
      </w:r>
      <w:r w:rsidRPr="001C49E1" w:rsidR="003C269B">
        <w:rPr>
          <w:rFonts w:eastAsia="Calibri" w:asciiTheme="minorHAnsi" w:hAnsiTheme="minorHAnsi" w:cstheme="minorHAnsi"/>
          <w:szCs w:val="24"/>
        </w:rPr>
        <w:t>Vereador</w:t>
      </w:r>
      <w:r w:rsidR="00DB478D">
        <w:rPr>
          <w:rFonts w:eastAsia="Calibri" w:asciiTheme="minorHAnsi" w:hAnsiTheme="minorHAnsi" w:cstheme="minorHAnsi"/>
          <w:szCs w:val="24"/>
        </w:rPr>
        <w:t>es</w:t>
      </w:r>
      <w:r w:rsidR="0079728A">
        <w:rPr>
          <w:rFonts w:eastAsia="Calibri" w:asciiTheme="minorHAnsi" w:hAnsiTheme="minorHAnsi" w:cstheme="minorHAnsi"/>
          <w:szCs w:val="24"/>
        </w:rPr>
        <w:t xml:space="preserve"> </w:t>
      </w:r>
      <w:r w:rsidRPr="00DB478D" w:rsidR="00DB478D">
        <w:rPr>
          <w:rFonts w:eastAsia="Calibri" w:asciiTheme="minorHAnsi" w:hAnsiTheme="minorHAnsi" w:cstheme="minorHAnsi"/>
          <w:szCs w:val="24"/>
        </w:rPr>
        <w:t>André Amaral, Fábio Damasceno, Mayr, Toloi, Simone Bellini, Henrique Conti, Alexandre "Japa"</w:t>
      </w:r>
      <w:r w:rsidRPr="001C49E1" w:rsidR="00DB478D">
        <w:rPr>
          <w:rFonts w:eastAsia="Calibri" w:asciiTheme="minorHAnsi" w:hAnsiTheme="minorHAnsi" w:cstheme="minorHAnsi"/>
          <w:szCs w:val="24"/>
        </w:rPr>
        <w:t>.</w:t>
      </w:r>
    </w:p>
    <w:p w:rsidR="005F4237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214988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214988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À Comissão de Justiça e Redação,</w:t>
      </w: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Exmo.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>Sr.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Presidente</w:t>
      </w:r>
      <w:r w:rsidRPr="001C49E1" w:rsidR="001A7907">
        <w:rPr>
          <w:rFonts w:asciiTheme="minorHAnsi" w:hAnsiTheme="minorHAnsi" w:cstheme="minorHAnsi"/>
          <w:b/>
          <w:i/>
          <w:color w:val="auto"/>
        </w:rPr>
        <w:t xml:space="preserve"> Vereador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8A0037">
        <w:rPr>
          <w:rFonts w:asciiTheme="minorHAnsi" w:hAnsiTheme="minorHAnsi" w:cstheme="minorHAnsi"/>
          <w:b/>
          <w:i/>
          <w:color w:val="auto"/>
        </w:rPr>
        <w:t xml:space="preserve">Gabriel Bueno. </w:t>
      </w: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DE4F3E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21498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bookmarkStart w:id="0" w:name="_GoBack"/>
      <w:bookmarkEnd w:id="0"/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C269B" w:rsidRPr="000144A5" w:rsidP="000144A5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C49E1" w:rsidR="00F66D55">
        <w:rPr>
          <w:rFonts w:asciiTheme="minorHAnsi" w:hAnsiTheme="minorHAnsi" w:cstheme="minorHAnsi"/>
          <w:color w:val="auto"/>
        </w:rPr>
        <w:t>em epígrafe</w:t>
      </w:r>
      <w:r w:rsidRPr="001C49E1">
        <w:rPr>
          <w:rFonts w:asciiTheme="minorHAnsi" w:hAnsiTheme="minorHAnsi" w:cstheme="minorHAnsi"/>
          <w:color w:val="auto"/>
        </w:rPr>
        <w:t xml:space="preserve"> </w:t>
      </w:r>
      <w:r w:rsidRPr="001C49E1" w:rsidR="001A7907">
        <w:rPr>
          <w:rFonts w:asciiTheme="minorHAnsi" w:hAnsiTheme="minorHAnsi" w:cstheme="minorHAnsi"/>
          <w:color w:val="auto"/>
        </w:rPr>
        <w:t>que</w:t>
      </w:r>
      <w:r w:rsidRPr="001C49E1">
        <w:rPr>
          <w:rFonts w:asciiTheme="minorHAnsi" w:hAnsiTheme="minorHAnsi" w:cstheme="minorHAnsi"/>
          <w:color w:val="auto"/>
        </w:rPr>
        <w:t xml:space="preserve"> tenciona</w:t>
      </w:r>
      <w:r w:rsidRPr="001C49E1" w:rsidR="001A7907">
        <w:rPr>
          <w:rFonts w:asciiTheme="minorHAnsi" w:hAnsiTheme="minorHAnsi" w:cstheme="minorHAnsi"/>
          <w:color w:val="auto"/>
        </w:rPr>
        <w:t xml:space="preserve"> </w:t>
      </w:r>
      <w:r w:rsidR="000144A5">
        <w:rPr>
          <w:rFonts w:asciiTheme="minorHAnsi" w:hAnsiTheme="minorHAnsi" w:cstheme="minorHAnsi"/>
          <w:color w:val="auto"/>
        </w:rPr>
        <w:t>alterar o</w:t>
      </w:r>
      <w:r w:rsidR="0079728A">
        <w:rPr>
          <w:rFonts w:asciiTheme="minorHAnsi" w:hAnsiTheme="minorHAnsi" w:cstheme="minorHAnsi"/>
          <w:color w:val="auto"/>
        </w:rPr>
        <w:t>s</w:t>
      </w:r>
      <w:r w:rsidR="000144A5">
        <w:rPr>
          <w:rFonts w:asciiTheme="minorHAnsi" w:hAnsiTheme="minorHAnsi" w:cstheme="minorHAnsi"/>
          <w:color w:val="auto"/>
        </w:rPr>
        <w:t xml:space="preserve"> </w:t>
      </w:r>
      <w:r w:rsidRPr="000144A5" w:rsidR="000144A5">
        <w:rPr>
          <w:rFonts w:asciiTheme="minorHAnsi" w:hAnsiTheme="minorHAnsi" w:cstheme="minorHAnsi"/>
          <w:color w:val="auto"/>
        </w:rPr>
        <w:t>artigo</w:t>
      </w:r>
      <w:r w:rsidR="0079728A">
        <w:rPr>
          <w:rFonts w:asciiTheme="minorHAnsi" w:hAnsiTheme="minorHAnsi" w:cstheme="minorHAnsi"/>
          <w:color w:val="auto"/>
        </w:rPr>
        <w:t>s</w:t>
      </w:r>
      <w:r w:rsidRPr="000144A5" w:rsidR="000144A5">
        <w:rPr>
          <w:rFonts w:asciiTheme="minorHAnsi" w:hAnsiTheme="minorHAnsi" w:cstheme="minorHAnsi"/>
          <w:color w:val="auto"/>
        </w:rPr>
        <w:t xml:space="preserve"> </w:t>
      </w:r>
      <w:r w:rsidR="00196AA5">
        <w:rPr>
          <w:rFonts w:asciiTheme="minorHAnsi" w:hAnsiTheme="minorHAnsi" w:cstheme="minorHAnsi"/>
          <w:color w:val="auto"/>
        </w:rPr>
        <w:t>2</w:t>
      </w:r>
      <w:r w:rsidR="0079728A">
        <w:rPr>
          <w:rFonts w:asciiTheme="minorHAnsi" w:hAnsiTheme="minorHAnsi" w:cstheme="minorHAnsi"/>
          <w:color w:val="auto"/>
        </w:rPr>
        <w:t>º</w:t>
      </w:r>
      <w:r w:rsidR="00196AA5">
        <w:rPr>
          <w:rFonts w:asciiTheme="minorHAnsi" w:hAnsiTheme="minorHAnsi" w:cstheme="minorHAnsi"/>
          <w:color w:val="auto"/>
        </w:rPr>
        <w:t xml:space="preserve"> e </w:t>
      </w:r>
      <w:r w:rsidR="00DB478D">
        <w:rPr>
          <w:rFonts w:asciiTheme="minorHAnsi" w:hAnsiTheme="minorHAnsi" w:cstheme="minorHAnsi"/>
          <w:color w:val="auto"/>
        </w:rPr>
        <w:t>incisos I, II e IV do art. 4º</w:t>
      </w:r>
      <w:r w:rsidR="0079728A">
        <w:rPr>
          <w:rFonts w:asciiTheme="minorHAnsi" w:hAnsiTheme="minorHAnsi" w:cstheme="minorHAnsi"/>
          <w:color w:val="auto"/>
        </w:rPr>
        <w:t xml:space="preserve"> do Projeto de Lei nº </w:t>
      </w:r>
      <w:r w:rsidR="001E54DB">
        <w:rPr>
          <w:rFonts w:asciiTheme="minorHAnsi" w:hAnsiTheme="minorHAnsi" w:cstheme="minorHAnsi"/>
          <w:color w:val="auto"/>
        </w:rPr>
        <w:t>4</w:t>
      </w:r>
      <w:r w:rsidR="0079728A">
        <w:rPr>
          <w:rFonts w:asciiTheme="minorHAnsi" w:hAnsiTheme="minorHAnsi" w:cstheme="minorHAnsi"/>
          <w:color w:val="auto"/>
        </w:rPr>
        <w:t>1</w:t>
      </w:r>
      <w:r w:rsidRPr="000144A5" w:rsidR="000144A5">
        <w:rPr>
          <w:rFonts w:asciiTheme="minorHAnsi" w:hAnsiTheme="minorHAnsi" w:cstheme="minorHAnsi"/>
          <w:color w:val="auto"/>
        </w:rPr>
        <w:t>/202</w:t>
      </w:r>
      <w:r w:rsidR="001E54DB">
        <w:rPr>
          <w:rFonts w:asciiTheme="minorHAnsi" w:hAnsiTheme="minorHAnsi" w:cstheme="minorHAnsi"/>
          <w:color w:val="auto"/>
        </w:rPr>
        <w:t>2</w:t>
      </w:r>
      <w:r w:rsidR="000144A5">
        <w:rPr>
          <w:rFonts w:asciiTheme="minorHAnsi" w:hAnsiTheme="minorHAnsi" w:cstheme="minorHAnsi"/>
          <w:color w:val="auto"/>
        </w:rPr>
        <w:t>, que</w:t>
      </w:r>
      <w:r w:rsidR="001E54DB">
        <w:rPr>
          <w:rFonts w:asciiTheme="minorHAnsi" w:hAnsiTheme="minorHAnsi" w:cstheme="minorHAnsi"/>
          <w:color w:val="auto"/>
        </w:rPr>
        <w:t xml:space="preserve"> </w:t>
      </w:r>
      <w:r w:rsidRPr="00196AA5" w:rsidR="001E54DB">
        <w:rPr>
          <w:rFonts w:asciiTheme="minorHAnsi" w:hAnsiTheme="minorHAnsi" w:cstheme="minorHAnsi"/>
          <w:color w:val="auto"/>
        </w:rPr>
        <w:t>“</w:t>
      </w:r>
      <w:r w:rsidRPr="00196AA5" w:rsidR="00196AA5">
        <w:rPr>
          <w:rFonts w:asciiTheme="minorHAnsi" w:hAnsiTheme="minorHAnsi" w:cstheme="minorHAnsi"/>
          <w:i/>
          <w:color w:val="auto"/>
        </w:rPr>
        <w:t>Institui o Programa de Cultura de Paz e Combate à Violência em Ambientes Pú</w:t>
      </w:r>
      <w:r w:rsidR="00196AA5">
        <w:rPr>
          <w:rFonts w:asciiTheme="minorHAnsi" w:hAnsiTheme="minorHAnsi" w:cstheme="minorHAnsi"/>
          <w:i/>
          <w:color w:val="auto"/>
        </w:rPr>
        <w:t>blicos e dá outras providências</w:t>
      </w:r>
      <w:r w:rsidRPr="00196AA5" w:rsidR="00196AA5">
        <w:rPr>
          <w:rFonts w:asciiTheme="minorHAnsi" w:hAnsiTheme="minorHAnsi" w:cstheme="minorHAnsi"/>
          <w:i/>
          <w:color w:val="auto"/>
        </w:rPr>
        <w:t>”,</w:t>
      </w:r>
      <w:r w:rsidRPr="001C49E1">
        <w:rPr>
          <w:rFonts w:asciiTheme="minorHAnsi" w:hAnsiTheme="minorHAnsi" w:cstheme="minorHAnsi"/>
        </w:rPr>
        <w:t xml:space="preserve"> nos seguintes termos:</w:t>
      </w:r>
    </w:p>
    <w:tbl>
      <w:tblPr>
        <w:tblStyle w:val="TableGrid"/>
        <w:tblW w:w="8897" w:type="dxa"/>
        <w:tblLayout w:type="fixed"/>
        <w:tblLook w:val="04A0"/>
      </w:tblPr>
      <w:tblGrid>
        <w:gridCol w:w="4219"/>
        <w:gridCol w:w="4678"/>
      </w:tblGrid>
      <w:tr w:rsidTr="009B6209">
        <w:tblPrEx>
          <w:tblW w:w="8897" w:type="dxa"/>
          <w:tblLayout w:type="fixed"/>
          <w:tblLook w:val="04A0"/>
        </w:tblPrEx>
        <w:tc>
          <w:tcPr>
            <w:tcW w:w="4219" w:type="dxa"/>
          </w:tcPr>
          <w:p w:rsidR="00214988" w:rsidP="00DB478D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RPr="00E000C3" w:rsidP="00DB478D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Redação proposta no PL nº 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  <w:r w:rsidR="007972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="007972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214988" w:rsidP="00DB478D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P="00DB478D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Emenda 0</w:t>
            </w:r>
            <w:r w:rsidR="00DB478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ao </w:t>
            </w:r>
            <w:r w:rsidRPr="00E000C3" w:rsidR="00D06E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 nº </w:t>
            </w:r>
            <w:r w:rsidRPr="00E000C3" w:rsidR="001E54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  <w:r w:rsidR="007972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E000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="007972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:rsidR="00214988" w:rsidRPr="00E000C3" w:rsidP="00DB478D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  <w:tr w:rsidTr="009B6209">
        <w:tblPrEx>
          <w:tblW w:w="8897" w:type="dxa"/>
          <w:tblLayout w:type="fixed"/>
          <w:tblLook w:val="04A0"/>
        </w:tblPrEx>
        <w:tc>
          <w:tcPr>
            <w:tcW w:w="4219" w:type="dxa"/>
          </w:tcPr>
          <w:p w:rsidR="00214988" w:rsidP="00DB478D">
            <w:pPr>
              <w:spacing w:after="12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663D4" w:rsidRPr="00E000C3" w:rsidP="00DB478D">
            <w:pPr>
              <w:spacing w:after="12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37F38">
              <w:rPr>
                <w:rFonts w:asciiTheme="minorHAnsi" w:hAnsiTheme="minorHAnsi"/>
                <w:b/>
                <w:i/>
                <w:sz w:val="22"/>
                <w:szCs w:val="22"/>
              </w:rPr>
              <w:t>Art. 2º -</w:t>
            </w:r>
            <w:r w:rsidRPr="009B6209">
              <w:rPr>
                <w:rFonts w:asciiTheme="minorHAnsi" w:hAnsiTheme="minorHAnsi"/>
                <w:i/>
                <w:sz w:val="22"/>
                <w:szCs w:val="22"/>
              </w:rPr>
              <w:t xml:space="preserve"> O Programa deve ter como objetivo promover ações coordenadas e integradas entre as comunidades </w:t>
            </w: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>dos territórios,</w:t>
            </w:r>
            <w:r w:rsidRPr="009B6209">
              <w:rPr>
                <w:rFonts w:asciiTheme="minorHAnsi" w:hAnsiTheme="minorHAnsi"/>
                <w:i/>
                <w:sz w:val="22"/>
                <w:szCs w:val="22"/>
              </w:rPr>
              <w:t xml:space="preserve"> organizações da sociedade civil e as secretarias públicas, com ênfase às de saúde, educação, assistência social e segurança pública, para estimular a cultura de paz e combater as variadas formas de violências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em ambientes públicos, sejam físicas, psicológicas ou quaisquer outras, inclusas as discriminações de gênero, orientação sexual, raça, etnia, origem, religião,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capacitismo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,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etarismo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e todas as demais existentes.</w:t>
            </w:r>
          </w:p>
        </w:tc>
        <w:tc>
          <w:tcPr>
            <w:tcW w:w="4678" w:type="dxa"/>
          </w:tcPr>
          <w:p w:rsidR="00214988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9728A" w:rsidRPr="00196AA5" w:rsidP="00DB478D">
            <w:pPr>
              <w:autoSpaceDE w:val="0"/>
              <w:autoSpaceDN w:val="0"/>
              <w:adjustRightInd w:val="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B478D">
              <w:rPr>
                <w:rFonts w:asciiTheme="minorHAnsi" w:hAnsiTheme="minorHAnsi"/>
                <w:b/>
                <w:i/>
                <w:sz w:val="22"/>
                <w:szCs w:val="22"/>
              </w:rPr>
              <w:t>Art. 2º.</w:t>
            </w: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 xml:space="preserve"> O Programa deve ter como objetivo promover ações coordenadas e integradas entre as comunidades dos bairros e locais, as organizações da sociedade civil e as secretarias públicas, com ênfase às de saúde, educação, assistência social e segurança pública, para estimular a cultura de paz e combater todas as formas de violências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existentes em ambientes públicos.</w:t>
            </w:r>
          </w:p>
        </w:tc>
      </w:tr>
      <w:tr w:rsidTr="003B108B">
        <w:tblPrEx>
          <w:tblW w:w="8897" w:type="dxa"/>
          <w:tblLayout w:type="fixed"/>
          <w:tblLook w:val="04A0"/>
        </w:tblPrEx>
        <w:trPr>
          <w:trHeight w:val="3676"/>
        </w:trPr>
        <w:tc>
          <w:tcPr>
            <w:tcW w:w="4219" w:type="dxa"/>
          </w:tcPr>
          <w:p w:rsidR="00DB478D" w:rsidP="00DB478D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037F3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Art.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037F38">
              <w:rPr>
                <w:rFonts w:asciiTheme="minorHAnsi" w:hAnsiTheme="minorHAnsi"/>
                <w:b/>
                <w:i/>
                <w:sz w:val="22"/>
                <w:szCs w:val="22"/>
              </w:rPr>
              <w:t>º</w:t>
            </w:r>
            <w:r w:rsidRPr="009B6209">
              <w:rPr>
                <w:rFonts w:asciiTheme="minorHAnsi" w:hAnsiTheme="minorHAnsi"/>
                <w:i/>
                <w:sz w:val="22"/>
                <w:szCs w:val="22"/>
              </w:rPr>
              <w:t xml:space="preserve"> - </w:t>
            </w:r>
            <w:r w:rsidRPr="00DB478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Deverão ser treinadas ações de prevenção à violência e promoção da cultura de paz nos seguintes ambientes públicos:</w:t>
            </w:r>
          </w:p>
          <w:p w:rsidR="00DB478D" w:rsidRPr="00DB478D" w:rsidP="00DB47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B478D" w:rsidRPr="003B108B" w:rsidP="00DB478D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u w:val="single"/>
              </w:rPr>
            </w:pPr>
            <w:r w:rsidRPr="00DB478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I - Escolas e unidades de ensino: </w:t>
            </w:r>
            <w:r w:rsidRPr="003B108B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u w:val="single"/>
              </w:rPr>
              <w:t>ações de educação para a paz, mediação de conflitos, promoção de valores e práticas de respeito à diversidade;</w:t>
            </w:r>
          </w:p>
          <w:p w:rsidR="00DB478D" w:rsidRPr="003B108B" w:rsidP="00DB478D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u w:val="single"/>
              </w:rPr>
            </w:pPr>
            <w:r w:rsidRPr="00DB478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II - Unidades de saúde: ações de acolhimento e cuidado em situações de violência, capacitação dos profissionais para o atendimento humanizado e ações de prevenção da violência doméstica </w:t>
            </w:r>
            <w:r w:rsidRPr="003B108B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u w:val="single"/>
              </w:rPr>
              <w:t>e de gênero;</w:t>
            </w:r>
          </w:p>
          <w:p w:rsidR="00181E07" w:rsidP="00DB478D">
            <w:pPr>
              <w:widowControl w:val="0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...</w:t>
            </w:r>
          </w:p>
          <w:p w:rsidR="00DB478D" w:rsidRPr="00DB478D" w:rsidP="00DB478D">
            <w:pPr>
              <w:widowControl w:val="0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DB478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IV - Unidades de segurança pública: treinamentos e capacitações que promovam a conscientização sobre a importância da cultura de paz, para o respeito </w:t>
            </w:r>
            <w:r w:rsidRPr="003B108B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u w:val="single"/>
              </w:rPr>
              <w:t>à diversidade e direitos humanos, também ao enfrentamento das formas de violências</w:t>
            </w:r>
            <w:r w:rsidRPr="00181E0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;</w:t>
            </w:r>
          </w:p>
          <w:p w:rsidR="00DB478D" w:rsidRPr="00DB478D" w:rsidP="00DB478D">
            <w:pPr>
              <w:widowControl w:val="0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....</w:t>
            </w:r>
          </w:p>
          <w:p w:rsidR="00DB478D" w:rsidRPr="00E000C3" w:rsidP="00DB478D">
            <w:pPr>
              <w:spacing w:after="12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DB478D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B47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Art. 4º. … </w:t>
            </w:r>
          </w:p>
          <w:p w:rsidR="00DB478D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B478D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B478D" w:rsidRPr="00DB478D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B478D" w:rsidRPr="003B108B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 xml:space="preserve">I – Escolas e Unidades de Ensino: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estímulo à participação dos estudantes, dos professores e dos funcionários das escolas públicas em atividades que incentivem a cultura da paz; </w:t>
            </w:r>
          </w:p>
          <w:p w:rsidR="00DB478D" w:rsidRPr="00181E07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 xml:space="preserve">II - Unidades de saúde: ações de acolhimento e cuidado em situações de violência, capacitação dos profissionais para o atendimento humanizado e ações de prevenção da violência doméstica,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sobretudo contra mulheres, crianças e adolescentes;</w:t>
            </w:r>
            <w:r w:rsidRPr="00181E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DB478D" w:rsidP="00DB47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 xml:space="preserve">… </w:t>
            </w:r>
          </w:p>
          <w:p w:rsidR="00DB478D" w:rsidRPr="00196AA5" w:rsidP="00DB478D">
            <w:pPr>
              <w:autoSpaceDE w:val="0"/>
              <w:autoSpaceDN w:val="0"/>
              <w:adjustRightInd w:val="0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B478D">
              <w:rPr>
                <w:rFonts w:asciiTheme="minorHAnsi" w:hAnsiTheme="minorHAnsi"/>
                <w:i/>
                <w:sz w:val="22"/>
                <w:szCs w:val="22"/>
              </w:rPr>
              <w:t xml:space="preserve">IV - Unidades de segurança pública: treinamentos e capacitações que promovam a conscientização sobre a importância da cultura de paz para o respeito </w:t>
            </w:r>
            <w:r w:rsidRPr="003B108B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entre os diferentes grupos sociais e aos direitos humanos e para a prevenção e enfrentamento de todas as situações de violência</w:t>
            </w:r>
            <w:r w:rsidRPr="003B108B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;</w:t>
            </w:r>
          </w:p>
        </w:tc>
      </w:tr>
    </w:tbl>
    <w:p w:rsidR="003C269B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A779B8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i/>
          <w:color w:val="auto"/>
        </w:rPr>
        <w:t>Ab initio</w:t>
      </w:r>
      <w:r w:rsidRPr="001C49E1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C49E1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Outrossim</w:t>
      </w:r>
      <w:r w:rsidRPr="001C49E1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C49E1">
        <w:rPr>
          <w:rFonts w:asciiTheme="minorHAnsi" w:hAnsiTheme="minorHAnsi" w:cstheme="minorHAnsi"/>
          <w:b/>
          <w:szCs w:val="24"/>
        </w:rPr>
        <w:t>não tem força vinculante,</w:t>
      </w:r>
      <w:r w:rsidRPr="001C49E1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Pr="001C49E1" w:rsidR="006D0DE0">
        <w:rPr>
          <w:rFonts w:asciiTheme="minorHAnsi" w:hAnsiTheme="minorHAnsi" w:cstheme="minorHAnsi"/>
          <w:szCs w:val="24"/>
        </w:rPr>
        <w:t xml:space="preserve"> </w:t>
      </w:r>
      <w:r w:rsidRPr="001C49E1">
        <w:rPr>
          <w:rFonts w:asciiTheme="minorHAnsi" w:hAnsiTheme="minorHAnsi" w:cstheme="minorHAnsi"/>
        </w:rPr>
        <w:t xml:space="preserve">Nesse sentido é o entendimento do </w:t>
      </w:r>
      <w:r w:rsidRPr="001C49E1" w:rsidR="007E38B4">
        <w:rPr>
          <w:rFonts w:asciiTheme="minorHAnsi" w:hAnsiTheme="minorHAnsi" w:cstheme="minorHAnsi"/>
        </w:rPr>
        <w:t xml:space="preserve">C. </w:t>
      </w:r>
      <w:r w:rsidRPr="001C49E1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C49E1" w:rsidR="001A7907">
        <w:rPr>
          <w:rFonts w:asciiTheme="minorHAnsi" w:hAnsiTheme="minorHAnsi" w:cstheme="minorHAnsi"/>
        </w:rPr>
        <w:t>.</w:t>
      </w:r>
    </w:p>
    <w:p w:rsidR="00A779B8" w:rsidRPr="001C49E1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C49E1" w:rsidR="007E38B4">
        <w:rPr>
          <w:rFonts w:eastAsia="Calibri" w:asciiTheme="minorHAnsi" w:hAnsiTheme="minorHAnsi" w:cstheme="minorHAnsi"/>
          <w:szCs w:val="24"/>
        </w:rPr>
        <w:t>, passamos à</w:t>
      </w:r>
      <w:r w:rsidRPr="001C49E1">
        <w:rPr>
          <w:rFonts w:eastAsia="Calibri" w:asciiTheme="minorHAnsi" w:hAnsiTheme="minorHAnsi" w:cstheme="minorHAnsi"/>
          <w:szCs w:val="24"/>
        </w:rPr>
        <w:t xml:space="preserve"> </w:t>
      </w:r>
      <w:r w:rsidRPr="001C49E1">
        <w:rPr>
          <w:rFonts w:eastAsia="Calibri" w:asciiTheme="minorHAnsi" w:hAnsiTheme="minorHAnsi" w:cstheme="minorHAnsi"/>
          <w:b/>
          <w:szCs w:val="24"/>
        </w:rPr>
        <w:t>análise técnica</w:t>
      </w:r>
      <w:r w:rsidRPr="001C49E1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C49E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No que tange aos projetos de emendas o Regimento Interno desta Casa de Leis assim estabelece: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140. </w:t>
      </w:r>
      <w:r w:rsidRPr="001C49E1">
        <w:rPr>
          <w:rFonts w:asciiTheme="minorHAnsi" w:hAnsiTheme="minorHAnsi" w:cstheme="minorHAns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196AA5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6AA5">
        <w:rPr>
          <w:rFonts w:asciiTheme="minorHAnsi" w:hAnsiTheme="minorHAnsi" w:cstheme="minorHAns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5º. A emenda apresentada à outra emenda denomina-se subemenda.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141. </w:t>
      </w: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1º. O autor do projeto que receber substitutivo ou </w:t>
      </w:r>
      <w:r w:rsidRPr="001C49E1">
        <w:rPr>
          <w:rFonts w:asciiTheme="minorHAnsi" w:hAnsiTheme="minorHAnsi" w:cstheme="minorHAnsi"/>
          <w:i/>
          <w:sz w:val="22"/>
          <w:szCs w:val="22"/>
        </w:rPr>
        <w:t>emenda estranhos</w:t>
      </w:r>
      <w:r w:rsidRPr="001C49E1">
        <w:rPr>
          <w:rFonts w:asciiTheme="minorHAnsi" w:hAnsiTheme="minorHAnsi" w:cstheme="minorHAns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C49E1" w:rsidP="00811FE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CF72C4" w:rsidRPr="00CF72C4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4"/>
          <w:szCs w:val="4"/>
        </w:rPr>
      </w:pPr>
    </w:p>
    <w:p w:rsidR="00A779B8" w:rsidRPr="00181E07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color w:val="FF0000"/>
          <w:szCs w:val="24"/>
        </w:rPr>
      </w:pPr>
      <w:r w:rsidRPr="001C49E1">
        <w:rPr>
          <w:rFonts w:asciiTheme="minorHAnsi" w:hAnsiTheme="minorHAnsi" w:cstheme="minorHAnsi"/>
          <w:szCs w:val="24"/>
        </w:rPr>
        <w:t xml:space="preserve">Destarte, verifica-se que o projeto de emenda atende aos dispositivos do Regimento Interno da Câmara, não havendo óbice regimental na sua tramitação </w:t>
      </w:r>
      <w:r w:rsidRPr="00CF72C4">
        <w:rPr>
          <w:rFonts w:asciiTheme="minorHAnsi" w:hAnsiTheme="minorHAnsi" w:cstheme="minorHAnsi"/>
          <w:szCs w:val="24"/>
        </w:rPr>
        <w:t>e</w:t>
      </w:r>
      <w:r w:rsidRPr="00CF72C4" w:rsidR="00DE4F3E">
        <w:rPr>
          <w:rFonts w:asciiTheme="minorHAnsi" w:hAnsiTheme="minorHAnsi" w:cstheme="minorHAnsi"/>
          <w:szCs w:val="24"/>
        </w:rPr>
        <w:t xml:space="preserve"> quanto à matéria</w:t>
      </w:r>
      <w:r w:rsidRPr="00CF72C4" w:rsidR="00811FEE">
        <w:rPr>
          <w:rFonts w:asciiTheme="minorHAnsi" w:hAnsiTheme="minorHAnsi" w:cstheme="minorHAnsi"/>
          <w:szCs w:val="24"/>
        </w:rPr>
        <w:t xml:space="preserve"> reiteramos o</w:t>
      </w:r>
      <w:r w:rsidRPr="00CF72C4" w:rsidR="0079728A">
        <w:rPr>
          <w:rFonts w:asciiTheme="minorHAnsi" w:hAnsiTheme="minorHAnsi" w:cstheme="minorHAnsi"/>
          <w:szCs w:val="24"/>
        </w:rPr>
        <w:t xml:space="preserve"> Parecer Jurídico nº </w:t>
      </w:r>
      <w:r w:rsidRPr="00CF72C4" w:rsidR="00811FEE">
        <w:rPr>
          <w:rFonts w:asciiTheme="minorHAnsi" w:hAnsiTheme="minorHAnsi" w:cstheme="minorHAnsi"/>
          <w:szCs w:val="24"/>
        </w:rPr>
        <w:t>132</w:t>
      </w:r>
      <w:r w:rsidRPr="00CF72C4" w:rsidR="00084DF8">
        <w:rPr>
          <w:rFonts w:asciiTheme="minorHAnsi" w:hAnsiTheme="minorHAnsi" w:cstheme="minorHAnsi"/>
          <w:szCs w:val="24"/>
        </w:rPr>
        <w:t>/2023</w:t>
      </w:r>
      <w:r w:rsidRPr="00CF72C4" w:rsidR="009663D4">
        <w:rPr>
          <w:rFonts w:asciiTheme="minorHAnsi" w:hAnsiTheme="minorHAnsi" w:cstheme="minorHAnsi"/>
          <w:szCs w:val="24"/>
        </w:rPr>
        <w:t>.</w:t>
      </w:r>
      <w:r w:rsidRPr="00CF72C4">
        <w:rPr>
          <w:rFonts w:asciiTheme="minorHAnsi" w:hAnsiTheme="minorHAnsi" w:cstheme="minorHAnsi"/>
          <w:szCs w:val="24"/>
        </w:rPr>
        <w:t xml:space="preserve"> </w:t>
      </w:r>
      <w:r w:rsidRPr="00CF72C4" w:rsidR="00721F99">
        <w:rPr>
          <w:rFonts w:asciiTheme="minorHAnsi" w:hAnsiTheme="minorHAnsi" w:cstheme="minorHAnsi"/>
          <w:szCs w:val="24"/>
        </w:rPr>
        <w:t>No exame do</w:t>
      </w:r>
      <w:r w:rsidRPr="00CF72C4" w:rsidR="001A7907">
        <w:rPr>
          <w:rFonts w:asciiTheme="minorHAnsi" w:hAnsiTheme="minorHAnsi" w:cstheme="minorHAnsi"/>
          <w:szCs w:val="24"/>
        </w:rPr>
        <w:t xml:space="preserve"> mérito</w:t>
      </w:r>
      <w:r w:rsidRPr="00CF72C4">
        <w:rPr>
          <w:rFonts w:asciiTheme="minorHAnsi" w:hAnsiTheme="minorHAnsi" w:cstheme="minorHAnsi"/>
          <w:szCs w:val="24"/>
        </w:rPr>
        <w:t xml:space="preserve"> o</w:t>
      </w:r>
      <w:r w:rsidRPr="00CF72C4" w:rsidR="00E85CA4">
        <w:rPr>
          <w:rFonts w:asciiTheme="minorHAnsi" w:hAnsiTheme="minorHAnsi" w:cstheme="minorHAnsi"/>
          <w:szCs w:val="24"/>
        </w:rPr>
        <w:t xml:space="preserve"> Plenário é</w:t>
      </w:r>
      <w:r w:rsidRPr="00CF72C4">
        <w:rPr>
          <w:rFonts w:asciiTheme="minorHAnsi" w:hAnsiTheme="minorHAnsi" w:cstheme="minorHAnsi"/>
          <w:szCs w:val="24"/>
        </w:rPr>
        <w:t xml:space="preserve"> </w:t>
      </w:r>
      <w:r w:rsidRPr="00CF72C4" w:rsidR="00E85CA4">
        <w:rPr>
          <w:rFonts w:asciiTheme="minorHAnsi" w:hAnsiTheme="minorHAnsi" w:cstheme="minorHAnsi"/>
          <w:szCs w:val="24"/>
        </w:rPr>
        <w:t>s</w:t>
      </w:r>
      <w:r w:rsidRPr="00CF72C4">
        <w:rPr>
          <w:rFonts w:asciiTheme="minorHAnsi" w:hAnsiTheme="minorHAnsi" w:cstheme="minorHAnsi"/>
          <w:szCs w:val="24"/>
        </w:rPr>
        <w:t>oberano</w:t>
      </w:r>
      <w:r w:rsidRPr="00CF72C4" w:rsidR="00E85CA4">
        <w:rPr>
          <w:rFonts w:asciiTheme="minorHAnsi" w:hAnsiTheme="minorHAnsi" w:cstheme="minorHAnsi"/>
          <w:szCs w:val="24"/>
        </w:rPr>
        <w:t>.</w:t>
      </w:r>
    </w:p>
    <w:p w:rsidR="00A779B8" w:rsidRPr="001C49E1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É o parecer, a superior consideração.</w:t>
      </w:r>
    </w:p>
    <w:p w:rsidR="00A779B8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Procuradoria</w:t>
      </w:r>
      <w:r w:rsidR="00181E07">
        <w:rPr>
          <w:rFonts w:asciiTheme="minorHAnsi" w:hAnsiTheme="minorHAnsi" w:cstheme="minorHAnsi"/>
          <w:szCs w:val="24"/>
        </w:rPr>
        <w:t>, 03</w:t>
      </w:r>
      <w:r w:rsidRPr="001C49E1" w:rsidR="001A7907">
        <w:rPr>
          <w:rFonts w:asciiTheme="minorHAnsi" w:hAnsiTheme="minorHAnsi" w:cstheme="minorHAnsi"/>
          <w:szCs w:val="24"/>
        </w:rPr>
        <w:t xml:space="preserve"> de </w:t>
      </w:r>
      <w:r w:rsidR="00181E07">
        <w:rPr>
          <w:rFonts w:asciiTheme="minorHAnsi" w:hAnsiTheme="minorHAnsi" w:cstheme="minorHAnsi"/>
          <w:szCs w:val="24"/>
        </w:rPr>
        <w:t>outubro</w:t>
      </w:r>
      <w:r w:rsidRPr="001C49E1">
        <w:rPr>
          <w:rFonts w:asciiTheme="minorHAnsi" w:hAnsiTheme="minorHAnsi" w:cstheme="minorHAnsi"/>
          <w:szCs w:val="24"/>
        </w:rPr>
        <w:t xml:space="preserve"> de 202</w:t>
      </w:r>
      <w:r w:rsidRPr="001C49E1" w:rsidR="007D2103">
        <w:rPr>
          <w:rFonts w:asciiTheme="minorHAnsi" w:hAnsiTheme="minorHAnsi" w:cstheme="minorHAnsi"/>
          <w:szCs w:val="24"/>
        </w:rPr>
        <w:t>3</w:t>
      </w:r>
      <w:r w:rsidRPr="001C49E1">
        <w:rPr>
          <w:rFonts w:asciiTheme="minorHAnsi" w:hAnsiTheme="minorHAnsi" w:cstheme="minorHAnsi"/>
          <w:szCs w:val="24"/>
        </w:rPr>
        <w:t>.</w:t>
      </w:r>
    </w:p>
    <w:p w:rsidR="00CF72C4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4"/>
          <w:szCs w:val="4"/>
        </w:rPr>
      </w:pPr>
    </w:p>
    <w:p w:rsidR="00CF72C4" w:rsidRPr="00CF72C4" w:rsidP="00CF72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4"/>
          <w:szCs w:val="4"/>
        </w:rPr>
      </w:pP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C49E1" w:rsidP="00D92B73">
      <w:pPr>
        <w:pStyle w:val="BodyText"/>
        <w:spacing w:after="0" w:line="240" w:lineRule="auto"/>
        <w:jc w:val="center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Assinado digitalmente</w:t>
      </w:r>
    </w:p>
    <w:sectPr w:rsidSect="00CF72C4">
      <w:headerReference w:type="default" r:id="rId6"/>
      <w:footerReference w:type="default" r:id="rId7"/>
      <w:type w:val="continuous"/>
      <w:pgSz w:w="11906" w:h="16838"/>
      <w:pgMar w:top="25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144A5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144A5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144A5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144A5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144A5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1498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1498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44A5">
      <w:pPr>
        <w:spacing w:after="0" w:line="240" w:lineRule="auto"/>
      </w:pPr>
      <w:r>
        <w:separator/>
      </w:r>
    </w:p>
  </w:footnote>
  <w:footnote w:type="continuationSeparator" w:id="1">
    <w:p w:rsidR="000144A5">
      <w:pPr>
        <w:spacing w:after="0" w:line="240" w:lineRule="auto"/>
      </w:pPr>
      <w:r>
        <w:continuationSeparator/>
      </w:r>
    </w:p>
  </w:footnote>
  <w:footnote w:id="2">
    <w:p w:rsidR="000144A5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5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5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557456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C49E1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024631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0144A5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44A5" w:rsidP="00A853E6">
    <w:pPr>
      <w:pStyle w:val="Header"/>
      <w:jc w:val="center"/>
      <w:rPr>
        <w:b/>
        <w:sz w:val="28"/>
        <w:lang w:val="pt-PT"/>
      </w:rPr>
    </w:pPr>
  </w:p>
  <w:p w:rsidR="000144A5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144A5"/>
    <w:rsid w:val="000269F1"/>
    <w:rsid w:val="00037F38"/>
    <w:rsid w:val="00084DF8"/>
    <w:rsid w:val="00102512"/>
    <w:rsid w:val="001121D0"/>
    <w:rsid w:val="00181E07"/>
    <w:rsid w:val="00184C16"/>
    <w:rsid w:val="00191BF5"/>
    <w:rsid w:val="00196AA5"/>
    <w:rsid w:val="001A7907"/>
    <w:rsid w:val="001C49E1"/>
    <w:rsid w:val="001E54DB"/>
    <w:rsid w:val="00214988"/>
    <w:rsid w:val="00233F3C"/>
    <w:rsid w:val="002E0FA3"/>
    <w:rsid w:val="00301D5F"/>
    <w:rsid w:val="00317378"/>
    <w:rsid w:val="00363138"/>
    <w:rsid w:val="003B108B"/>
    <w:rsid w:val="003C269B"/>
    <w:rsid w:val="003D4466"/>
    <w:rsid w:val="0042348F"/>
    <w:rsid w:val="00444BC0"/>
    <w:rsid w:val="00482F52"/>
    <w:rsid w:val="00493021"/>
    <w:rsid w:val="005F4237"/>
    <w:rsid w:val="00646BC4"/>
    <w:rsid w:val="00654FE3"/>
    <w:rsid w:val="0069756F"/>
    <w:rsid w:val="006D0DE0"/>
    <w:rsid w:val="00717C0D"/>
    <w:rsid w:val="00721F99"/>
    <w:rsid w:val="00735751"/>
    <w:rsid w:val="00755425"/>
    <w:rsid w:val="0079728A"/>
    <w:rsid w:val="007A22DF"/>
    <w:rsid w:val="007C35F0"/>
    <w:rsid w:val="007D2103"/>
    <w:rsid w:val="007E38B4"/>
    <w:rsid w:val="00811FEE"/>
    <w:rsid w:val="008A0037"/>
    <w:rsid w:val="008A2019"/>
    <w:rsid w:val="009663D4"/>
    <w:rsid w:val="009B6209"/>
    <w:rsid w:val="00A76381"/>
    <w:rsid w:val="00A779B8"/>
    <w:rsid w:val="00A853E6"/>
    <w:rsid w:val="00AC7672"/>
    <w:rsid w:val="00B2260F"/>
    <w:rsid w:val="00B3376B"/>
    <w:rsid w:val="00B445C6"/>
    <w:rsid w:val="00BA2767"/>
    <w:rsid w:val="00BE027C"/>
    <w:rsid w:val="00BE2BC9"/>
    <w:rsid w:val="00C21BBE"/>
    <w:rsid w:val="00C278F1"/>
    <w:rsid w:val="00C741FE"/>
    <w:rsid w:val="00C77A98"/>
    <w:rsid w:val="00C87072"/>
    <w:rsid w:val="00CD5874"/>
    <w:rsid w:val="00CF72C4"/>
    <w:rsid w:val="00D06E04"/>
    <w:rsid w:val="00D92B73"/>
    <w:rsid w:val="00DB478D"/>
    <w:rsid w:val="00DE4F3E"/>
    <w:rsid w:val="00E000C3"/>
    <w:rsid w:val="00E2449D"/>
    <w:rsid w:val="00E54730"/>
    <w:rsid w:val="00E80623"/>
    <w:rsid w:val="00E85CA4"/>
    <w:rsid w:val="00F057FD"/>
    <w:rsid w:val="00F07BBA"/>
    <w:rsid w:val="00F13E89"/>
    <w:rsid w:val="00F53BEF"/>
    <w:rsid w:val="00F631E3"/>
    <w:rsid w:val="00F632CB"/>
    <w:rsid w:val="00F66D55"/>
    <w:rsid w:val="00FD647C"/>
    <w:rsid w:val="00FF41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4A5-EF01-4E1F-99F6-C16AE19D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dcterms:created xsi:type="dcterms:W3CDTF">2023-10-03T14:18:00Z</dcterms:created>
  <dcterms:modified xsi:type="dcterms:W3CDTF">2023-10-11T19:14:00Z</dcterms:modified>
</cp:coreProperties>
</file>