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C6777" w:rsidRPr="00250296" w:rsidP="003C6777">
      <w:pPr>
        <w:pStyle w:val="Default"/>
        <w:spacing w:line="276" w:lineRule="auto"/>
        <w:jc w:val="both"/>
        <w:rPr>
          <w:rFonts w:ascii="Calibri" w:hAnsi="Calibri" w:cs="Calibri"/>
          <w:b/>
          <w:color w:val="auto"/>
        </w:rPr>
      </w:pPr>
    </w:p>
    <w:p w:rsidR="00A779B8" w:rsidRPr="00250296" w:rsidP="003C6777">
      <w:pPr>
        <w:pStyle w:val="Default"/>
        <w:spacing w:line="276" w:lineRule="auto"/>
        <w:jc w:val="both"/>
        <w:rPr>
          <w:rFonts w:ascii="Calibri" w:eastAsia="Times New Roman" w:hAnsi="Calibri" w:cs="Calibri"/>
          <w:bCs/>
          <w:color w:val="auto"/>
        </w:rPr>
      </w:pPr>
      <w:r w:rsidRPr="00250296">
        <w:rPr>
          <w:rFonts w:ascii="Calibri" w:hAnsi="Calibri" w:cs="Calibri"/>
          <w:b/>
          <w:color w:val="auto"/>
        </w:rPr>
        <w:t xml:space="preserve">Parecer Jurídico nº </w:t>
      </w:r>
      <w:r w:rsidRPr="00250296" w:rsidR="00250296">
        <w:rPr>
          <w:rFonts w:ascii="Calibri" w:hAnsi="Calibri" w:cs="Calibri"/>
          <w:b/>
          <w:color w:val="auto"/>
        </w:rPr>
        <w:t>367</w:t>
      </w:r>
      <w:r w:rsidRPr="00250296">
        <w:rPr>
          <w:rFonts w:ascii="Calibri" w:hAnsi="Calibri" w:cs="Calibri"/>
          <w:b/>
          <w:color w:val="auto"/>
        </w:rPr>
        <w:t>/202</w:t>
      </w:r>
      <w:r w:rsidRPr="00250296" w:rsidR="00FA62B0">
        <w:rPr>
          <w:rFonts w:ascii="Calibri" w:hAnsi="Calibri" w:cs="Calibri"/>
          <w:b/>
          <w:color w:val="auto"/>
        </w:rPr>
        <w:t>3</w:t>
      </w:r>
      <w:r w:rsidRPr="00250296">
        <w:rPr>
          <w:rFonts w:ascii="Calibri" w:hAnsi="Calibri" w:cs="Calibri"/>
          <w:b/>
          <w:color w:val="auto"/>
        </w:rPr>
        <w:t>.</w:t>
      </w:r>
    </w:p>
    <w:p w:rsidR="004475D4" w:rsidRPr="003C6777" w:rsidP="003C6777">
      <w:pPr>
        <w:spacing w:after="0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305026">
        <w:rPr>
          <w:rFonts w:ascii="Calibri" w:hAnsi="Calibri" w:cs="Calibri"/>
          <w:bCs/>
          <w:szCs w:val="24"/>
        </w:rPr>
        <w:t xml:space="preserve">: </w:t>
      </w:r>
      <w:r w:rsidR="00C86AE4">
        <w:rPr>
          <w:rFonts w:ascii="Calibri" w:hAnsi="Calibri" w:cs="Calibri"/>
          <w:b/>
          <w:bCs/>
          <w:szCs w:val="24"/>
        </w:rPr>
        <w:t>Emenda 01</w:t>
      </w:r>
      <w:r w:rsidR="00FA62B0">
        <w:rPr>
          <w:rFonts w:ascii="Calibri" w:hAnsi="Calibri" w:cs="Calibri"/>
          <w:b/>
          <w:bCs/>
          <w:szCs w:val="24"/>
        </w:rPr>
        <w:t xml:space="preserve"> ao Projeto de Lei nº</w:t>
      </w:r>
      <w:r w:rsidR="00E31B93">
        <w:rPr>
          <w:rFonts w:ascii="Calibri" w:hAnsi="Calibri" w:cs="Calibri"/>
          <w:b/>
          <w:bCs/>
          <w:szCs w:val="24"/>
        </w:rPr>
        <w:t xml:space="preserve"> 115</w:t>
      </w:r>
      <w:r w:rsidRPr="00305026">
        <w:rPr>
          <w:rFonts w:ascii="Calibri" w:hAnsi="Calibri" w:cs="Calibri"/>
          <w:b/>
          <w:bCs/>
          <w:szCs w:val="24"/>
        </w:rPr>
        <w:t>/202</w:t>
      </w:r>
      <w:r w:rsidR="00C86AE4">
        <w:rPr>
          <w:rFonts w:ascii="Calibri" w:hAnsi="Calibri" w:cs="Calibri"/>
          <w:b/>
          <w:bCs/>
          <w:szCs w:val="24"/>
        </w:rPr>
        <w:t>3</w:t>
      </w:r>
      <w:r w:rsidRPr="00305026">
        <w:rPr>
          <w:rFonts w:ascii="Calibri" w:hAnsi="Calibri" w:cs="Calibri"/>
          <w:bCs/>
          <w:szCs w:val="24"/>
        </w:rPr>
        <w:t xml:space="preserve"> que</w:t>
      </w:r>
      <w:r w:rsidR="00FA62B0">
        <w:rPr>
          <w:rFonts w:ascii="Calibri" w:hAnsi="Calibri" w:cs="Calibri"/>
          <w:bCs/>
          <w:szCs w:val="24"/>
        </w:rPr>
        <w:t xml:space="preserve"> </w:t>
      </w:r>
      <w:r w:rsidRPr="00FA62B0" w:rsidR="00FA62B0">
        <w:rPr>
          <w:rFonts w:eastAsia="Calibri" w:asciiTheme="minorHAnsi" w:hAnsiTheme="minorHAnsi" w:cstheme="minorHAnsi"/>
          <w:color w:val="000000"/>
          <w:szCs w:val="24"/>
        </w:rPr>
        <w:t>“</w:t>
      </w:r>
      <w:r w:rsidR="00E31B93">
        <w:rPr>
          <w:rFonts w:eastAsia="Calibri" w:asciiTheme="minorHAnsi" w:hAnsiTheme="minorHAnsi" w:cstheme="minorHAnsi"/>
          <w:color w:val="000000"/>
          <w:szCs w:val="24"/>
        </w:rPr>
        <w:t>I</w:t>
      </w:r>
      <w:r w:rsidRPr="00E31B93" w:rsidR="00E31B93">
        <w:rPr>
          <w:rFonts w:eastAsia="Calibri" w:asciiTheme="minorHAnsi" w:hAnsiTheme="minorHAnsi" w:cstheme="minorHAnsi"/>
          <w:color w:val="000000"/>
          <w:szCs w:val="24"/>
        </w:rPr>
        <w:t>nstitui o Conselho Municipal de Proteção e Defesa Civil – COMUDEC e o Fundo Municipal de Proteção e Defesa Civil do Município de Valinhos - FU</w:t>
      </w:r>
      <w:r w:rsidR="00E31B93">
        <w:rPr>
          <w:rFonts w:eastAsia="Calibri" w:asciiTheme="minorHAnsi" w:hAnsiTheme="minorHAnsi" w:cstheme="minorHAnsi"/>
          <w:color w:val="000000"/>
          <w:szCs w:val="24"/>
        </w:rPr>
        <w:t>MPDEC, na forma que especifica</w:t>
      </w:r>
      <w:r w:rsidRPr="00FA62B0" w:rsidR="00FA62B0">
        <w:rPr>
          <w:rFonts w:eastAsia="Calibri" w:asciiTheme="minorHAnsi" w:hAnsiTheme="minorHAnsi" w:cstheme="minorHAnsi"/>
          <w:color w:val="000000"/>
          <w:szCs w:val="24"/>
        </w:rPr>
        <w:t>”</w:t>
      </w:r>
      <w:r w:rsidRPr="003C6777" w:rsidR="00305026">
        <w:rPr>
          <w:rFonts w:eastAsia="Calibri" w:asciiTheme="minorHAnsi" w:hAnsiTheme="minorHAnsi" w:cstheme="minorHAnsi"/>
          <w:color w:val="000000"/>
          <w:szCs w:val="24"/>
        </w:rPr>
        <w:t xml:space="preserve">. </w:t>
      </w:r>
    </w:p>
    <w:p w:rsidR="00305026" w:rsidRPr="00FA62B0" w:rsidP="003C6777">
      <w:pPr>
        <w:spacing w:after="0"/>
        <w:jc w:val="both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do Executivo. </w:t>
      </w:r>
      <w:r w:rsidRPr="00305026">
        <w:rPr>
          <w:rFonts w:ascii="Calibri" w:hAnsi="Calibri" w:cs="Calibri"/>
          <w:b/>
          <w:bCs/>
          <w:szCs w:val="24"/>
        </w:rPr>
        <w:t xml:space="preserve">Ofício nº </w:t>
      </w:r>
      <w:r w:rsidR="003C6777">
        <w:rPr>
          <w:rFonts w:ascii="Calibri" w:hAnsi="Calibri" w:cs="Calibri"/>
          <w:b/>
          <w:bCs/>
          <w:szCs w:val="24"/>
        </w:rPr>
        <w:t>1</w:t>
      </w:r>
      <w:r w:rsidR="00E31B93">
        <w:rPr>
          <w:rFonts w:ascii="Calibri" w:hAnsi="Calibri" w:cs="Calibri"/>
          <w:b/>
          <w:bCs/>
          <w:szCs w:val="24"/>
        </w:rPr>
        <w:t>8</w:t>
      </w:r>
      <w:r w:rsidRPr="00305026">
        <w:rPr>
          <w:rFonts w:ascii="Calibri" w:hAnsi="Calibri" w:cs="Calibri"/>
          <w:b/>
          <w:bCs/>
          <w:szCs w:val="24"/>
        </w:rPr>
        <w:t>/202</w:t>
      </w:r>
      <w:r w:rsidR="003C6777">
        <w:rPr>
          <w:rFonts w:ascii="Calibri" w:hAnsi="Calibri" w:cs="Calibri"/>
          <w:b/>
          <w:bCs/>
          <w:szCs w:val="24"/>
        </w:rPr>
        <w:t>3</w:t>
      </w:r>
      <w:r w:rsidR="0093023D">
        <w:rPr>
          <w:rFonts w:ascii="Calibri" w:hAnsi="Calibri" w:cs="Calibri"/>
          <w:b/>
          <w:bCs/>
          <w:szCs w:val="24"/>
        </w:rPr>
        <w:t>-DG</w:t>
      </w:r>
      <w:r w:rsidRPr="00305026">
        <w:rPr>
          <w:rFonts w:ascii="Calibri" w:hAnsi="Calibri" w:cs="Calibri"/>
          <w:b/>
          <w:bCs/>
          <w:szCs w:val="24"/>
        </w:rPr>
        <w:t>L/GP/P</w:t>
      </w:r>
    </w:p>
    <w:p w:rsidR="00A779B8" w:rsidRPr="00DA5745" w:rsidP="003C6777">
      <w:pPr>
        <w:pStyle w:val="Default"/>
        <w:spacing w:line="276" w:lineRule="auto"/>
        <w:jc w:val="both"/>
        <w:rPr>
          <w:rFonts w:ascii="Calibri" w:hAnsi="Calibri" w:cs="Calibri"/>
          <w:b/>
          <w:i/>
          <w:color w:val="auto"/>
        </w:rPr>
      </w:pPr>
    </w:p>
    <w:p w:rsidR="00DD5A7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bookmarkStart w:id="0" w:name="_GoBack"/>
      <w:bookmarkEnd w:id="0"/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DD5A76">
        <w:rPr>
          <w:rFonts w:ascii="Calibri" w:hAnsi="Calibri" w:cs="Calibri"/>
          <w:b/>
          <w:i/>
          <w:color w:val="auto"/>
        </w:rPr>
        <w:t xml:space="preserve">Vereador </w:t>
      </w:r>
      <w:r w:rsidR="00FA62B0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DD5A76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C677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305026" w:rsidRPr="002E451A" w:rsidP="002E451A">
      <w:pPr>
        <w:pStyle w:val="Default"/>
        <w:spacing w:after="120" w:line="360" w:lineRule="auto"/>
        <w:ind w:firstLine="2268"/>
        <w:jc w:val="both"/>
        <w:rPr>
          <w:rFonts w:ascii="Calibri" w:hAnsi="Calibri" w:cs="Calibri"/>
          <w:bCs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>em epígrafe que</w:t>
      </w:r>
      <w:r w:rsidR="009D2232">
        <w:rPr>
          <w:rFonts w:asciiTheme="minorHAnsi" w:hAnsiTheme="minorHAnsi" w:cstheme="minorHAnsi"/>
        </w:rPr>
        <w:t xml:space="preserve"> pretende </w:t>
      </w:r>
      <w:r w:rsidR="00E31B93">
        <w:rPr>
          <w:rFonts w:asciiTheme="minorHAnsi" w:hAnsiTheme="minorHAnsi" w:cstheme="minorHAnsi"/>
        </w:rPr>
        <w:t>alterar a redação do art. 20</w:t>
      </w:r>
      <w:r w:rsidR="00FA62B0">
        <w:rPr>
          <w:rFonts w:asciiTheme="minorHAnsi" w:hAnsiTheme="minorHAnsi" w:cstheme="minorHAnsi"/>
        </w:rPr>
        <w:t xml:space="preserve"> do Projeto de Lei nº </w:t>
      </w:r>
      <w:r w:rsidR="00E31B93">
        <w:rPr>
          <w:rFonts w:asciiTheme="minorHAnsi" w:hAnsiTheme="minorHAnsi" w:cstheme="minorHAnsi"/>
        </w:rPr>
        <w:t>115</w:t>
      </w:r>
      <w:r w:rsidR="00FA62B0">
        <w:rPr>
          <w:rFonts w:asciiTheme="minorHAnsi" w:hAnsiTheme="minorHAnsi" w:cstheme="minorHAnsi"/>
        </w:rPr>
        <w:t>/2023,</w:t>
      </w:r>
      <w:r w:rsidR="00DD5A76">
        <w:rPr>
          <w:rFonts w:asciiTheme="minorHAnsi" w:hAnsiTheme="minorHAnsi" w:cstheme="minorHAnsi"/>
        </w:rPr>
        <w:t xml:space="preserve"> </w:t>
      </w:r>
      <w:r w:rsidRPr="00305026" w:rsidR="00DD5A76">
        <w:rPr>
          <w:rFonts w:ascii="Calibri" w:hAnsi="Calibri" w:cs="Calibri"/>
          <w:bCs/>
        </w:rPr>
        <w:t>que</w:t>
      </w:r>
      <w:r w:rsidR="00DD5A76">
        <w:rPr>
          <w:rFonts w:ascii="Calibri" w:hAnsi="Calibri" w:cs="Calibri"/>
          <w:bCs/>
        </w:rPr>
        <w:t xml:space="preserve"> </w:t>
      </w:r>
      <w:r w:rsidRPr="00FA62B0" w:rsidR="002E451A">
        <w:rPr>
          <w:rFonts w:asciiTheme="minorHAnsi" w:hAnsiTheme="minorHAnsi" w:cstheme="minorHAnsi"/>
        </w:rPr>
        <w:t>“</w:t>
      </w:r>
      <w:r w:rsidR="002E451A">
        <w:rPr>
          <w:rFonts w:asciiTheme="minorHAnsi" w:hAnsiTheme="minorHAnsi" w:cstheme="minorHAnsi"/>
        </w:rPr>
        <w:t>I</w:t>
      </w:r>
      <w:r w:rsidRPr="00E31B93" w:rsidR="002E451A">
        <w:rPr>
          <w:rFonts w:asciiTheme="minorHAnsi" w:hAnsiTheme="minorHAnsi" w:cstheme="minorHAnsi"/>
        </w:rPr>
        <w:t>nstitui o Conselho Municipal de Proteção e Defesa Civil – COMUDEC e o Fundo Municipal de Proteção e Defesa Civil do Município de Valinhos - FU</w:t>
      </w:r>
      <w:r w:rsidR="002E451A">
        <w:rPr>
          <w:rFonts w:asciiTheme="minorHAnsi" w:hAnsiTheme="minorHAnsi" w:cstheme="minorHAnsi"/>
        </w:rPr>
        <w:t>MPDEC, na forma que especifica</w:t>
      </w:r>
      <w:r w:rsidRPr="00FA62B0" w:rsidR="002E451A">
        <w:rPr>
          <w:rFonts w:asciiTheme="minorHAnsi" w:hAnsiTheme="minorHAnsi" w:cstheme="minorHAnsi"/>
        </w:rPr>
        <w:t>”</w:t>
      </w:r>
      <w:r w:rsidR="00DD5A76">
        <w:rPr>
          <w:rFonts w:asciiTheme="minorHAnsi" w:hAnsiTheme="minorHAnsi" w:cstheme="minorHAnsi"/>
        </w:rPr>
        <w:t>,</w:t>
      </w:r>
      <w:r w:rsidR="00FA62B0">
        <w:rPr>
          <w:rFonts w:asciiTheme="minorHAnsi" w:hAnsiTheme="minorHAnsi" w:cstheme="minorHAnsi"/>
        </w:rPr>
        <w:t xml:space="preserve"> </w:t>
      </w:r>
      <w:r w:rsidR="00FA62B0">
        <w:rPr>
          <w:rFonts w:asciiTheme="minorHAnsi" w:hAnsiTheme="minorHAnsi" w:cstheme="minorHAnsi"/>
        </w:rPr>
        <w:t>nos</w:t>
      </w:r>
      <w:r w:rsidR="00FA62B0">
        <w:rPr>
          <w:rFonts w:asciiTheme="minorHAnsi" w:hAnsiTheme="minorHAnsi" w:cstheme="minorHAnsi"/>
        </w:rPr>
        <w:t xml:space="preserve"> seguintes termos</w:t>
      </w:r>
      <w:r>
        <w:rPr>
          <w:rFonts w:asciiTheme="minorHAnsi" w:hAnsiTheme="minorHAnsi" w:cstheme="minorHAnsi"/>
        </w:rPr>
        <w:t>:</w:t>
      </w:r>
      <w:r w:rsidRPr="0006682F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897" w:type="dxa"/>
        <w:tblLayout w:type="fixed"/>
        <w:tblLook w:val="04A0"/>
      </w:tblPr>
      <w:tblGrid>
        <w:gridCol w:w="4644"/>
        <w:gridCol w:w="4253"/>
      </w:tblGrid>
      <w:tr w:rsidTr="003C6777">
        <w:tblPrEx>
          <w:tblW w:w="8897" w:type="dxa"/>
          <w:tblLayout w:type="fixed"/>
          <w:tblLook w:val="04A0"/>
        </w:tblPrEx>
        <w:trPr>
          <w:trHeight w:val="551"/>
        </w:trPr>
        <w:tc>
          <w:tcPr>
            <w:tcW w:w="4644" w:type="dxa"/>
          </w:tcPr>
          <w:p w:rsidR="00FA62B0" w:rsidRPr="003C6777" w:rsidP="00E31B93">
            <w:pPr>
              <w:tabs>
                <w:tab w:val="left" w:pos="1701"/>
              </w:tabs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Projeto de Lei nº </w:t>
            </w:r>
            <w:r w:rsidR="00E31B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115</w:t>
            </w: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253" w:type="dxa"/>
          </w:tcPr>
          <w:p w:rsidR="003C6777" w:rsidP="00FA62B0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:rsidR="00FA62B0" w:rsidRPr="003C6777" w:rsidP="00FA62B0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Alteração proposta na Emenda 01 ao </w:t>
            </w:r>
          </w:p>
          <w:p w:rsidR="00FA62B0" w:rsidRPr="003C6777" w:rsidP="00E31B93">
            <w:pPr>
              <w:tabs>
                <w:tab w:val="left" w:pos="170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Projeto de Lei nº </w:t>
            </w:r>
            <w:r w:rsidR="00E31B93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115</w:t>
            </w:r>
            <w:r w:rsidRP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/202</w:t>
            </w:r>
            <w:r w:rsidR="003C677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Tr="003C6777">
        <w:tblPrEx>
          <w:tblW w:w="8897" w:type="dxa"/>
          <w:tblLayout w:type="fixed"/>
          <w:tblLook w:val="04A0"/>
        </w:tblPrEx>
        <w:tc>
          <w:tcPr>
            <w:tcW w:w="4644" w:type="dxa"/>
          </w:tcPr>
          <w:p w:rsidR="00FA62B0" w:rsidRPr="00497D51" w:rsidP="003C6777">
            <w:pPr>
              <w:ind w:left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497D51">
              <w:rPr>
                <w:rFonts w:asciiTheme="minorHAnsi" w:hAnsiTheme="minorHAnsi"/>
                <w:b/>
                <w:i/>
                <w:sz w:val="22"/>
                <w:szCs w:val="22"/>
              </w:rPr>
              <w:t>Art. 20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. Fica instituído o Conselho Gestor do FUMPDEC, a ser composto por 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 (sete) membros titulares, observadas as seguintes disposições:</w:t>
            </w:r>
          </w:p>
          <w:p w:rsidR="00497D51" w:rsidRPr="002E451A" w:rsidP="003C6777">
            <w:pPr>
              <w:ind w:left="142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E451A">
              <w:rPr>
                <w:rFonts w:asciiTheme="minorHAnsi" w:hAnsiTheme="minorHAnsi"/>
                <w:b/>
                <w:i/>
                <w:sz w:val="22"/>
                <w:szCs w:val="22"/>
              </w:rPr>
              <w:t>o</w:t>
            </w:r>
            <w:r w:rsidRPr="002E451A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presidente será indicado pelo Chefe do Poder Executivo; </w:t>
            </w:r>
          </w:p>
          <w:p w:rsidR="00497D51" w:rsidP="003C6777">
            <w:pPr>
              <w:ind w:left="142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2E451A" w:rsidRPr="00497D51" w:rsidP="003C6777">
            <w:pPr>
              <w:ind w:left="142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497D51" w:rsidP="003C6777">
            <w:pPr>
              <w:ind w:left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I - 2 (dois) membros serão escolhidos dentre os componentes da Coordenadoria Municipal de Proteção e Defesa Civil; </w:t>
            </w:r>
          </w:p>
          <w:p w:rsidR="002E451A" w:rsidP="003C6777">
            <w:pPr>
              <w:ind w:left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97D51" w:rsidRPr="00497D51" w:rsidP="003C6777">
            <w:pPr>
              <w:ind w:left="142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497D51" w:rsidP="003C6777">
            <w:pPr>
              <w:ind w:left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II - 2 (dois) membros serão indicados pela sociedade civil organizada, cabendo à Secretaria de Segurança Pública e Cidadania 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>promover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 a iniciativa tendente a permitir a referida indicação;</w:t>
            </w:r>
          </w:p>
          <w:p w:rsidR="002E451A" w:rsidP="003C6777">
            <w:pPr>
              <w:ind w:left="142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497D51" w:rsidRPr="003C6777" w:rsidP="003C6777">
            <w:pPr>
              <w:ind w:left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 III - 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Pr="00497D51">
              <w:rPr>
                <w:rFonts w:asciiTheme="minorHAnsi" w:hAnsiTheme="minorHAnsi"/>
                <w:i/>
                <w:sz w:val="22"/>
                <w:szCs w:val="22"/>
              </w:rPr>
              <w:t xml:space="preserve"> (dois) membros serão oriundos do Conselho Municipal de Proteção e Defesa Civil - COMUDEC.</w:t>
            </w:r>
          </w:p>
        </w:tc>
        <w:tc>
          <w:tcPr>
            <w:tcW w:w="4253" w:type="dxa"/>
          </w:tcPr>
          <w:p w:rsidR="00497D51" w:rsidP="003C6777">
            <w:pPr>
              <w:ind w:left="34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“</w:t>
            </w:r>
            <w:r w:rsidRPr="00497D51">
              <w:rPr>
                <w:rFonts w:asciiTheme="minorHAnsi" w:hAnsiTheme="minorHAnsi"/>
                <w:b/>
                <w:i/>
                <w:sz w:val="22"/>
                <w:szCs w:val="22"/>
              </w:rPr>
              <w:t>Art. 20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. Fica instituído o Conselho Gestor do FUMPDEC, a ser composto por 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7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 (sete) membros titulares, observadas as seguintes disposições:</w:t>
            </w:r>
          </w:p>
          <w:p w:rsidR="00497D51" w:rsidRPr="00497D51" w:rsidP="003C6777">
            <w:pPr>
              <w:ind w:left="34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FA62B0" w:rsidRPr="002E451A" w:rsidP="003C6777">
            <w:pPr>
              <w:ind w:left="34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2E451A">
              <w:rPr>
                <w:rFonts w:asciiTheme="minorHAnsi" w:hAnsiTheme="minorHAnsi"/>
                <w:b/>
                <w:i/>
                <w:sz w:val="22"/>
                <w:szCs w:val="22"/>
              </w:rPr>
              <w:t>I - 1 (um) membro designado pelo Chefe do Poder Executivo, que exercerá a função de presidente;</w:t>
            </w:r>
          </w:p>
          <w:p w:rsidR="00497D51" w:rsidRPr="00497D51" w:rsidP="003C6777">
            <w:pPr>
              <w:ind w:left="34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497D51" w:rsidP="003C6777">
            <w:pPr>
              <w:ind w:left="34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II - 2 (dois) membros serão escolhidos dentre os componentes da Coordenadoria Municipal de Proteção e Defesa Civil; </w:t>
            </w:r>
          </w:p>
          <w:p w:rsidR="00497D51" w:rsidRPr="00497D51" w:rsidP="003C6777">
            <w:pPr>
              <w:ind w:left="34"/>
              <w:jc w:val="both"/>
              <w:rPr>
                <w:rFonts w:asciiTheme="minorHAnsi" w:hAnsiTheme="minorHAnsi"/>
                <w:i/>
                <w:sz w:val="12"/>
                <w:szCs w:val="12"/>
              </w:rPr>
            </w:pPr>
          </w:p>
          <w:p w:rsidR="00497D51" w:rsidP="003C6777">
            <w:pPr>
              <w:ind w:left="34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III - 2 (dois) membros serão indicados pela sociedade civil organizada, cabendo à Secretaria de Segurança Pública e Cidadania 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promover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 a iniciativa tendente a permitir a referida indicação; </w:t>
            </w:r>
          </w:p>
          <w:p w:rsidR="00497D51" w:rsidP="003C6777">
            <w:pPr>
              <w:ind w:left="34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D1345C" w:rsidRPr="003C6777" w:rsidP="003C6777">
            <w:pPr>
              <w:ind w:left="3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IV - 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2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 xml:space="preserve"> (dois) membros serão oriundos do Conselho Municipal de Proteção e Defesa Civil - COMUDEC. 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...”</w:t>
            </w:r>
            <w:r w:rsidRPr="008310FD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</w:tc>
      </w:tr>
    </w:tbl>
    <w:p w:rsidR="00DD5A76" w:rsidRPr="00DD5A76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3C6777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  <w:i/>
        </w:rPr>
      </w:pPr>
    </w:p>
    <w:p w:rsidR="00A779B8" w:rsidRPr="0006682F" w:rsidP="003C6777">
      <w:pPr>
        <w:pStyle w:val="Default"/>
        <w:spacing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3C6777" w:rsidP="003C6777">
      <w:pPr>
        <w:spacing w:after="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A779B8" w:rsidRPr="0006682F" w:rsidP="003C6777">
      <w:pPr>
        <w:spacing w:after="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06682F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DD45D3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DD5A76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5A76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DD5A76">
      <w:pPr>
        <w:autoSpaceDE w:val="0"/>
        <w:autoSpaceDN w:val="0"/>
        <w:adjustRightInd w:val="0"/>
        <w:spacing w:after="80" w:line="24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783082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regimental na sua tramitação e quanto à matéria </w:t>
      </w:r>
      <w:r w:rsidR="00DD5A76">
        <w:rPr>
          <w:rFonts w:asciiTheme="minorHAnsi" w:hAnsiTheme="minorHAnsi" w:cs="Calibri"/>
          <w:szCs w:val="24"/>
        </w:rPr>
        <w:t xml:space="preserve">reiteramos </w:t>
      </w:r>
      <w:r w:rsidRPr="00783082">
        <w:rPr>
          <w:rFonts w:asciiTheme="minorHAnsi" w:hAnsiTheme="minorHAnsi" w:cs="Calibri"/>
          <w:szCs w:val="24"/>
        </w:rPr>
        <w:t xml:space="preserve">Parecer Jurídico nº </w:t>
      </w:r>
      <w:r w:rsidR="00E31B93">
        <w:rPr>
          <w:rFonts w:asciiTheme="minorHAnsi" w:hAnsiTheme="minorHAnsi" w:cs="Calibri"/>
          <w:szCs w:val="24"/>
        </w:rPr>
        <w:t>326</w:t>
      </w:r>
      <w:r w:rsidRPr="00783082">
        <w:rPr>
          <w:rFonts w:asciiTheme="minorHAnsi" w:hAnsiTheme="minorHAnsi" w:cs="Calibri"/>
          <w:szCs w:val="24"/>
        </w:rPr>
        <w:t>/202</w:t>
      </w:r>
      <w:r w:rsidR="00C86AE4">
        <w:rPr>
          <w:rFonts w:asciiTheme="minorHAnsi" w:hAnsiTheme="minorHAnsi" w:cs="Calibri"/>
          <w:szCs w:val="24"/>
        </w:rPr>
        <w:t>3</w:t>
      </w:r>
      <w:r w:rsidR="00DD5A76">
        <w:rPr>
          <w:rFonts w:asciiTheme="minorHAnsi" w:hAnsiTheme="minorHAnsi" w:cs="Calibri"/>
          <w:szCs w:val="24"/>
        </w:rPr>
        <w:t xml:space="preserve"> que </w:t>
      </w:r>
      <w:r w:rsidRPr="002E776F" w:rsidR="00DD5A76">
        <w:rPr>
          <w:rFonts w:ascii="Calibri" w:hAnsi="Calibri" w:cs="Calibri"/>
          <w:szCs w:val="24"/>
        </w:rPr>
        <w:t>opina pela constitucionalidade e legalidade do projeto</w:t>
      </w:r>
      <w:r w:rsidRPr="00783082">
        <w:rPr>
          <w:rFonts w:asciiTheme="minorHAnsi" w:hAnsiTheme="minorHAnsi" w:cs="Calibri"/>
          <w:szCs w:val="24"/>
        </w:rPr>
        <w:t>. 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>,</w:t>
      </w:r>
      <w:r w:rsidR="00DD5A76">
        <w:rPr>
          <w:rFonts w:ascii="Calibri" w:hAnsi="Calibri" w:cs="Calibri"/>
          <w:szCs w:val="24"/>
        </w:rPr>
        <w:t xml:space="preserve"> </w:t>
      </w:r>
      <w:r w:rsidR="0067671E">
        <w:rPr>
          <w:rFonts w:ascii="Calibri" w:hAnsi="Calibri" w:cs="Calibri"/>
          <w:szCs w:val="24"/>
        </w:rPr>
        <w:t>11</w:t>
      </w:r>
      <w:r w:rsidRPr="003A7521">
        <w:rPr>
          <w:rFonts w:ascii="Calibri" w:hAnsi="Calibri" w:cs="Calibri"/>
          <w:szCs w:val="24"/>
        </w:rPr>
        <w:t xml:space="preserve"> de </w:t>
      </w:r>
      <w:r w:rsidR="00C86AE4">
        <w:rPr>
          <w:rFonts w:ascii="Calibri" w:hAnsi="Calibri" w:cs="Calibri"/>
          <w:szCs w:val="24"/>
        </w:rPr>
        <w:t>outubro</w:t>
      </w:r>
      <w:r w:rsidRPr="003A7521">
        <w:rPr>
          <w:rFonts w:ascii="Calibri" w:hAnsi="Calibri" w:cs="Calibri"/>
          <w:szCs w:val="24"/>
        </w:rPr>
        <w:t xml:space="preserve"> de 202</w:t>
      </w:r>
      <w:r w:rsidR="00DD5A76">
        <w:rPr>
          <w:rFonts w:ascii="Calibri" w:hAnsi="Calibri" w:cs="Calibri"/>
          <w:szCs w:val="24"/>
        </w:rPr>
        <w:t>3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646BC4" w:rsidP="00A0091D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sectPr w:rsidSect="003C6777">
      <w:headerReference w:type="default" r:id="rId6"/>
      <w:footerReference w:type="default" r:id="rId7"/>
      <w:pgSz w:w="11906" w:h="16838"/>
      <w:pgMar w:top="2522" w:right="15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FA62B0" w:rsidP="00DD5A76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</w:t>
            </w:r>
            <w:r w:rsidR="00DD5A76">
              <w:rPr>
                <w:sz w:val="18"/>
                <w:lang w:val="pt-PT"/>
              </w:rPr>
              <w:t>_____________________________</w:t>
            </w: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FA62B0" w:rsidP="00305026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FA62B0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50296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50296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A62B0">
      <w:pPr>
        <w:spacing w:after="0" w:line="240" w:lineRule="auto"/>
      </w:pPr>
      <w:r>
        <w:separator/>
      </w:r>
    </w:p>
  </w:footnote>
  <w:footnote w:type="continuationSeparator" w:id="1">
    <w:p w:rsidR="00FA62B0">
      <w:pPr>
        <w:spacing w:after="0" w:line="240" w:lineRule="auto"/>
      </w:pPr>
      <w:r>
        <w:continuationSeparator/>
      </w:r>
    </w:p>
  </w:footnote>
  <w:footnote w:id="2">
    <w:p w:rsidR="003C6777" w:rsidRPr="003C6777" w:rsidP="003C6777">
      <w:pPr>
        <w:pStyle w:val="FootnoteText"/>
        <w:jc w:val="both"/>
        <w:rPr>
          <w:rFonts w:asciiTheme="minorHAnsi" w:hAnsiTheme="minorHAnsi" w:cstheme="minorHAnsi"/>
          <w:i/>
        </w:rPr>
      </w:pPr>
      <w:r w:rsidRPr="003C6777">
        <w:rPr>
          <w:rStyle w:val="FootnoteReference"/>
          <w:i/>
        </w:rPr>
        <w:footnoteRef/>
      </w:r>
      <w:r w:rsidRPr="003C6777">
        <w:rPr>
          <w:i/>
        </w:rPr>
        <w:t xml:space="preserve"> </w:t>
      </w:r>
      <w:r w:rsidRPr="003C6777">
        <w:rPr>
          <w:rFonts w:asciiTheme="minorHAnsi" w:hAnsiTheme="minorHAnsi" w:cstheme="minorHAnsi"/>
          <w:i/>
        </w:rPr>
        <w:t xml:space="preserve">Nesse sentido é o entendimento do Supremo Tribunal Federal: 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C6777">
        <w:rPr>
          <w:rFonts w:asciiTheme="minorHAnsi" w:hAnsiTheme="minorHAnsi" w:cstheme="minorHAnsi"/>
          <w:i/>
        </w:rPr>
        <w:t>ex</w:t>
      </w:r>
      <w:r w:rsidRPr="003C6777">
        <w:rPr>
          <w:rFonts w:asciiTheme="minorHAnsi" w:hAnsiTheme="minorHAnsi" w:cstheme="minorHAnsi"/>
          <w:i/>
        </w:rPr>
        <w:t xml:space="preserve"> </w:t>
      </w:r>
      <w:r w:rsidRPr="003C6777">
        <w:rPr>
          <w:rFonts w:asciiTheme="minorHAnsi" w:hAnsiTheme="minorHAnsi" w:cstheme="minorHAnsi"/>
          <w:i/>
        </w:rPr>
        <w:t>oficio</w:t>
      </w:r>
      <w:r w:rsidRPr="003C6777">
        <w:rPr>
          <w:rFonts w:asciiTheme="minorHAnsi" w:hAnsiTheme="minorHAnsi" w:cstheme="minorHAnsi"/>
          <w:i/>
        </w:rPr>
        <w:t xml:space="preserve"> da lei. </w:t>
      </w:r>
      <w:r w:rsidRPr="003C6777">
        <w:rPr>
          <w:rFonts w:asciiTheme="minorHAnsi" w:hAnsiTheme="minorHAnsi" w:cstheme="minorHAnsi"/>
          <w:i/>
        </w:rPr>
        <w:t>Na oportunidade do julgamento, porquanto envolvido na espécie simples parecer, ou seja, ato opinativo que poderia ser, ou não, considerado pelo administrador.”</w:t>
      </w:r>
      <w:r w:rsidRPr="003C6777">
        <w:rPr>
          <w:rFonts w:asciiTheme="minorHAnsi" w:hAnsiTheme="minorHAnsi" w:cstheme="minorHAnsi"/>
          <w:i/>
        </w:rPr>
        <w:t xml:space="preserve"> (Mandado de Segurança n° 24.584-1 - Distrito Federal - Relator: Min. Marco Aurélio de Mello – STF.) </w:t>
      </w:r>
    </w:p>
    <w:p w:rsidR="003C6777" w:rsidRPr="003C6777">
      <w:pPr>
        <w:pStyle w:val="FootnoteText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62B0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62B0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0445563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6996412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8974750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FA62B0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7774631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837605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FA62B0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FA62B0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  <w:rPr>
        <w:sz w:val="20"/>
        <w:lang w:val="pt-PT"/>
      </w:rPr>
    </w:pPr>
  </w:p>
  <w:p w:rsidR="003C6777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4F3A"/>
    <w:rsid w:val="0006682F"/>
    <w:rsid w:val="00135680"/>
    <w:rsid w:val="001B125C"/>
    <w:rsid w:val="00250296"/>
    <w:rsid w:val="002E451A"/>
    <w:rsid w:val="002E776F"/>
    <w:rsid w:val="00305026"/>
    <w:rsid w:val="003A7521"/>
    <w:rsid w:val="003C6777"/>
    <w:rsid w:val="003D4024"/>
    <w:rsid w:val="004475D4"/>
    <w:rsid w:val="00497D51"/>
    <w:rsid w:val="005D6203"/>
    <w:rsid w:val="00646BC4"/>
    <w:rsid w:val="0067671E"/>
    <w:rsid w:val="00724E61"/>
    <w:rsid w:val="00743FE1"/>
    <w:rsid w:val="00783082"/>
    <w:rsid w:val="007C02EA"/>
    <w:rsid w:val="008310FD"/>
    <w:rsid w:val="0093023D"/>
    <w:rsid w:val="009D2232"/>
    <w:rsid w:val="00A0091D"/>
    <w:rsid w:val="00A779B8"/>
    <w:rsid w:val="00AD09BD"/>
    <w:rsid w:val="00AF01F9"/>
    <w:rsid w:val="00C86AE4"/>
    <w:rsid w:val="00D1345C"/>
    <w:rsid w:val="00DA5745"/>
    <w:rsid w:val="00DD45D3"/>
    <w:rsid w:val="00DD5A76"/>
    <w:rsid w:val="00E31B93"/>
    <w:rsid w:val="00F33184"/>
    <w:rsid w:val="00F53BEF"/>
    <w:rsid w:val="00FA62B0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FA6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unhideWhenUsed/>
    <w:rsid w:val="003C677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rsid w:val="003C677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3C67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F5DE-29EC-4C54-9180-4EE18C48D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635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8</cp:revision>
  <dcterms:created xsi:type="dcterms:W3CDTF">2023-10-09T20:08:00Z</dcterms:created>
  <dcterms:modified xsi:type="dcterms:W3CDTF">2023-10-16T18:19:00Z</dcterms:modified>
</cp:coreProperties>
</file>