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98D" w:rsidRPr="00994F17" w:rsidP="0007498D" w14:paraId="547EEE3A" w14:textId="78FC0057">
      <w:pPr>
        <w:pStyle w:val="Default"/>
        <w:jc w:val="both"/>
        <w:rPr>
          <w:rFonts w:ascii="Calibri" w:hAnsi="Calibri" w:eastAsiaTheme="minorHAnsi" w:cs="Calibri"/>
          <w:b/>
          <w:bCs/>
          <w:color w:val="auto"/>
          <w:lang w:eastAsia="en-US"/>
        </w:rPr>
      </w:pPr>
      <w:r w:rsidRPr="00994F17">
        <w:rPr>
          <w:rFonts w:ascii="Calibri" w:hAnsi="Calibri" w:cs="Calibri"/>
          <w:b/>
          <w:color w:val="auto"/>
        </w:rPr>
        <w:t xml:space="preserve">Parecer Jurídico nº </w:t>
      </w:r>
      <w:r w:rsidR="00CD4770">
        <w:rPr>
          <w:rFonts w:ascii="Calibri" w:hAnsi="Calibri" w:cs="Calibri"/>
          <w:b/>
          <w:color w:val="auto"/>
        </w:rPr>
        <w:t>337</w:t>
      </w:r>
      <w:r w:rsidRPr="00994F17">
        <w:rPr>
          <w:rFonts w:ascii="Calibri" w:hAnsi="Calibri" w:cs="Calibri"/>
          <w:b/>
          <w:color w:val="auto"/>
        </w:rPr>
        <w:t>/202</w:t>
      </w:r>
      <w:r w:rsidRPr="00994F17" w:rsidR="00486565">
        <w:rPr>
          <w:rFonts w:ascii="Calibri" w:hAnsi="Calibri" w:cs="Calibri"/>
          <w:b/>
          <w:color w:val="auto"/>
        </w:rPr>
        <w:t>3</w:t>
      </w:r>
    </w:p>
    <w:p w:rsidR="00486565" w:rsidRPr="00CD4770" w:rsidP="00486565" w14:paraId="0C98833E" w14:textId="60A35590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7A6FC8">
        <w:rPr>
          <w:rFonts w:ascii="Calibri" w:hAnsi="Calibri" w:cs="Calibri"/>
          <w:b/>
          <w:bCs/>
          <w:sz w:val="24"/>
          <w:szCs w:val="24"/>
        </w:rPr>
        <w:t xml:space="preserve">Assunto: Projeto de Lei nº </w:t>
      </w:r>
      <w:r w:rsidR="00CD4770">
        <w:rPr>
          <w:rFonts w:ascii="Calibri" w:hAnsi="Calibri" w:cs="Calibri"/>
          <w:b/>
          <w:bCs/>
          <w:sz w:val="24"/>
          <w:szCs w:val="24"/>
        </w:rPr>
        <w:t>121</w:t>
      </w:r>
      <w:r w:rsidRPr="007A6FC8">
        <w:rPr>
          <w:rFonts w:ascii="Calibri" w:hAnsi="Calibri" w:cs="Calibri"/>
          <w:b/>
          <w:bCs/>
          <w:sz w:val="24"/>
          <w:szCs w:val="24"/>
        </w:rPr>
        <w:t>/202</w:t>
      </w:r>
      <w:r w:rsidRPr="007A6FC8">
        <w:rPr>
          <w:rFonts w:ascii="Calibri" w:hAnsi="Calibri" w:cs="Calibri"/>
          <w:b/>
          <w:bCs/>
          <w:sz w:val="24"/>
          <w:szCs w:val="24"/>
        </w:rPr>
        <w:t>3</w:t>
      </w:r>
      <w:r w:rsidRPr="007A6F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4770">
        <w:rPr>
          <w:rFonts w:ascii="Calibri" w:eastAsia="Times New Roman" w:hAnsi="Calibri" w:cs="Calibri"/>
          <w:sz w:val="24"/>
          <w:szCs w:val="24"/>
          <w:lang w:eastAsia="pt-BR"/>
        </w:rPr>
        <w:t>–</w:t>
      </w:r>
      <w:r w:rsidRPr="00CD4770" w:rsidR="00F0094A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CD4770" w:rsidR="00CD4770">
        <w:rPr>
          <w:rFonts w:ascii="Calibri" w:eastAsia="Times New Roman" w:hAnsi="Calibri" w:cs="Calibri"/>
          <w:sz w:val="24"/>
          <w:szCs w:val="24"/>
          <w:lang w:eastAsia="pt-BR"/>
        </w:rPr>
        <w:t>Inclui o § 6º ao art. 3º da Lei nº 6.116, de 22 de junho de 2021, nos termos que especifica.</w:t>
      </w:r>
    </w:p>
    <w:p w:rsidR="0007498D" w:rsidRPr="007A6FC8" w:rsidP="00486565" w14:paraId="2485FFB6" w14:textId="2C122660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A6FC8">
        <w:rPr>
          <w:rFonts w:ascii="Calibri" w:hAnsi="Calibri" w:cs="Calibri"/>
          <w:b/>
          <w:bCs/>
          <w:sz w:val="24"/>
          <w:szCs w:val="24"/>
        </w:rPr>
        <w:t>Autoria:</w:t>
      </w:r>
      <w:r w:rsidRPr="007A6FC8">
        <w:rPr>
          <w:rFonts w:ascii="Calibri" w:hAnsi="Calibri" w:cs="Calibri"/>
          <w:b/>
          <w:bCs/>
          <w:sz w:val="24"/>
          <w:szCs w:val="24"/>
        </w:rPr>
        <w:t xml:space="preserve"> Vereador</w:t>
      </w:r>
      <w:r w:rsidRPr="007A6F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4770">
        <w:rPr>
          <w:rFonts w:ascii="Calibri" w:hAnsi="Calibri" w:cs="Calibri"/>
          <w:b/>
          <w:bCs/>
          <w:sz w:val="24"/>
          <w:szCs w:val="24"/>
        </w:rPr>
        <w:t>Mayr</w:t>
      </w:r>
      <w:r w:rsidRPr="007A6FC8">
        <w:rPr>
          <w:rFonts w:ascii="Calibri" w:hAnsi="Calibri" w:cs="Calibri"/>
          <w:b/>
          <w:bCs/>
          <w:sz w:val="24"/>
          <w:szCs w:val="24"/>
        </w:rPr>
        <w:t>.</w:t>
      </w:r>
    </w:p>
    <w:p w:rsidR="0007498D" w:rsidRPr="007A6FC8" w:rsidP="0007498D" w14:paraId="43AFBE63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F0094A" w:rsidP="0007498D" w14:paraId="76F0E8E7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CD4770" w:rsidRPr="007A6FC8" w:rsidP="0007498D" w14:paraId="5C572A2E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7498D" w:rsidRPr="007A6FC8" w:rsidP="0007498D" w14:paraId="5BAB5604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7A6FC8">
        <w:rPr>
          <w:rFonts w:ascii="Calibri" w:hAnsi="Calibri" w:cs="Calibri"/>
          <w:b/>
          <w:i/>
          <w:color w:val="auto"/>
        </w:rPr>
        <w:t>À Comissão de Justiça e Redação,</w:t>
      </w:r>
    </w:p>
    <w:p w:rsidR="0007498D" w:rsidRPr="007A6FC8" w:rsidP="0007498D" w14:paraId="570FBA35" w14:textId="63F6772E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A6FC8">
        <w:rPr>
          <w:rFonts w:ascii="Calibri" w:hAnsi="Calibri" w:cs="Calibri"/>
          <w:b/>
          <w:i/>
          <w:color w:val="auto"/>
        </w:rPr>
        <w:t xml:space="preserve">Exmo. </w:t>
      </w:r>
      <w:r w:rsidR="00CD4770">
        <w:rPr>
          <w:rFonts w:ascii="Calibri" w:hAnsi="Calibri" w:cs="Calibri"/>
          <w:b/>
          <w:i/>
          <w:color w:val="auto"/>
        </w:rPr>
        <w:t xml:space="preserve">Presidente </w:t>
      </w:r>
      <w:r w:rsidRPr="007A6FC8">
        <w:rPr>
          <w:rFonts w:ascii="Calibri" w:hAnsi="Calibri" w:cs="Calibri"/>
          <w:b/>
          <w:i/>
          <w:color w:val="auto"/>
        </w:rPr>
        <w:t xml:space="preserve">Vereador </w:t>
      </w:r>
      <w:r w:rsidR="00CD4770">
        <w:rPr>
          <w:rFonts w:ascii="Calibri" w:hAnsi="Calibri" w:cs="Calibri"/>
          <w:b/>
          <w:i/>
          <w:color w:val="auto"/>
        </w:rPr>
        <w:t>Gabriel Bueno</w:t>
      </w:r>
      <w:r w:rsidRPr="007A6FC8">
        <w:rPr>
          <w:rFonts w:ascii="Calibri" w:hAnsi="Calibri" w:cs="Calibri"/>
          <w:b/>
          <w:i/>
          <w:color w:val="auto"/>
        </w:rPr>
        <w:t>.</w:t>
      </w:r>
    </w:p>
    <w:p w:rsidR="0007498D" w:rsidRPr="007A6FC8" w:rsidP="0007498D" w14:paraId="11676C88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A6FC8">
        <w:rPr>
          <w:rFonts w:ascii="Calibri" w:hAnsi="Calibri" w:cs="Calibri"/>
          <w:b/>
          <w:i/>
          <w:color w:val="auto"/>
        </w:rPr>
        <w:tab/>
      </w:r>
    </w:p>
    <w:p w:rsidR="00F0094A" w:rsidRPr="007A6FC8" w:rsidP="0007498D" w14:paraId="282D8FC3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  <w:sz w:val="36"/>
          <w:szCs w:val="36"/>
        </w:rPr>
      </w:pPr>
    </w:p>
    <w:p w:rsidR="0007498D" w:rsidP="00CD4770" w14:paraId="79489231" w14:textId="12774531">
      <w:pPr>
        <w:spacing w:after="240" w:line="360" w:lineRule="auto"/>
        <w:ind w:firstLine="170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7A6FC8">
        <w:rPr>
          <w:rFonts w:ascii="Calibri" w:eastAsia="Times New Roman" w:hAnsi="Calibri" w:cs="Calibri"/>
          <w:sz w:val="24"/>
          <w:szCs w:val="24"/>
          <w:lang w:eastAsia="pt-BR"/>
        </w:rPr>
        <w:t>Trata-se de parecer jurídico relativo ao projeto em epígrafe que</w:t>
      </w:r>
      <w:r w:rsidRPr="007A6FC8" w:rsidR="00486565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CD4770" w:rsidR="00486565">
        <w:rPr>
          <w:rFonts w:ascii="Calibri" w:eastAsia="Times New Roman" w:hAnsi="Calibri" w:cs="Calibri"/>
          <w:i/>
          <w:sz w:val="24"/>
          <w:szCs w:val="24"/>
          <w:lang w:eastAsia="pt-BR"/>
        </w:rPr>
        <w:t>“</w:t>
      </w:r>
      <w:r w:rsidRPr="00CD4770" w:rsidR="00CD4770">
        <w:rPr>
          <w:i/>
          <w:sz w:val="24"/>
          <w:szCs w:val="24"/>
        </w:rPr>
        <w:t>Inclui o § 6º ao art. 3º da Lei nº 6.116, de 22 de junho de 2021, nos termos que especifica.</w:t>
      </w:r>
      <w:r w:rsidRPr="00CD4770" w:rsidR="00486565">
        <w:rPr>
          <w:rFonts w:ascii="Calibri" w:eastAsia="Times New Roman" w:hAnsi="Calibri" w:cs="Calibri"/>
          <w:i/>
          <w:sz w:val="24"/>
          <w:szCs w:val="24"/>
          <w:lang w:eastAsia="pt-BR"/>
        </w:rPr>
        <w:t>”</w:t>
      </w:r>
      <w:r w:rsidR="00CD4770">
        <w:rPr>
          <w:rFonts w:ascii="Calibri" w:eastAsia="Times New Roman" w:hAnsi="Calibri" w:cs="Calibri"/>
          <w:i/>
          <w:sz w:val="24"/>
          <w:szCs w:val="24"/>
          <w:lang w:eastAsia="pt-BR"/>
        </w:rPr>
        <w:t xml:space="preserve">, </w:t>
      </w:r>
      <w:r w:rsidR="002A1B00">
        <w:rPr>
          <w:rFonts w:ascii="Calibri" w:eastAsia="Times New Roman" w:hAnsi="Calibri" w:cs="Calibri"/>
          <w:sz w:val="24"/>
          <w:szCs w:val="24"/>
          <w:lang w:eastAsia="pt-BR"/>
        </w:rPr>
        <w:t>conforme segue</w:t>
      </w:r>
      <w:r w:rsidR="00CD4770">
        <w:rPr>
          <w:rFonts w:ascii="Calibri" w:eastAsia="Times New Roman" w:hAnsi="Calibri" w:cs="Calibri"/>
          <w:sz w:val="24"/>
          <w:szCs w:val="24"/>
          <w:lang w:eastAsia="pt-BR"/>
        </w:rPr>
        <w:t>:</w:t>
      </w:r>
    </w:p>
    <w:tbl>
      <w:tblPr>
        <w:tblStyle w:val="TableGrid"/>
        <w:tblW w:w="8897" w:type="dxa"/>
        <w:tblLayout w:type="fixed"/>
        <w:tblLook w:val="04A0"/>
      </w:tblPr>
      <w:tblGrid>
        <w:gridCol w:w="4503"/>
        <w:gridCol w:w="4394"/>
      </w:tblGrid>
      <w:tr w14:paraId="55A0CE8B" w14:textId="77777777" w:rsidTr="00565676">
        <w:tblPrEx>
          <w:tblW w:w="8897" w:type="dxa"/>
          <w:tblLayout w:type="fixed"/>
          <w:tblLook w:val="04A0"/>
        </w:tblPrEx>
        <w:tc>
          <w:tcPr>
            <w:tcW w:w="4503" w:type="dxa"/>
            <w:vAlign w:val="center"/>
          </w:tcPr>
          <w:p w:rsidR="00CD4770" w:rsidP="00CD4770" w14:paraId="0F5B99C1" w14:textId="77777777">
            <w:pPr>
              <w:spacing w:line="360" w:lineRule="auto"/>
              <w:jc w:val="center"/>
              <w:rPr>
                <w:b/>
              </w:rPr>
            </w:pPr>
          </w:p>
          <w:p w:rsidR="00CD4770" w:rsidRPr="004B4B05" w:rsidP="00CD4770" w14:paraId="2AF18791" w14:textId="4BB9D362">
            <w:pPr>
              <w:spacing w:line="360" w:lineRule="auto"/>
              <w:jc w:val="center"/>
              <w:rPr>
                <w:b/>
                <w:szCs w:val="24"/>
              </w:rPr>
            </w:pPr>
            <w:r w:rsidRPr="004B4B05">
              <w:rPr>
                <w:b/>
              </w:rPr>
              <w:t xml:space="preserve">Lei nº </w:t>
            </w:r>
            <w:r>
              <w:rPr>
                <w:b/>
              </w:rPr>
              <w:t>6</w:t>
            </w:r>
            <w:r w:rsidRPr="004B4B05">
              <w:rPr>
                <w:b/>
              </w:rPr>
              <w:t>.</w:t>
            </w:r>
            <w:r>
              <w:rPr>
                <w:b/>
              </w:rPr>
              <w:t>116</w:t>
            </w:r>
            <w:r>
              <w:rPr>
                <w:b/>
              </w:rPr>
              <w:t>/20</w:t>
            </w:r>
            <w:r>
              <w:rPr>
                <w:b/>
              </w:rPr>
              <w:t>2</w:t>
            </w:r>
            <w:r w:rsidR="006702A6">
              <w:rPr>
                <w:b/>
              </w:rPr>
              <w:t>1</w:t>
            </w:r>
          </w:p>
        </w:tc>
        <w:tc>
          <w:tcPr>
            <w:tcW w:w="4394" w:type="dxa"/>
            <w:vAlign w:val="center"/>
          </w:tcPr>
          <w:p w:rsidR="00CD4770" w:rsidP="00CD4770" w14:paraId="48262860" w14:textId="77777777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CD4770" w:rsidRPr="004B4B05" w:rsidP="00CD4770" w14:paraId="0EEA8299" w14:textId="1FDD8987">
            <w:pPr>
              <w:spacing w:line="360" w:lineRule="auto"/>
              <w:jc w:val="center"/>
              <w:rPr>
                <w:b/>
                <w:szCs w:val="24"/>
              </w:rPr>
            </w:pPr>
            <w:r w:rsidRPr="004B4B05">
              <w:rPr>
                <w:b/>
                <w:szCs w:val="24"/>
              </w:rPr>
              <w:t xml:space="preserve">PL 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21</w:t>
            </w:r>
            <w:r w:rsidRPr="004B4B05">
              <w:rPr>
                <w:b/>
                <w:szCs w:val="24"/>
              </w:rPr>
              <w:t>/2023</w:t>
            </w:r>
          </w:p>
        </w:tc>
      </w:tr>
      <w:tr w14:paraId="5F52A763" w14:textId="77777777" w:rsidTr="00565676">
        <w:tblPrEx>
          <w:tblW w:w="8897" w:type="dxa"/>
          <w:tblLayout w:type="fixed"/>
          <w:tblLook w:val="04A0"/>
        </w:tblPrEx>
        <w:trPr>
          <w:trHeight w:val="70"/>
        </w:trPr>
        <w:tc>
          <w:tcPr>
            <w:tcW w:w="4503" w:type="dxa"/>
          </w:tcPr>
          <w:p w:rsidR="00CD4770" w:rsidP="00CD4770" w14:paraId="7AE7CB9B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b/>
                <w:i/>
              </w:rPr>
            </w:pPr>
          </w:p>
          <w:p w:rsidR="00CD4770" w:rsidRPr="00CD4770" w:rsidP="00CD4770" w14:paraId="69E4CB2A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b/>
                <w:i/>
              </w:rPr>
              <w:t>Art. 3º.</w:t>
            </w:r>
            <w:r w:rsidRPr="00CD4770">
              <w:rPr>
                <w:i/>
              </w:rPr>
              <w:t xml:space="preserve"> O Programa Municipal de Pagamento por Serviços Ambientais - PMPSA será executado mediante os seguintes instrumentos:</w:t>
            </w:r>
          </w:p>
          <w:p w:rsidR="00CD4770" w:rsidRPr="00CD4770" w:rsidP="00CD4770" w14:paraId="09530691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projetos</w:t>
            </w:r>
            <w:r w:rsidRPr="00CD4770">
              <w:rPr>
                <w:i/>
              </w:rPr>
              <w:t xml:space="preserve"> de pagamento por serviços ambientais;</w:t>
            </w:r>
          </w:p>
          <w:p w:rsidR="00CD4770" w:rsidRPr="00CD4770" w:rsidP="00CD4770" w14:paraId="512FA943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captação</w:t>
            </w:r>
            <w:r w:rsidRPr="00CD4770">
              <w:rPr>
                <w:i/>
              </w:rPr>
              <w:t>, gestão e transferência de recursos dirigidos ao pagamento dos serviços ambientais;</w:t>
            </w:r>
          </w:p>
          <w:p w:rsidR="00CD4770" w:rsidRPr="00CD4770" w:rsidP="00CD4770" w14:paraId="2C7D5F36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convênios</w:t>
            </w:r>
            <w:r w:rsidRPr="00CD4770">
              <w:rPr>
                <w:i/>
              </w:rPr>
              <w:t xml:space="preserve"> e parcerias técnico-financeiras;</w:t>
            </w:r>
          </w:p>
          <w:p w:rsidR="00CD4770" w:rsidRPr="00CD4770" w:rsidP="00CD4770" w14:paraId="60BA555C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assistência</w:t>
            </w:r>
            <w:r w:rsidRPr="00CD4770">
              <w:rPr>
                <w:i/>
              </w:rPr>
              <w:t xml:space="preserve"> técnica e capacitação voltadas à promoção dos serviços ambientais;</w:t>
            </w:r>
          </w:p>
          <w:p w:rsidR="00CD4770" w:rsidRPr="00CD4770" w:rsidP="00CD4770" w14:paraId="676993D8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inventário</w:t>
            </w:r>
            <w:r w:rsidRPr="00CD4770">
              <w:rPr>
                <w:i/>
              </w:rPr>
              <w:t xml:space="preserve"> de áreas potenciais para a promoção de serviços ambientais;</w:t>
            </w:r>
          </w:p>
          <w:p w:rsidR="00CD4770" w:rsidRPr="00CD4770" w:rsidP="00CD4770" w14:paraId="5859B51C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banco</w:t>
            </w:r>
            <w:r w:rsidRPr="00CD4770">
              <w:rPr>
                <w:i/>
              </w:rPr>
              <w:t xml:space="preserve"> de áreas verdes; e</w:t>
            </w:r>
          </w:p>
          <w:p w:rsidR="00CD4770" w:rsidRPr="00CD4770" w:rsidP="00CD4770" w14:paraId="0485E5BE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cadastro</w:t>
            </w:r>
            <w:r w:rsidRPr="00CD4770">
              <w:rPr>
                <w:i/>
              </w:rPr>
              <w:t xml:space="preserve"> municipal do Programa Municipal de Pagamento por Serviços Ambientais - PMPSA.</w:t>
            </w:r>
          </w:p>
          <w:p w:rsidR="00CD4770" w:rsidRPr="00CD4770" w:rsidP="00CD4770" w14:paraId="1B99C54A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  <w:sz w:val="12"/>
                <w:szCs w:val="12"/>
              </w:rPr>
            </w:pPr>
          </w:p>
          <w:p w:rsidR="00CD4770" w:rsidRPr="00CD4770" w:rsidP="00CD4770" w14:paraId="1FCB5316" w14:textId="15D80739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 xml:space="preserve">§ 1º. O Programa Municipal de Pagamento por Serviços Ambientais – PMPSA será executado </w:t>
            </w:r>
            <w:r w:rsidRPr="00CD4770">
              <w:rPr>
                <w:i/>
              </w:rPr>
              <w:t>através de um Comitê Gestor designado para este fim.</w:t>
            </w:r>
          </w:p>
          <w:p w:rsidR="00CD4770" w:rsidP="00CD4770" w14:paraId="558A97C0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563F3B26" w14:textId="5F97970C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>§ 2º. A transferência de recursos de que trata o inciso II do caput pode ocorrer nas seguintes modalidades, entre outras:</w:t>
            </w:r>
          </w:p>
          <w:p w:rsidR="00CD4770" w:rsidRPr="00CD4770" w:rsidP="00CD4770" w14:paraId="52CCF792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pagamento</w:t>
            </w:r>
            <w:r w:rsidRPr="00CD4770">
              <w:rPr>
                <w:i/>
              </w:rPr>
              <w:t xml:space="preserve"> direto, monetário ou não monetário, públicos ou privados;</w:t>
            </w:r>
          </w:p>
          <w:p w:rsidR="00CD4770" w:rsidRPr="00CD4770" w:rsidP="00CD4770" w14:paraId="1C4282EB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prestação</w:t>
            </w:r>
            <w:r w:rsidRPr="00CD4770">
              <w:rPr>
                <w:i/>
              </w:rPr>
              <w:t xml:space="preserve"> de melhorias sociais a comunidades rurais e urbanas;</w:t>
            </w:r>
          </w:p>
          <w:p w:rsidR="00CD4770" w:rsidRPr="00CD4770" w:rsidP="00CD4770" w14:paraId="3EA533E8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compensação</w:t>
            </w:r>
            <w:r w:rsidRPr="00CD4770">
              <w:rPr>
                <w:i/>
              </w:rPr>
              <w:t xml:space="preserve"> vinculada a certificado de redução de emissões por desmatamento e degradação;</w:t>
            </w:r>
          </w:p>
          <w:p w:rsidR="00CD4770" w:rsidRPr="00CD4770" w:rsidP="00CD4770" w14:paraId="62C53082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títulos</w:t>
            </w:r>
            <w:r w:rsidRPr="00CD4770">
              <w:rPr>
                <w:i/>
              </w:rPr>
              <w:t xml:space="preserve"> verdes (</w:t>
            </w:r>
            <w:r w:rsidRPr="00CD4770">
              <w:rPr>
                <w:i/>
              </w:rPr>
              <w:t>green</w:t>
            </w:r>
            <w:r w:rsidRPr="00CD4770">
              <w:rPr>
                <w:i/>
              </w:rPr>
              <w:t xml:space="preserve"> </w:t>
            </w:r>
            <w:r w:rsidRPr="00CD4770">
              <w:rPr>
                <w:i/>
              </w:rPr>
              <w:t>bonds</w:t>
            </w:r>
            <w:r w:rsidRPr="00CD4770">
              <w:rPr>
                <w:i/>
              </w:rPr>
              <w:t>);</w:t>
            </w:r>
          </w:p>
          <w:p w:rsidR="00CD4770" w:rsidRPr="00CD4770" w:rsidP="00CD4770" w14:paraId="41E2D447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comodato</w:t>
            </w:r>
            <w:r w:rsidRPr="00CD4770">
              <w:rPr>
                <w:i/>
              </w:rPr>
              <w:t>.</w:t>
            </w:r>
          </w:p>
          <w:p w:rsidR="00CD4770" w:rsidP="00CD4770" w14:paraId="03608868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35F67498" w14:textId="7894E6A0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>§ 3º. É permitida a cumulação dos recursos transferidos através deste Programa com benefícios fiscais em relação ao IPTU quando a área objeto dos serviços ambientais se encontrar em zoneamento urbano;</w:t>
            </w:r>
          </w:p>
          <w:p w:rsidR="00CD4770" w:rsidP="00CD4770" w14:paraId="541E3EA5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4AE3CC07" w14:textId="2219D572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>§ 4º. O inventário de áreas potenciais deverá ser atualizado periodicamente, contendo a análise de priorização das áreas, salvaguardadas as restrições de elegibilidade definidas nesta Lei e em suas regulamentações.</w:t>
            </w:r>
          </w:p>
          <w:p w:rsidR="00CD4770" w:rsidP="00CD4770" w14:paraId="2A58470D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2016F619" w14:textId="53FCF538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 xml:space="preserve">§ 5º. O Cadastro Municipal de Pagamento por Serviços Ambientais tem como objetivos integrar, gerenciar e compartilhar dados e informações das iniciativas de Pagamento por Serviços Ambientais </w:t>
            </w:r>
            <w:r w:rsidRPr="00CD4770">
              <w:rPr>
                <w:i/>
              </w:rPr>
              <w:t>implementadas</w:t>
            </w:r>
            <w:r w:rsidRPr="00CD4770">
              <w:rPr>
                <w:i/>
              </w:rPr>
              <w:t xml:space="preserve"> no Município, devendo conter, no mínimo:</w:t>
            </w:r>
          </w:p>
          <w:p w:rsidR="00CD4770" w:rsidRPr="00CD4770" w:rsidP="00CD4770" w14:paraId="2BEBD07C" w14:textId="77777777">
            <w:pPr>
              <w:numPr>
                <w:ilvl w:val="0"/>
                <w:numId w:val="7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os</w:t>
            </w:r>
            <w:r w:rsidRPr="00CD4770">
              <w:rPr>
                <w:i/>
              </w:rPr>
              <w:t xml:space="preserve"> contratos de pagamento por serviços ambientais realizados envolvendo agentes públicos e privados;</w:t>
            </w:r>
          </w:p>
          <w:p w:rsidR="00CD4770" w:rsidRPr="00CD4770" w:rsidP="00CD4770" w14:paraId="10A9EFC1" w14:textId="77777777">
            <w:pPr>
              <w:numPr>
                <w:ilvl w:val="0"/>
                <w:numId w:val="7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as</w:t>
            </w:r>
            <w:r w:rsidRPr="00CD4770">
              <w:rPr>
                <w:i/>
              </w:rPr>
              <w:t xml:space="preserve"> áreas potenciais e os respectivos serviços ambientais prestados;</w:t>
            </w:r>
          </w:p>
          <w:p w:rsidR="00CD4770" w:rsidRPr="00CD4770" w:rsidP="00CD4770" w14:paraId="625F7642" w14:textId="77777777">
            <w:pPr>
              <w:numPr>
                <w:ilvl w:val="0"/>
                <w:numId w:val="7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as</w:t>
            </w:r>
            <w:r w:rsidRPr="00CD4770">
              <w:rPr>
                <w:i/>
              </w:rPr>
              <w:t xml:space="preserve"> informações sobre os projetos que integram a política municipal.</w:t>
            </w:r>
          </w:p>
          <w:p w:rsidR="00CD4770" w:rsidRPr="00ED4771" w:rsidP="00565676" w14:paraId="7B01F87A" w14:textId="77777777">
            <w:pPr>
              <w:pStyle w:val="BodyTextIndent3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i/>
                <w:szCs w:val="22"/>
              </w:rPr>
            </w:pPr>
          </w:p>
        </w:tc>
        <w:tc>
          <w:tcPr>
            <w:tcW w:w="4394" w:type="dxa"/>
          </w:tcPr>
          <w:p w:rsidR="00CD4770" w:rsidP="00565676" w14:paraId="297AE642" w14:textId="77777777">
            <w:pPr>
              <w:jc w:val="both"/>
              <w:rPr>
                <w:b/>
                <w:i/>
              </w:rPr>
            </w:pPr>
          </w:p>
          <w:p w:rsidR="00CD4770" w:rsidRPr="00CD4770" w:rsidP="00565676" w14:paraId="5640B628" w14:textId="1479B96A">
            <w:pPr>
              <w:jc w:val="both"/>
              <w:rPr>
                <w:i/>
              </w:rPr>
            </w:pPr>
            <w:r w:rsidRPr="00CD4770">
              <w:rPr>
                <w:b/>
                <w:i/>
              </w:rPr>
              <w:t>Art. 1º.</w:t>
            </w:r>
            <w:r w:rsidRPr="00CD4770">
              <w:rPr>
                <w:i/>
              </w:rPr>
              <w:t xml:space="preserve"> É incluso o § 6º ao art. 3º da Lei nº 6.116, de 22 de junho de 2021, que “Institui o Programa Municipal de Pagamento por Serviços Ambientais - PMPSA no Município de Valinhos”, nos seguintes termos:</w:t>
            </w:r>
          </w:p>
          <w:p w:rsidR="00CD4770" w:rsidRPr="00CD4770" w:rsidP="00565676" w14:paraId="1CCAE25D" w14:textId="77777777">
            <w:pPr>
              <w:jc w:val="both"/>
              <w:rPr>
                <w:i/>
              </w:rPr>
            </w:pPr>
          </w:p>
          <w:p w:rsidR="00CD4770" w:rsidRPr="000356B7" w:rsidP="00CD4770" w14:paraId="782FDD88" w14:textId="2ACB59CC">
            <w:pPr>
              <w:ind w:left="317"/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0356B7">
              <w:rPr>
                <w:b/>
                <w:i/>
              </w:rPr>
              <w:t>§ 6º- As áreas de Reserva Legal, assim definidas no Código Florestal (Lei Federal nº 12.651, de 25 de maio de 2012), também podem ser beneficiadas por este programa como áreas potenciais;</w:t>
            </w:r>
          </w:p>
        </w:tc>
      </w:tr>
    </w:tbl>
    <w:p w:rsidR="00CD4770" w:rsidP="0007498D" w14:paraId="16F9FC95" w14:textId="77777777">
      <w:pPr>
        <w:spacing w:after="120" w:line="360" w:lineRule="auto"/>
        <w:ind w:firstLine="1701"/>
        <w:jc w:val="both"/>
        <w:rPr>
          <w:rFonts w:ascii="Calibri" w:hAnsi="Calibri" w:cs="Calibri"/>
          <w:i/>
          <w:sz w:val="24"/>
          <w:szCs w:val="24"/>
        </w:rPr>
      </w:pPr>
    </w:p>
    <w:p w:rsidR="0007498D" w:rsidRPr="007A6FC8" w:rsidP="0007498D" w14:paraId="701D56D6" w14:textId="7DFDA328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i/>
          <w:sz w:val="24"/>
          <w:szCs w:val="24"/>
        </w:rPr>
        <w:t>Ab initio</w:t>
      </w:r>
      <w:r w:rsidRPr="007A6FC8">
        <w:rPr>
          <w:rFonts w:ascii="Calibri" w:hAnsi="Calibri" w:cs="Calibri"/>
          <w:sz w:val="24"/>
          <w:szCs w:val="24"/>
        </w:rPr>
        <w:t xml:space="preserve">, cumpre destacar a competência regimental da Comissão </w:t>
      </w:r>
      <w:r w:rsidRPr="007A6FC8">
        <w:rPr>
          <w:rFonts w:ascii="Calibri" w:hAnsi="Calibri" w:cs="Calibri"/>
          <w:sz w:val="24"/>
          <w:szCs w:val="24"/>
        </w:rPr>
        <w:t>de</w:t>
      </w:r>
      <w:r w:rsidRPr="007A6FC8">
        <w:rPr>
          <w:rFonts w:ascii="Calibri" w:hAnsi="Calibri" w:cs="Calibri"/>
          <w:sz w:val="24"/>
          <w:szCs w:val="24"/>
        </w:rPr>
        <w:t xml:space="preserve"> Justiça e Redação estabelecida no artigo 38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7A6FC8">
        <w:rPr>
          <w:rFonts w:ascii="Calibri" w:hAnsi="Calibri" w:cs="Calibri"/>
          <w:sz w:val="24"/>
          <w:szCs w:val="24"/>
        </w:rPr>
        <w:t>.</w:t>
      </w:r>
    </w:p>
    <w:p w:rsidR="0007498D" w:rsidRPr="007A6FC8" w:rsidP="0007498D" w14:paraId="030A5AC5" w14:textId="2FDCC7E0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>Outrossim</w:t>
      </w:r>
      <w:r w:rsidRPr="007A6FC8">
        <w:rPr>
          <w:rFonts w:ascii="Calibri" w:hAnsi="Calibri" w:cs="Calibri"/>
          <w:sz w:val="24"/>
          <w:szCs w:val="24"/>
        </w:rPr>
        <w:t xml:space="preserve">, ressalta-se que a opinião jurídica exarada nesse parecer </w:t>
      </w:r>
      <w:r w:rsidRPr="007A6FC8">
        <w:rPr>
          <w:rFonts w:ascii="Calibri" w:hAnsi="Calibri" w:cs="Calibri"/>
          <w:b/>
          <w:sz w:val="24"/>
          <w:szCs w:val="24"/>
        </w:rPr>
        <w:t>não tem força vinculante</w:t>
      </w:r>
      <w:r w:rsidRPr="007A6FC8">
        <w:rPr>
          <w:rFonts w:ascii="Calibri" w:hAnsi="Calibri" w:cs="Calibri"/>
          <w:sz w:val="24"/>
          <w:szCs w:val="24"/>
        </w:rPr>
        <w:t>, sendo meramente opinativo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7A6FC8">
        <w:rPr>
          <w:rFonts w:ascii="Calibri" w:hAnsi="Calibri" w:cs="Calibri"/>
          <w:sz w:val="24"/>
          <w:szCs w:val="24"/>
        </w:rPr>
        <w:t xml:space="preserve"> não fundamentando decisão proferida pelas Comissões e/ou nobres vereadores. </w:t>
      </w:r>
    </w:p>
    <w:p w:rsidR="0007498D" w:rsidRPr="007A6FC8" w:rsidP="0007498D" w14:paraId="6CA168D4" w14:textId="77777777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7A6FC8">
        <w:rPr>
          <w:rFonts w:ascii="Calibri" w:hAnsi="Calibri" w:cs="Calibri"/>
          <w:color w:val="auto"/>
        </w:rPr>
        <w:t xml:space="preserve">Considerando-se os aspectos jurídicos passa-se a </w:t>
      </w:r>
      <w:r w:rsidRPr="000356B7">
        <w:rPr>
          <w:rFonts w:ascii="Calibri" w:hAnsi="Calibri" w:cs="Calibri"/>
          <w:color w:val="auto"/>
        </w:rPr>
        <w:t>análise técnica</w:t>
      </w:r>
      <w:r w:rsidRPr="007A6FC8">
        <w:rPr>
          <w:rFonts w:ascii="Calibri" w:hAnsi="Calibri" w:cs="Calibri"/>
          <w:color w:val="auto"/>
        </w:rPr>
        <w:t xml:space="preserve"> do projeto. </w:t>
      </w:r>
    </w:p>
    <w:p w:rsidR="0007498D" w:rsidRPr="007A6FC8" w:rsidP="000F1088" w14:paraId="13FB8078" w14:textId="17DFD2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7A6FC8">
        <w:rPr>
          <w:rFonts w:ascii="Calibri" w:hAnsi="Calibri" w:cstheme="minorHAnsi"/>
        </w:rPr>
        <w:t xml:space="preserve">No que tange à </w:t>
      </w:r>
      <w:r w:rsidRPr="007A6FC8">
        <w:rPr>
          <w:rFonts w:ascii="Calibri" w:hAnsi="Calibri" w:cstheme="minorHAnsi"/>
          <w:b/>
        </w:rPr>
        <w:t>competência municipal</w:t>
      </w:r>
      <w:r w:rsidRPr="007A6FC8">
        <w:rPr>
          <w:rFonts w:ascii="Calibri" w:hAnsi="Calibri" w:cstheme="minorHAnsi"/>
        </w:rPr>
        <w:t xml:space="preserve"> os Municípios foram dotados de autonomia legislativa </w:t>
      </w:r>
      <w:r w:rsidRPr="007A6FC8">
        <w:rPr>
          <w:rFonts w:ascii="Calibri" w:hAnsi="Calibri" w:cs="Calibri"/>
        </w:rPr>
        <w:t>que vem consubstanciada na capacidade de legislar sobre assuntos de interesse local (art. 30, I da CRFB) e de suplementar a legislação federal e a estadual no qu</w:t>
      </w:r>
      <w:r w:rsidR="000F1088">
        <w:rPr>
          <w:rFonts w:ascii="Calibri" w:hAnsi="Calibri" w:cs="Calibri"/>
        </w:rPr>
        <w:t>e couber (art. 30, II da CRFB).</w:t>
      </w:r>
    </w:p>
    <w:p w:rsidR="0007498D" w:rsidRPr="007A6FC8" w:rsidP="0007498D" w14:paraId="617CD354" w14:textId="77777777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  <w:r w:rsidRPr="007A6FC8">
        <w:rPr>
          <w:rFonts w:ascii="Calibri" w:hAnsi="Calibri" w:cs="Calibri"/>
          <w:sz w:val="24"/>
          <w:szCs w:val="24"/>
        </w:rPr>
        <w:t>No mesmo sentido, segue previsão da Lei Orgânica do Município de Valinhos:</w:t>
      </w:r>
    </w:p>
    <w:p w:rsidR="0007498D" w:rsidRPr="007A6FC8" w:rsidP="0007498D" w14:paraId="0CC434BB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7A6FC8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 Artigo 8º - 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 xml:space="preserve">Cabe à Câmara, com a sanção do Prefeito, observadas as determinações e a hierarquia constitucional, </w:t>
      </w:r>
      <w:r w:rsidRPr="007A6FC8">
        <w:rPr>
          <w:rFonts w:ascii="Calibri" w:hAnsi="Calibri" w:cs="Calibri"/>
          <w:b/>
          <w:i/>
          <w:color w:val="auto"/>
          <w:sz w:val="22"/>
          <w:szCs w:val="22"/>
        </w:rPr>
        <w:t>suplementar a legislação Federal e Estadual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>que o Município detenha a maioria do capital social com direito a voto, especialmente:</w:t>
      </w:r>
    </w:p>
    <w:p w:rsidR="0007498D" w:rsidRPr="007A6FC8" w:rsidP="000F1088" w14:paraId="5E279D08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7A6FC8">
        <w:rPr>
          <w:rFonts w:ascii="Calibri" w:hAnsi="Calibri" w:cs="Calibri"/>
          <w:bCs/>
          <w:i/>
          <w:color w:val="auto"/>
          <w:sz w:val="22"/>
          <w:szCs w:val="22"/>
        </w:rPr>
        <w:t>(.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>..)</w:t>
      </w:r>
    </w:p>
    <w:p w:rsidR="0007498D" w:rsidRPr="007A6FC8" w:rsidP="000F1088" w14:paraId="30C03777" w14:textId="77777777">
      <w:pPr>
        <w:tabs>
          <w:tab w:val="left" w:pos="6315"/>
        </w:tabs>
        <w:spacing w:after="0"/>
        <w:ind w:left="2268"/>
        <w:jc w:val="both"/>
        <w:rPr>
          <w:rFonts w:ascii="Calibri" w:eastAsia="Calibri" w:hAnsi="Calibri" w:cs="Calibri"/>
          <w:i/>
        </w:rPr>
      </w:pPr>
      <w:r w:rsidRPr="007A6FC8">
        <w:rPr>
          <w:rFonts w:ascii="Calibri" w:eastAsia="Calibri" w:hAnsi="Calibri" w:cs="Calibri"/>
          <w:i/>
        </w:rPr>
        <w:t xml:space="preserve">I - legislar sobre assuntos de </w:t>
      </w:r>
      <w:r w:rsidRPr="007A6FC8">
        <w:rPr>
          <w:rFonts w:ascii="Calibri" w:eastAsia="Calibri" w:hAnsi="Calibri" w:cs="Calibri"/>
          <w:b/>
          <w:i/>
        </w:rPr>
        <w:t>interesse local;</w:t>
      </w:r>
    </w:p>
    <w:p w:rsidR="0007498D" w:rsidRPr="007A6FC8" w:rsidP="000F1088" w14:paraId="591C97DC" w14:textId="77777777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7A6FC8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II - </w:t>
      </w:r>
      <w:r w:rsidRPr="007A6FC8">
        <w:rPr>
          <w:rFonts w:ascii="Calibri" w:hAnsi="Calibri" w:cs="Calibri"/>
          <w:b/>
          <w:i/>
          <w:color w:val="auto"/>
          <w:sz w:val="22"/>
          <w:szCs w:val="22"/>
          <w:lang w:eastAsia="en-US"/>
        </w:rPr>
        <w:t>suplementar a legislação federal e a estadual</w:t>
      </w:r>
      <w:r w:rsidRPr="007A6FC8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 no que couber;</w:t>
      </w:r>
    </w:p>
    <w:p w:rsidR="0007498D" w:rsidRPr="007A6FC8" w:rsidP="0007498D" w14:paraId="38FAC5A3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i/>
          <w:sz w:val="12"/>
          <w:szCs w:val="12"/>
        </w:rPr>
      </w:pPr>
    </w:p>
    <w:p w:rsidR="0007498D" w:rsidRPr="007A6FC8" w:rsidP="0007498D" w14:paraId="077CDB94" w14:textId="77777777">
      <w:pPr>
        <w:pStyle w:val="Default"/>
        <w:spacing w:after="240" w:line="300" w:lineRule="auto"/>
        <w:ind w:firstLine="1701"/>
        <w:jc w:val="both"/>
        <w:rPr>
          <w:rFonts w:ascii="Calibri" w:hAnsi="Calibri" w:cs="Calibri"/>
        </w:rPr>
      </w:pPr>
      <w:r w:rsidRPr="007A6FC8">
        <w:rPr>
          <w:rFonts w:ascii="Calibri" w:hAnsi="Calibri" w:cs="Calibri"/>
        </w:rPr>
        <w:t>Acerca do conceito de interesse local o saudoso professor Hely Lopes Meirelles leciona:</w:t>
      </w:r>
    </w:p>
    <w:p w:rsidR="0007498D" w:rsidRPr="007A6FC8" w:rsidP="0007498D" w14:paraId="5C007CAE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b/>
          <w:i/>
          <w:color w:val="000000"/>
        </w:rPr>
      </w:pPr>
      <w:r w:rsidRPr="007A6FC8">
        <w:rPr>
          <w:rFonts w:ascii="Calibri" w:eastAsia="Calibri" w:hAnsi="Calibri" w:cs="Calibr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7A6FC8">
        <w:rPr>
          <w:rFonts w:ascii="Calibri" w:eastAsia="Calibri" w:hAnsi="Calibri" w:cs="Calibri"/>
          <w:i/>
          <w:color w:val="000000"/>
        </w:rPr>
        <w:t xml:space="preserve">essa </w:t>
      </w:r>
      <w:r w:rsidRPr="007A6FC8">
        <w:rPr>
          <w:rFonts w:ascii="Calibri" w:eastAsia="Calibri" w:hAnsi="Calibri" w:cs="Calibri"/>
          <w:i/>
          <w:color w:val="000000"/>
        </w:rPr>
        <w:t>privatividade</w:t>
      </w:r>
      <w:r w:rsidRPr="007A6FC8">
        <w:rPr>
          <w:rFonts w:ascii="Calibri" w:eastAsia="Calibri" w:hAnsi="Calibri" w:cs="Calibri"/>
          <w:i/>
          <w:color w:val="000000"/>
        </w:rPr>
        <w:t>, essa unicidade, bem reduzido</w:t>
      </w:r>
      <w:r w:rsidRPr="007A6FC8">
        <w:rPr>
          <w:rFonts w:ascii="Calibri" w:eastAsia="Calibri" w:hAnsi="Calibri" w:cs="Calibr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7A6FC8">
        <w:rPr>
          <w:rFonts w:ascii="Calibri" w:eastAsia="Calibri" w:hAnsi="Calibri" w:cs="Calibr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7A6FC8">
        <w:rPr>
          <w:rFonts w:ascii="Calibri" w:eastAsia="Calibri" w:hAnsi="Calibri" w:cs="Calibri"/>
          <w:b/>
          <w:i/>
          <w:color w:val="000000"/>
        </w:rPr>
        <w:t>gn</w:t>
      </w:r>
      <w:r w:rsidRPr="007A6FC8">
        <w:rPr>
          <w:rFonts w:ascii="Calibri" w:eastAsia="Calibri" w:hAnsi="Calibri" w:cs="Calibri"/>
          <w:b/>
          <w:i/>
          <w:color w:val="000000"/>
        </w:rPr>
        <w:t>)</w:t>
      </w:r>
    </w:p>
    <w:p w:rsidR="0007498D" w:rsidRPr="007A6FC8" w:rsidP="0007498D" w14:paraId="19BBF6BB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i/>
          <w:color w:val="000000"/>
        </w:rPr>
      </w:pPr>
      <w:r w:rsidRPr="007A6FC8">
        <w:rPr>
          <w:rFonts w:ascii="Calibri" w:eastAsia="Calibri" w:hAnsi="Calibri" w:cs="Calibr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7A6FC8">
        <w:rPr>
          <w:rFonts w:ascii="Calibri" w:eastAsia="Calibri" w:hAnsi="Calibri" w:cs="Calibri"/>
          <w:i/>
          <w:color w:val="000000"/>
        </w:rPr>
        <w:t>98)</w:t>
      </w:r>
    </w:p>
    <w:p w:rsidR="0007498D" w:rsidRPr="007A6FC8" w:rsidP="0007498D" w14:paraId="5AF51D67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hAnsi="Calibri" w:cstheme="minorHAnsi"/>
          <w:sz w:val="4"/>
          <w:szCs w:val="4"/>
        </w:rPr>
      </w:pPr>
    </w:p>
    <w:p w:rsidR="0007498D" w:rsidRPr="007A6FC8" w:rsidP="0007498D" w14:paraId="0875DE79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 xml:space="preserve">No que tange à competência para legislar em </w:t>
      </w:r>
      <w:r w:rsidRPr="007A6FC8">
        <w:rPr>
          <w:rFonts w:ascii="Calibri" w:hAnsi="Calibri" w:cstheme="minorHAnsi"/>
          <w:b/>
          <w:sz w:val="24"/>
          <w:szCs w:val="24"/>
        </w:rPr>
        <w:t>matéria ambiental</w:t>
      </w:r>
      <w:r w:rsidRPr="007A6FC8">
        <w:rPr>
          <w:rFonts w:ascii="Calibri" w:hAnsi="Calibri" w:cstheme="minorHAnsi"/>
          <w:color w:val="000000"/>
          <w:sz w:val="24"/>
          <w:szCs w:val="24"/>
          <w:shd w:val="clear" w:color="auto" w:fill="FFFFFF"/>
        </w:rPr>
        <w:t xml:space="preserve"> o art. 24, d</w:t>
      </w:r>
      <w:r w:rsidRPr="007A6FC8">
        <w:rPr>
          <w:rFonts w:ascii="Calibri" w:hAnsi="Calibri" w:cstheme="minorHAnsi"/>
          <w:sz w:val="24"/>
          <w:szCs w:val="24"/>
        </w:rPr>
        <w:t>a Constituição Federal estabelece:</w:t>
      </w:r>
    </w:p>
    <w:p w:rsidR="0007498D" w:rsidRPr="007A6FC8" w:rsidP="0007498D" w14:paraId="2CE48A92" w14:textId="77777777">
      <w:pPr>
        <w:tabs>
          <w:tab w:val="left" w:pos="2268"/>
        </w:tabs>
        <w:autoSpaceDE w:val="0"/>
        <w:autoSpaceDN w:val="0"/>
        <w:adjustRightInd w:val="0"/>
        <w:ind w:left="2268"/>
        <w:jc w:val="both"/>
        <w:rPr>
          <w:rFonts w:ascii="Calibri" w:hAnsi="Calibri" w:cstheme="minorHAnsi"/>
          <w:i/>
          <w:shd w:val="clear" w:color="auto" w:fill="FFFFFF"/>
        </w:rPr>
      </w:pPr>
      <w:bookmarkStart w:id="0" w:name="art24"/>
      <w:bookmarkStart w:id="1" w:name="cfart24"/>
      <w:bookmarkEnd w:id="0"/>
      <w:bookmarkEnd w:id="1"/>
      <w:r w:rsidRPr="007A6FC8">
        <w:rPr>
          <w:rFonts w:ascii="Calibri" w:hAnsi="Calibri" w:cstheme="minorHAnsi"/>
          <w:i/>
          <w:shd w:val="clear" w:color="auto" w:fill="FFFFFF"/>
        </w:rPr>
        <w:t xml:space="preserve">Art. 24. Compete à </w:t>
      </w:r>
      <w:r w:rsidRPr="007A6FC8">
        <w:rPr>
          <w:rFonts w:ascii="Calibri" w:hAnsi="Calibri" w:cstheme="minorHAnsi"/>
          <w:i/>
          <w:u w:val="single"/>
          <w:shd w:val="clear" w:color="auto" w:fill="FFFFFF"/>
        </w:rPr>
        <w:t xml:space="preserve">União, aos Estados e ao Distrito Federal </w:t>
      </w:r>
      <w:r w:rsidRPr="007A6FC8">
        <w:rPr>
          <w:rFonts w:ascii="Calibri" w:hAnsi="Calibri" w:cstheme="minorHAnsi"/>
          <w:b/>
          <w:i/>
          <w:shd w:val="clear" w:color="auto" w:fill="FFFFFF"/>
        </w:rPr>
        <w:t xml:space="preserve">legislar </w:t>
      </w:r>
      <w:r w:rsidRPr="007A6FC8">
        <w:rPr>
          <w:rFonts w:ascii="Calibri" w:hAnsi="Calibri" w:cstheme="minorHAnsi"/>
          <w:i/>
          <w:shd w:val="clear" w:color="auto" w:fill="FFFFFF"/>
        </w:rPr>
        <w:t>concorrentemente sobre:</w:t>
      </w:r>
    </w:p>
    <w:p w:rsidR="0007498D" w:rsidRPr="007A6FC8" w:rsidP="0007498D" w14:paraId="56A4C8DF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ascii="Calibri" w:eastAsia="Calibri" w:hAnsi="Calibri" w:cstheme="minorHAnsi"/>
          <w:i/>
        </w:rPr>
      </w:pPr>
      <w:r w:rsidRPr="007A6FC8">
        <w:rPr>
          <w:rFonts w:ascii="Calibri" w:eastAsia="Calibri" w:hAnsi="Calibri" w:cstheme="minorHAnsi"/>
          <w:i/>
        </w:rPr>
        <w:t>(...)</w:t>
      </w:r>
    </w:p>
    <w:p w:rsidR="0007498D" w:rsidRPr="007A6FC8" w:rsidP="0007498D" w14:paraId="0ABAF7F2" w14:textId="77777777">
      <w:pPr>
        <w:shd w:val="clear" w:color="auto" w:fill="FFFFFF"/>
        <w:tabs>
          <w:tab w:val="left" w:pos="2268"/>
        </w:tabs>
        <w:ind w:left="2268"/>
        <w:jc w:val="both"/>
        <w:rPr>
          <w:rFonts w:ascii="Calibri" w:hAnsi="Calibri" w:cstheme="minorHAnsi"/>
          <w:i/>
          <w:color w:val="000000"/>
        </w:rPr>
      </w:pPr>
      <w:r w:rsidRPr="007A6FC8">
        <w:rPr>
          <w:rFonts w:ascii="Calibri" w:hAnsi="Calibri" w:cstheme="minorHAnsi"/>
          <w:i/>
          <w:color w:val="000000"/>
        </w:rPr>
        <w:t xml:space="preserve">VI - florestas, caça, </w:t>
      </w:r>
      <w:r w:rsidRPr="007A6FC8">
        <w:rPr>
          <w:rFonts w:ascii="Calibri" w:hAnsi="Calibri" w:cstheme="minorHAnsi"/>
          <w:i/>
          <w:color w:val="000000"/>
        </w:rPr>
        <w:t>pesca</w:t>
      </w:r>
      <w:r w:rsidRPr="000F1088">
        <w:rPr>
          <w:rFonts w:ascii="Calibri" w:hAnsi="Calibri" w:cstheme="minorHAnsi"/>
          <w:i/>
          <w:color w:val="000000"/>
        </w:rPr>
        <w:t>, fauna,</w:t>
      </w:r>
      <w:r w:rsidRPr="007A6FC8">
        <w:rPr>
          <w:rFonts w:ascii="Calibri" w:hAnsi="Calibri" w:cstheme="minorHAnsi"/>
          <w:i/>
          <w:color w:val="000000"/>
        </w:rPr>
        <w:t xml:space="preserve"> conservação da natureza, defesa do solo e dos recursos naturais, proteção do meio ambiente e controle da poluição;”</w:t>
      </w:r>
    </w:p>
    <w:p w:rsidR="0007498D" w:rsidRPr="007A6FC8" w:rsidP="0007498D" w14:paraId="41C6A5BA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ascii="Calibri" w:hAnsi="Calibri" w:cstheme="minorHAnsi"/>
          <w:i/>
          <w:shd w:val="clear" w:color="auto" w:fill="FFFFFF"/>
        </w:rPr>
      </w:pPr>
      <w:r w:rsidRPr="007A6FC8">
        <w:rPr>
          <w:rFonts w:ascii="Calibri" w:hAnsi="Calibri" w:cstheme="minorHAnsi"/>
          <w:i/>
          <w:shd w:val="clear" w:color="auto" w:fill="FFFFFF"/>
        </w:rPr>
        <w:t xml:space="preserve"> (...)</w:t>
      </w:r>
    </w:p>
    <w:p w:rsidR="0007498D" w:rsidRPr="007A6FC8" w:rsidP="0007498D" w14:paraId="7CD0ADDA" w14:textId="77777777">
      <w:pPr>
        <w:spacing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 xml:space="preserve">Entretanto, como dito, os Municípios detém atribuição para “suplementar a legislação federal e a estadual no que couber” constante do art. 30, II, da CF. Nesse aspecto, Pedro </w:t>
      </w:r>
      <w:r w:rsidRPr="007A6FC8">
        <w:rPr>
          <w:rFonts w:ascii="Calibri" w:hAnsi="Calibri" w:cstheme="minorHAnsi"/>
          <w:sz w:val="24"/>
          <w:szCs w:val="24"/>
        </w:rPr>
        <w:t>Lenza</w:t>
      </w:r>
      <w:r>
        <w:rPr>
          <w:rStyle w:val="FootnoteReference"/>
          <w:rFonts w:ascii="Calibri" w:hAnsi="Calibri" w:cstheme="minorHAnsi"/>
          <w:sz w:val="24"/>
          <w:szCs w:val="24"/>
        </w:rPr>
        <w:footnoteReference w:id="4"/>
      </w:r>
      <w:r w:rsidRPr="007A6FC8">
        <w:rPr>
          <w:rFonts w:ascii="Calibri" w:hAnsi="Calibri" w:cstheme="minorHAnsi"/>
          <w:sz w:val="24"/>
          <w:szCs w:val="24"/>
        </w:rPr>
        <w:t xml:space="preserve"> assevera: “</w:t>
      </w:r>
      <w:r w:rsidRPr="007A6FC8">
        <w:rPr>
          <w:rFonts w:ascii="Calibri" w:hAnsi="Calibri" w:cstheme="minorHAnsi"/>
          <w:i/>
          <w:sz w:val="24"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7A6FC8">
        <w:rPr>
          <w:rFonts w:ascii="Calibri" w:hAnsi="Calibri" w:cstheme="minorHAnsi"/>
          <w:sz w:val="24"/>
          <w:szCs w:val="24"/>
        </w:rPr>
        <w:t>”.</w:t>
      </w:r>
    </w:p>
    <w:p w:rsidR="0007498D" w:rsidRPr="007A6FC8" w:rsidP="0007498D" w14:paraId="6CAA89DD" w14:textId="77777777">
      <w:pPr>
        <w:spacing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>Depreende-se, portanto, 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07498D" w:rsidRPr="007A6FC8" w:rsidP="0007498D" w14:paraId="6577E549" w14:textId="084AC86C">
      <w:pPr>
        <w:spacing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>Nessa esteira</w:t>
      </w:r>
      <w:r w:rsidRPr="007A6FC8" w:rsidR="007566A1">
        <w:rPr>
          <w:rFonts w:ascii="Calibri" w:hAnsi="Calibri" w:cstheme="minorHAnsi"/>
          <w:sz w:val="24"/>
          <w:szCs w:val="24"/>
        </w:rPr>
        <w:t>, a Suprema Corte consignou no t</w:t>
      </w:r>
      <w:r w:rsidRPr="007A6FC8">
        <w:rPr>
          <w:rFonts w:ascii="Calibri" w:hAnsi="Calibri" w:cstheme="minorHAnsi"/>
          <w:sz w:val="24"/>
          <w:szCs w:val="24"/>
        </w:rPr>
        <w:t>ema de repercussão geral nº 145 a competência municipal para legislar sobre meio ambiente, vejamos:</w:t>
      </w:r>
    </w:p>
    <w:p w:rsidR="0007498D" w:rsidRPr="007A6FC8" w:rsidP="004C441C" w14:paraId="43A4010E" w14:textId="77777777">
      <w:pPr>
        <w:spacing w:after="80" w:line="240" w:lineRule="auto"/>
        <w:ind w:left="2268"/>
        <w:jc w:val="both"/>
        <w:rPr>
          <w:rFonts w:ascii="Calibri" w:hAnsi="Calibri" w:cs="Arial"/>
          <w:i/>
          <w:color w:val="333333"/>
        </w:rPr>
      </w:pPr>
      <w:r w:rsidRPr="007A6FC8">
        <w:rPr>
          <w:rFonts w:ascii="Calibri" w:hAnsi="Calibri" w:cs="Arial"/>
          <w:b/>
          <w:i/>
          <w:color w:val="333333"/>
        </w:rPr>
        <w:t>O município é competente para legislar sobre o meio ambiente</w:t>
      </w:r>
      <w:r w:rsidRPr="007A6FC8">
        <w:rPr>
          <w:rFonts w:ascii="Calibri" w:hAnsi="Calibri" w:cs="Arial"/>
          <w:i/>
          <w:color w:val="333333"/>
        </w:rPr>
        <w:t xml:space="preserve"> com a União e o Estado, no limite do seu interesse local e desde que tal regramento seja harmônico com a disciplina estabelecida pelos demais entes federados (art. 24</w:t>
      </w:r>
      <w:r w:rsidRPr="007A6FC8">
        <w:rPr>
          <w:rFonts w:ascii="Calibri" w:hAnsi="Calibri" w:cs="Arial"/>
          <w:i/>
          <w:color w:val="333333"/>
        </w:rPr>
        <w:t>, VI</w:t>
      </w:r>
      <w:r w:rsidRPr="007A6FC8">
        <w:rPr>
          <w:rFonts w:ascii="Calibri" w:hAnsi="Calibri" w:cs="Arial"/>
          <w:i/>
          <w:color w:val="333333"/>
        </w:rPr>
        <w:t>, c/c 30, I e II, da Constituição Federal). (</w:t>
      </w:r>
      <w:r w:rsidRPr="007A6FC8">
        <w:rPr>
          <w:rFonts w:ascii="Calibri" w:hAnsi="Calibri" w:cs="Arial"/>
          <w:i/>
          <w:color w:val="333333"/>
        </w:rPr>
        <w:t>gn</w:t>
      </w:r>
      <w:r w:rsidRPr="007A6FC8">
        <w:rPr>
          <w:rFonts w:ascii="Calibri" w:hAnsi="Calibri" w:cs="Arial"/>
          <w:i/>
          <w:color w:val="333333"/>
        </w:rPr>
        <w:t>)</w:t>
      </w:r>
    </w:p>
    <w:p w:rsidR="0007498D" w:rsidRPr="007A6FC8" w:rsidP="0007498D" w14:paraId="05C94045" w14:textId="77777777">
      <w:pPr>
        <w:spacing w:after="80"/>
        <w:ind w:left="2268"/>
        <w:jc w:val="both"/>
        <w:rPr>
          <w:rFonts w:ascii="Calibri" w:hAnsi="Calibri" w:cs="Arial"/>
          <w:i/>
          <w:color w:val="333333"/>
          <w:sz w:val="4"/>
          <w:szCs w:val="4"/>
        </w:rPr>
      </w:pPr>
    </w:p>
    <w:p w:rsidR="0007498D" w:rsidRPr="007A6FC8" w:rsidP="0007498D" w14:paraId="14B343CD" w14:textId="6A7D39D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hAnsi="Calibri" w:cstheme="minorHAnsi"/>
          <w:sz w:val="12"/>
          <w:szCs w:val="12"/>
        </w:rPr>
      </w:pPr>
      <w:r w:rsidRPr="007A6FC8">
        <w:rPr>
          <w:rFonts w:ascii="Calibri" w:hAnsi="Calibri" w:cstheme="minorHAnsi"/>
          <w:sz w:val="24"/>
          <w:szCs w:val="24"/>
        </w:rPr>
        <w:t xml:space="preserve">Do mesmo modo, a Constituição Federal estabelece como hipótese de competência comum (material ou administrativa) dos entes federativos </w:t>
      </w:r>
      <w:r w:rsidR="000F1088">
        <w:rPr>
          <w:rFonts w:ascii="Calibri" w:hAnsi="Calibri" w:cstheme="minorHAnsi"/>
          <w:sz w:val="24"/>
          <w:szCs w:val="24"/>
        </w:rPr>
        <w:t>a preservação do meio ambiente:</w:t>
      </w:r>
    </w:p>
    <w:p w:rsidR="0007498D" w:rsidRPr="007A6FC8" w:rsidP="004C441C" w14:paraId="3C3CD3CF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 xml:space="preserve">Art. 23. É </w:t>
      </w:r>
      <w:r w:rsidRPr="007A6FC8">
        <w:rPr>
          <w:rFonts w:ascii="Calibri" w:hAnsi="Calibri" w:cstheme="minorHAnsi"/>
          <w:b/>
          <w:i/>
        </w:rPr>
        <w:t xml:space="preserve">competência comum </w:t>
      </w:r>
      <w:r w:rsidRPr="007A6FC8">
        <w:rPr>
          <w:rFonts w:ascii="Calibri" w:hAnsi="Calibri" w:cstheme="minorHAnsi"/>
          <w:i/>
        </w:rPr>
        <w:t xml:space="preserve">da União, dos Estados, do Distrito Federal e dos </w:t>
      </w:r>
      <w:r w:rsidRPr="007A6FC8">
        <w:rPr>
          <w:rFonts w:ascii="Calibri" w:hAnsi="Calibri" w:cstheme="minorHAnsi"/>
          <w:b/>
          <w:i/>
        </w:rPr>
        <w:t>Municípios</w:t>
      </w:r>
      <w:r w:rsidRPr="007A6FC8">
        <w:rPr>
          <w:rFonts w:ascii="Calibri" w:hAnsi="Calibri" w:cstheme="minorHAnsi"/>
          <w:i/>
        </w:rPr>
        <w:t>:</w:t>
      </w:r>
    </w:p>
    <w:p w:rsidR="0007498D" w:rsidRPr="007A6FC8" w:rsidP="004C441C" w14:paraId="049678DB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>(...)</w:t>
      </w:r>
    </w:p>
    <w:p w:rsidR="0007498D" w:rsidRPr="007A6FC8" w:rsidP="004C441C" w14:paraId="1BA71612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 xml:space="preserve">VII - preservar as florestas, </w:t>
      </w:r>
      <w:r w:rsidRPr="000F1088">
        <w:rPr>
          <w:rFonts w:ascii="Calibri" w:hAnsi="Calibri" w:cstheme="minorHAnsi"/>
          <w:i/>
        </w:rPr>
        <w:t>a fauna</w:t>
      </w:r>
      <w:r w:rsidRPr="007A6FC8">
        <w:rPr>
          <w:rFonts w:ascii="Calibri" w:hAnsi="Calibri" w:cstheme="minorHAnsi"/>
          <w:i/>
        </w:rPr>
        <w:t xml:space="preserve"> e a flora;</w:t>
      </w:r>
    </w:p>
    <w:p w:rsidR="0007498D" w:rsidRPr="007A6FC8" w:rsidP="004C441C" w14:paraId="74065FF7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>(...)</w:t>
      </w:r>
    </w:p>
    <w:p w:rsidR="0007498D" w:rsidRPr="007A6FC8" w:rsidP="004C441C" w14:paraId="339C861C" w14:textId="7777777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" w:hAnsi="Calibri" w:cstheme="minorHAnsi"/>
          <w:bCs/>
          <w:sz w:val="12"/>
          <w:szCs w:val="12"/>
        </w:rPr>
      </w:pPr>
    </w:p>
    <w:p w:rsidR="0007498D" w:rsidRPr="007A6FC8" w:rsidP="0007498D" w14:paraId="16D1B1EC" w14:textId="7777777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Calibri" w:hAnsi="Calibri" w:cstheme="minorHAnsi"/>
          <w:bCs/>
          <w:sz w:val="24"/>
          <w:szCs w:val="24"/>
        </w:rPr>
      </w:pPr>
      <w:r w:rsidRPr="007A6FC8">
        <w:rPr>
          <w:rFonts w:ascii="Calibri" w:hAnsi="Calibri" w:cstheme="minorHAnsi"/>
          <w:bCs/>
          <w:sz w:val="24"/>
          <w:szCs w:val="24"/>
        </w:rPr>
        <w:t>Nesse sentido é o entendimento do Tribunal de Justiça do Estado de São Paulo acerca da competência municipal em matéria ambiental:</w:t>
      </w:r>
    </w:p>
    <w:p w:rsidR="0007498D" w:rsidRPr="009C1CDC" w:rsidP="0007498D" w14:paraId="05A364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theme="minorHAnsi"/>
          <w:bCs/>
          <w:sz w:val="12"/>
          <w:szCs w:val="12"/>
        </w:rPr>
      </w:pPr>
    </w:p>
    <w:p w:rsidR="00494D8D" w:rsidRPr="007A6FC8" w:rsidP="004C441C" w14:paraId="7C4FC085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7A6FC8">
        <w:rPr>
          <w:rFonts w:ascii="Calibri" w:hAnsi="Calibri" w:cs="Calibri"/>
          <w:i/>
          <w:color w:val="000000"/>
          <w:shd w:val="clear" w:color="auto" w:fill="FFFFFF"/>
        </w:rPr>
        <w:t>AÇÃO DIRETA DE INCONSTITUCIONALIDADE. Lei Municipal nº 3.123, de 29 de maio de 2020, que "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estabelece a Política Municipal de Combate aos Maus-Tratos de Animais no Município de Martinópolis, determina multas e dá outras providências"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. 1. Alegação de criação de despesas sem indicação de fonte de custeio. Rejeição. Supremo Tribunal Federal que já consolidou entendimento no sentido de que a "ausência de dotação orçamentária prévia em legislação específica não autoriza a declaração de inconstitucionalidade da lei, impedindo tão-somente a sua aplicação naquele exercício financeiro" (ADI 3.599/DF, Rel. Min. Gilmar Mendes). Ademais, no presente caso existe (e é suficiente) a indicação genérica constante do art. 6º, conforme entendimento deste C. Órgão Especial (ADIN nº 2073677-73.2016.8.26.0000, Rel. Des. Evaristo dos Santos, j. 10/08/2016).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2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. Alegação de vício de iniciativa. Rejeição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>.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Conforme decidiu o Supremo Tribunal Federal, no julgamento do Recurso Extraordinário nº 878.911/RJ, em sede de repercussão geral, "não usurpa a competência privativa do Chefe do Poder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Executivo lei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que, embora crie despesa para a Administração Pública, não trata da sua estrutura ou da atribuição de seus órgãos nem do regime jurídico de servidores públicos" (Tema 917).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3. Alegação de ofensa ao princípio da separação dos poderes. Rejeição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. Norma impugnada que trata a questão (referente à proteção aos animais) de forma genérica e abstrata, e sem criar novas atribuições para o Poder Executivo. 4.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Alegação de usurpação da competência da União e dos Estados para legislar sobre proteção e defesa dos animais (art. 24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VI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da Constituição Federal). Rejeição. Município que buscou apenas cumprir seu compromisso de proteção da fauna (artigo 23, inciso VII, e artigo 225, inciso VII, da Constituição Federal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), garantindo, ademais, efetividade às regras do Código Estadual de Proteção aos Animais (Lei Estadual nº 11.977, de 25 de agosto de 2005). Supremo Tribunal Federal que, em 05/03/2015, apreciando o Tema 145 da repercussão geral reconhecida no RE 586.224, firmou tese no sentido de que "o município é competente para legislar sobre o meio ambiente com a União e Estado, no limite do seu interesse local e desde que tal regramento seja harmônico com a disciplina estabelecida pelos demais entes federados (art. 24, inciso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VI,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c.c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. 38, incisos I e II, da Constituição Federal").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Ação julgada improcedente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.</w:t>
      </w:r>
    </w:p>
    <w:p w:rsidR="00494D8D" w:rsidRPr="007A6FC8" w:rsidP="00494D8D" w14:paraId="13226901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(TJSP;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 xml:space="preserve">  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Direta de Inconstitucionalidade 2157069-66.2020.8.26.0000; Relator (a): Ferreira Rodrigues; Órgão Julgador: Órgão Especial; Tribunal de Justiça de São Paulo - N/A; Data do Julgamento: 10/03/2021; Data de Registro: 12/03/2021)</w:t>
      </w:r>
    </w:p>
    <w:p w:rsidR="007566A1" w:rsidRPr="007A6FC8" w:rsidP="007566A1" w14:paraId="37F798CC" w14:textId="1A6E07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</w:p>
    <w:p w:rsidR="00494D8D" w:rsidRPr="004C441C" w:rsidP="007566A1" w14:paraId="1AC11502" w14:textId="77777777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b/>
          <w:i/>
          <w:color w:val="000000"/>
          <w:sz w:val="12"/>
          <w:szCs w:val="12"/>
          <w:shd w:val="clear" w:color="auto" w:fill="FFFFFF"/>
        </w:rPr>
      </w:pPr>
    </w:p>
    <w:p w:rsidR="0007498D" w:rsidRPr="007A6FC8" w:rsidP="004C441C" w14:paraId="685C2409" w14:textId="231187E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ADIn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. Ambiental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. Lei Municipal nº 17.261, de 13 de janeiro de 2020, que veda o fornecimento de produtos de plástico de uso único em estabelecimentos que enumera. Pedido da ABIMAQ de admissão como "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amicus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curiae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"; inadmissibilidade, pela defesa de interesses próprios. Legitimidade ativa do autor reconhecida (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, 90, V). Registro sindical provado.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No mérito, competência concorrente ao município para legislar sobre normas protetivas ao meio ambiente.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CFederal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, art. 30, I e II.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CEstadual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art. 191. Tema 145 do E. STF, em sede de Repercussão Geral.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Desnecessidade de prévio Estudo de Impacto Ambiental e seu relatório (EIA/RIMA), por ausência de potencial degradação ao meio ambiente (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, 192, § 2º). Lei Municipal, ao invés, que amplia a proteção ambiental no âmbito do município de São Paulo. Ausência de criação de encargos ou despesas ao Executivo. Ação improcedente.</w:t>
      </w:r>
      <w:r w:rsidRPr="007A6FC8" w:rsidR="00CF22C9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(TJSP;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 xml:space="preserve">  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Direta de Inconstitucionalidade 2017452-91.2020.8.26.0000; Relator (a): Soares Levada; Órgão Julgador: Órgão Especial; Tribunal de Justiça de São Paulo - N/A; Data do Julgamento: 26/08/2020; Data de Registro: 28/08/2020)</w:t>
      </w:r>
    </w:p>
    <w:p w:rsidR="0007498D" w:rsidRPr="007A6FC8" w:rsidP="0007498D" w14:paraId="31DF5FC3" w14:textId="7777777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alibri" w:hAnsi="Calibri"/>
          <w:i/>
          <w:sz w:val="4"/>
          <w:szCs w:val="4"/>
        </w:rPr>
      </w:pPr>
    </w:p>
    <w:p w:rsidR="004C441C" w:rsidP="0007498D" w14:paraId="21EBF9A7" w14:textId="135E4459">
      <w:pPr>
        <w:spacing w:before="240"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No concernente à matéria o Código Florestal (Lei </w:t>
      </w:r>
      <w:hyperlink r:id="rId6" w:history="1">
        <w:r>
          <w:rPr>
            <w:rFonts w:ascii="Calibri" w:hAnsi="Calibri" w:cstheme="minorHAnsi"/>
            <w:sz w:val="24"/>
            <w:szCs w:val="24"/>
          </w:rPr>
          <w:t>nº 12.651/</w:t>
        </w:r>
        <w:r w:rsidRPr="004C441C">
          <w:rPr>
            <w:rFonts w:ascii="Calibri" w:hAnsi="Calibri" w:cstheme="minorHAnsi"/>
            <w:sz w:val="24"/>
            <w:szCs w:val="24"/>
          </w:rPr>
          <w:t>2012</w:t>
        </w:r>
        <w:r>
          <w:rPr>
            <w:rFonts w:ascii="Calibri" w:hAnsi="Calibri" w:cstheme="minorHAnsi"/>
            <w:sz w:val="24"/>
            <w:szCs w:val="24"/>
          </w:rPr>
          <w:t>)</w:t>
        </w:r>
      </w:hyperlink>
      <w:r>
        <w:rPr>
          <w:rFonts w:ascii="Calibri" w:hAnsi="Calibri" w:cstheme="minorHAnsi"/>
          <w:sz w:val="24"/>
          <w:szCs w:val="24"/>
        </w:rPr>
        <w:t xml:space="preserve"> igualmente dispõe sobre programa de pagamento por serviços ambientais incluindo </w:t>
      </w:r>
      <w:r w:rsidR="00B74A40">
        <w:rPr>
          <w:rFonts w:ascii="Calibri" w:hAnsi="Calibri" w:cstheme="minorHAnsi"/>
          <w:sz w:val="24"/>
          <w:szCs w:val="24"/>
        </w:rPr>
        <w:t>a manutenção d</w:t>
      </w:r>
      <w:r>
        <w:rPr>
          <w:rFonts w:ascii="Calibri" w:hAnsi="Calibri" w:cstheme="minorHAnsi"/>
          <w:sz w:val="24"/>
          <w:szCs w:val="24"/>
        </w:rPr>
        <w:t>as áreas de reserva legal, vejamos:</w:t>
      </w:r>
    </w:p>
    <w:p w:rsidR="004C441C" w:rsidRPr="004C441C" w:rsidP="004C441C" w14:paraId="3D0C9D48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 xml:space="preserve">Art. 41. É o Poder Executivo federal autorizado a instituir, sem prejuízo do cumprimento da legislação ambiental, 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>programa de apoio e incentivo à conservação do meio ambient</w:t>
      </w: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e, bem como para adoção de tecnologias e boas práticas que conciliem a produtividade agropecuária e florestal, com redução dos impactos ambientais, como forma de promoção do desenvolvimento ecologicamente sustentável, observados sempre os critérios de progressividade, abrangendo as seguintes categorias e linhas de ação: </w:t>
      </w:r>
      <w:hyperlink r:id="rId7" w:anchor="art1" w:history="1">
        <w:r w:rsidRPr="004C441C">
          <w:rPr>
            <w:rStyle w:val="Hyperlink"/>
            <w:rFonts w:asciiTheme="minorHAnsi" w:hAnsiTheme="minorHAnsi" w:cs="Arial"/>
            <w:i/>
            <w:sz w:val="22"/>
            <w:szCs w:val="22"/>
          </w:rPr>
          <w:t xml:space="preserve">(Redação dada pela Lei nº 12.727, de </w:t>
        </w:r>
        <w:r w:rsidRPr="004C441C">
          <w:rPr>
            <w:rStyle w:val="Hyperlink"/>
            <w:rFonts w:asciiTheme="minorHAnsi" w:hAnsiTheme="minorHAnsi" w:cs="Arial"/>
            <w:i/>
            <w:sz w:val="22"/>
            <w:szCs w:val="22"/>
          </w:rPr>
          <w:t>2012).</w:t>
        </w:r>
      </w:hyperlink>
    </w:p>
    <w:p w:rsidR="004C441C" w:rsidRPr="004C441C" w:rsidP="004C441C" w14:paraId="27FAA894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bookmarkStart w:id="2" w:name="art41i"/>
      <w:bookmarkEnd w:id="2"/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I - pagamento ou incentivo a serviços 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>ambientais como retribuição, monetária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ou não, às atividades de conservação e melhoria dos ecossistemas e que gerem serviços ambientais, tais como, isolada ou cumulativamente:</w:t>
      </w:r>
    </w:p>
    <w:p w:rsidR="004C441C" w:rsidRPr="004C441C" w:rsidP="004C441C" w14:paraId="5621EBF0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3" w:name="art41ia"/>
      <w:bookmarkEnd w:id="3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a) o sequestro, a conservação, a manutenção e o aumento do estoque e a diminuição do fluxo de carbono;</w:t>
      </w:r>
    </w:p>
    <w:p w:rsidR="004C441C" w:rsidRPr="004C441C" w:rsidP="004C441C" w14:paraId="6E653C89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4" w:name="art41ib"/>
      <w:bookmarkEnd w:id="4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b) a conservação da beleza cênica natural;</w:t>
      </w:r>
    </w:p>
    <w:p w:rsidR="004C441C" w:rsidRPr="004C441C" w:rsidP="004C441C" w14:paraId="3CD0589E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5" w:name="art41ic"/>
      <w:bookmarkEnd w:id="5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c) a conservação da biodiversidade;</w:t>
      </w:r>
    </w:p>
    <w:p w:rsidR="004C441C" w:rsidRPr="004C441C" w:rsidP="004C441C" w14:paraId="1FE48130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6" w:name="art41id"/>
      <w:bookmarkEnd w:id="6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d) a conservação das águas e dos serviços hídricos;</w:t>
      </w:r>
    </w:p>
    <w:p w:rsidR="004C441C" w:rsidRPr="004C441C" w:rsidP="004C441C" w14:paraId="1C3CD579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7" w:name="art41ie"/>
      <w:bookmarkEnd w:id="7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e) a regulação do clima;</w:t>
      </w:r>
    </w:p>
    <w:p w:rsidR="004C441C" w:rsidRPr="004C441C" w:rsidP="004C441C" w14:paraId="64D63DEC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8" w:name="art41if"/>
      <w:bookmarkEnd w:id="8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f) a valorização cultural e do conhecimento tradicional ecossistêmico;</w:t>
      </w:r>
    </w:p>
    <w:p w:rsidR="004C441C" w:rsidRPr="004C441C" w:rsidP="004C441C" w14:paraId="0A128511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9" w:name="art41ig"/>
      <w:bookmarkEnd w:id="9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g) a conservação e o melhoramento do solo;</w:t>
      </w:r>
    </w:p>
    <w:p w:rsidR="004C441C" w:rsidRPr="004C441C" w:rsidP="004C441C" w14:paraId="03879A19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10" w:name="art41ih"/>
      <w:bookmarkEnd w:id="10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 xml:space="preserve">h) a manutenção de Áreas de Preservação Permanente, 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  <w:u w:val="single"/>
        </w:rPr>
        <w:t>de Reserva Legal</w:t>
      </w: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 xml:space="preserve"> e de uso restrito;</w:t>
      </w:r>
    </w:p>
    <w:p w:rsidR="004C441C" w:rsidP="004C441C" w14:paraId="042F580C" w14:textId="7E0A0068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(...)</w:t>
      </w:r>
    </w:p>
    <w:p w:rsidR="00B74A40" w:rsidRPr="004C441C" w:rsidP="004C441C" w14:paraId="3B6A90B8" w14:textId="34CBFD4B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B74A40">
        <w:rPr>
          <w:rFonts w:asciiTheme="minorHAnsi" w:hAnsiTheme="minorHAnsi" w:cs="Arial"/>
          <w:i/>
          <w:color w:val="000000"/>
          <w:sz w:val="22"/>
          <w:szCs w:val="22"/>
        </w:rPr>
        <w:t xml:space="preserve">§ 4º As atividades de manutenção das Áreas de Preservação Permanente, de Reserva Legal e de uso restrito são elegíveis para quaisquer pagamentos ou incentivos por serviços ambientais, configurando </w:t>
      </w:r>
      <w:r w:rsidRPr="00B74A40">
        <w:rPr>
          <w:rFonts w:asciiTheme="minorHAnsi" w:hAnsiTheme="minorHAnsi" w:cs="Arial"/>
          <w:i/>
          <w:color w:val="000000"/>
          <w:sz w:val="22"/>
          <w:szCs w:val="22"/>
        </w:rPr>
        <w:t>adicionalidade</w:t>
      </w:r>
      <w:r w:rsidRPr="00B74A40">
        <w:rPr>
          <w:rFonts w:asciiTheme="minorHAnsi" w:hAnsiTheme="minorHAnsi" w:cs="Arial"/>
          <w:i/>
          <w:color w:val="000000"/>
          <w:sz w:val="22"/>
          <w:szCs w:val="22"/>
        </w:rPr>
        <w:t xml:space="preserve"> para fins de mercados nacionais e internacionais de reduções de emissões certificadas de gases de efeito estufa.</w:t>
      </w:r>
    </w:p>
    <w:p w:rsidR="004C441C" w:rsidRPr="004C441C" w:rsidP="004C441C" w14:paraId="70B25503" w14:textId="74D549D1">
      <w:pPr>
        <w:spacing w:after="0" w:line="240" w:lineRule="auto"/>
        <w:ind w:left="2268" w:firstLine="1701"/>
        <w:jc w:val="both"/>
        <w:rPr>
          <w:rFonts w:cstheme="minorHAnsi"/>
          <w:i/>
        </w:rPr>
      </w:pPr>
      <w:r w:rsidRPr="004C441C">
        <w:rPr>
          <w:rFonts w:cstheme="minorHAnsi"/>
          <w:i/>
        </w:rPr>
        <w:t xml:space="preserve"> </w:t>
      </w:r>
    </w:p>
    <w:p w:rsidR="00296127" w:rsidP="00296127" w14:paraId="0679E172" w14:textId="3B29E873">
      <w:pPr>
        <w:spacing w:before="240"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Por </w:t>
      </w:r>
      <w:bookmarkStart w:id="11" w:name="_GoBack"/>
      <w:bookmarkEnd w:id="11"/>
      <w:r>
        <w:rPr>
          <w:rFonts w:ascii="Calibri" w:hAnsi="Calibri" w:cstheme="minorHAnsi"/>
          <w:sz w:val="24"/>
          <w:szCs w:val="24"/>
        </w:rPr>
        <w:t xml:space="preserve">seu turno, a Lei </w:t>
      </w:r>
      <w:hyperlink r:id="rId8" w:history="1">
        <w:r>
          <w:rPr>
            <w:rFonts w:ascii="Calibri" w:hAnsi="Calibri" w:cstheme="minorHAnsi"/>
            <w:sz w:val="24"/>
            <w:szCs w:val="24"/>
          </w:rPr>
          <w:t>nº</w:t>
        </w:r>
        <w:r w:rsidRPr="00296127">
          <w:rPr>
            <w:rFonts w:ascii="Calibri" w:hAnsi="Calibri" w:cstheme="minorHAnsi"/>
            <w:sz w:val="24"/>
            <w:szCs w:val="24"/>
          </w:rPr>
          <w:t xml:space="preserve"> 14.119, </w:t>
        </w:r>
        <w:r>
          <w:rPr>
            <w:rFonts w:ascii="Calibri" w:hAnsi="Calibri" w:cstheme="minorHAnsi"/>
            <w:sz w:val="24"/>
            <w:szCs w:val="24"/>
          </w:rPr>
          <w:t>de</w:t>
        </w:r>
        <w:r w:rsidRPr="00296127">
          <w:rPr>
            <w:rFonts w:ascii="Calibri" w:hAnsi="Calibri" w:cstheme="minorHAnsi"/>
            <w:sz w:val="24"/>
            <w:szCs w:val="24"/>
          </w:rPr>
          <w:t xml:space="preserve"> 13 </w:t>
        </w:r>
        <w:r>
          <w:rPr>
            <w:rFonts w:ascii="Calibri" w:hAnsi="Calibri" w:cstheme="minorHAnsi"/>
            <w:sz w:val="24"/>
            <w:szCs w:val="24"/>
          </w:rPr>
          <w:t>de janeiro</w:t>
        </w:r>
        <w:r w:rsidRPr="00296127">
          <w:rPr>
            <w:rFonts w:ascii="Calibri" w:hAnsi="Calibri" w:cstheme="minorHAnsi"/>
            <w:sz w:val="24"/>
            <w:szCs w:val="24"/>
          </w:rPr>
          <w:t xml:space="preserve"> </w:t>
        </w:r>
        <w:r>
          <w:rPr>
            <w:rFonts w:ascii="Calibri" w:hAnsi="Calibri" w:cstheme="minorHAnsi"/>
            <w:sz w:val="24"/>
            <w:szCs w:val="24"/>
          </w:rPr>
          <w:t>de</w:t>
        </w:r>
        <w:r w:rsidRPr="00296127">
          <w:rPr>
            <w:rFonts w:ascii="Calibri" w:hAnsi="Calibri" w:cstheme="minorHAnsi"/>
            <w:sz w:val="24"/>
            <w:szCs w:val="24"/>
          </w:rPr>
          <w:t xml:space="preserve"> 2021</w:t>
        </w:r>
      </w:hyperlink>
      <w:r>
        <w:rPr>
          <w:rFonts w:ascii="Calibri" w:hAnsi="Calibri" w:cstheme="minorHAnsi"/>
          <w:bCs/>
          <w:sz w:val="24"/>
          <w:szCs w:val="24"/>
        </w:rPr>
        <w:t>, que i</w:t>
      </w:r>
      <w:r w:rsidRPr="00296127">
        <w:rPr>
          <w:rFonts w:ascii="Calibri" w:hAnsi="Calibri" w:cstheme="minorHAnsi"/>
          <w:sz w:val="24"/>
          <w:szCs w:val="24"/>
        </w:rPr>
        <w:t>nstitui a Política Nacional de Pagamento por Serviços Ambientais</w:t>
      </w:r>
      <w:r>
        <w:rPr>
          <w:rFonts w:ascii="Calibri" w:hAnsi="Calibri" w:cstheme="minorHAnsi"/>
          <w:sz w:val="24"/>
          <w:szCs w:val="24"/>
        </w:rPr>
        <w:t xml:space="preserve"> estabelece:</w:t>
      </w:r>
    </w:p>
    <w:p w:rsidR="00296127" w:rsidRPr="00296127" w:rsidP="00296127" w14:paraId="2E9C3F01" w14:textId="15C6254B">
      <w:pPr>
        <w:spacing w:after="0" w:line="240" w:lineRule="auto"/>
        <w:ind w:left="2268"/>
        <w:jc w:val="both"/>
        <w:rPr>
          <w:rFonts w:cs="Arial"/>
          <w:i/>
          <w:color w:val="000000"/>
        </w:rPr>
      </w:pPr>
      <w:r w:rsidRPr="00296127">
        <w:rPr>
          <w:rFonts w:cs="Arial"/>
          <w:i/>
          <w:color w:val="000000"/>
        </w:rPr>
        <w:t>Art. 5º São diretrizes da PNPSA:</w:t>
      </w:r>
    </w:p>
    <w:p w:rsidR="00296127" w:rsidRPr="00296127" w:rsidP="00296127" w14:paraId="64FEA4A6" w14:textId="0C7F4500">
      <w:pPr>
        <w:spacing w:after="0" w:line="240" w:lineRule="auto"/>
        <w:ind w:left="2268"/>
        <w:jc w:val="both"/>
        <w:rPr>
          <w:rFonts w:eastAsia="Times New Roman" w:cs="Times New Roman"/>
          <w:i/>
          <w:color w:val="000000"/>
          <w:lang w:eastAsia="pt-BR"/>
        </w:rPr>
      </w:pPr>
      <w:r>
        <w:rPr>
          <w:rFonts w:eastAsia="Times New Roman" w:cs="Arial"/>
          <w:i/>
          <w:color w:val="000000"/>
          <w:lang w:eastAsia="pt-BR"/>
        </w:rPr>
        <w:t>(...)</w:t>
      </w:r>
    </w:p>
    <w:p w:rsidR="00296127" w:rsidRPr="00296127" w:rsidP="00296127" w14:paraId="17FF72CA" w14:textId="77777777">
      <w:pPr>
        <w:spacing w:after="0" w:line="240" w:lineRule="auto"/>
        <w:ind w:left="2268"/>
        <w:jc w:val="both"/>
        <w:rPr>
          <w:rFonts w:eastAsia="Times New Roman" w:cs="Times New Roman"/>
          <w:b/>
          <w:i/>
          <w:color w:val="000000"/>
          <w:lang w:eastAsia="pt-BR"/>
        </w:rPr>
      </w:pPr>
      <w:r w:rsidRPr="00296127">
        <w:rPr>
          <w:rFonts w:eastAsia="Times New Roman" w:cs="Arial"/>
          <w:i/>
          <w:color w:val="000000"/>
          <w:lang w:eastAsia="pt-BR"/>
        </w:rPr>
        <w:t xml:space="preserve">III - </w:t>
      </w:r>
      <w:r w:rsidRPr="00296127">
        <w:rPr>
          <w:rFonts w:eastAsia="Times New Roman" w:cs="Arial"/>
          <w:b/>
          <w:i/>
          <w:color w:val="000000"/>
          <w:lang w:eastAsia="pt-BR"/>
        </w:rPr>
        <w:t>a utilização do pagamento por serviços ambientais como instrumento de promoção do desenvolvimento social, ambiental, econômico e cultural das populações em área rural e urbana e dos produtores rurais, em especial das comunidades tradicionais, dos povos indígenas e dos agricultores familiares;</w:t>
      </w:r>
    </w:p>
    <w:p w:rsidR="00296127" w:rsidRPr="00296127" w:rsidP="00296127" w14:paraId="3DE35F56" w14:textId="77777777">
      <w:pPr>
        <w:spacing w:after="0" w:line="240" w:lineRule="auto"/>
        <w:ind w:left="2268"/>
        <w:jc w:val="both"/>
        <w:rPr>
          <w:rFonts w:eastAsia="Times New Roman" w:cs="Times New Roman"/>
          <w:i/>
          <w:color w:val="000000"/>
          <w:lang w:eastAsia="pt-BR"/>
        </w:rPr>
      </w:pPr>
      <w:r w:rsidRPr="00296127">
        <w:rPr>
          <w:rFonts w:eastAsia="Times New Roman" w:cs="Arial"/>
          <w:i/>
          <w:color w:val="000000"/>
          <w:lang w:eastAsia="pt-BR"/>
        </w:rPr>
        <w:t xml:space="preserve">IV - </w:t>
      </w:r>
      <w:r w:rsidRPr="00296127">
        <w:rPr>
          <w:rFonts w:eastAsia="Times New Roman" w:cs="Arial"/>
          <w:b/>
          <w:i/>
          <w:color w:val="000000"/>
          <w:lang w:eastAsia="pt-BR"/>
        </w:rPr>
        <w:t>a complementaridade do pagamento por serviços ambientais</w:t>
      </w:r>
      <w:r w:rsidRPr="00296127">
        <w:rPr>
          <w:rFonts w:eastAsia="Times New Roman" w:cs="Arial"/>
          <w:i/>
          <w:color w:val="000000"/>
          <w:lang w:eastAsia="pt-BR"/>
        </w:rPr>
        <w:t xml:space="preserve"> em relação aos instrumentos de comando e controle relacionados à conservação do meio ambiente;</w:t>
      </w:r>
    </w:p>
    <w:p w:rsidR="00296127" w:rsidRPr="00296127" w:rsidP="00296127" w14:paraId="56CD49AC" w14:textId="71FFD82D">
      <w:pPr>
        <w:spacing w:after="0" w:line="240" w:lineRule="auto"/>
        <w:ind w:left="2268"/>
        <w:jc w:val="both"/>
        <w:rPr>
          <w:rFonts w:eastAsia="Times New Roman" w:cs="Times New Roman"/>
          <w:i/>
          <w:color w:val="000000"/>
          <w:lang w:eastAsia="pt-BR"/>
        </w:rPr>
      </w:pPr>
      <w:r>
        <w:rPr>
          <w:rFonts w:eastAsia="Times New Roman" w:cs="Arial"/>
          <w:i/>
          <w:color w:val="000000"/>
          <w:lang w:eastAsia="pt-BR"/>
        </w:rPr>
        <w:t>(...)</w:t>
      </w:r>
    </w:p>
    <w:p w:rsidR="00296127" w:rsidRPr="00296127" w:rsidP="00296127" w14:paraId="1C9026C0" w14:textId="77777777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296127">
        <w:rPr>
          <w:rFonts w:eastAsia="Times New Roman" w:cs="Arial"/>
          <w:i/>
          <w:color w:val="000000"/>
          <w:lang w:eastAsia="pt-BR"/>
        </w:rPr>
        <w:t xml:space="preserve">VI - a </w:t>
      </w:r>
      <w:r w:rsidRPr="00296127">
        <w:rPr>
          <w:rFonts w:eastAsia="Times New Roman" w:cs="Arial"/>
          <w:b/>
          <w:i/>
          <w:color w:val="000000"/>
          <w:lang w:eastAsia="pt-BR"/>
        </w:rPr>
        <w:t>complementaridade e a coordenação entre programas e projetos de pagamentos por serviços ambientais implantados pela União, pelos Estados, pelo Distrito Federal, pelos Municípios</w:t>
      </w:r>
      <w:r w:rsidRPr="00296127">
        <w:rPr>
          <w:rFonts w:eastAsia="Times New Roman" w:cs="Arial"/>
          <w:i/>
          <w:color w:val="000000"/>
          <w:lang w:eastAsia="pt-BR"/>
        </w:rPr>
        <w:t xml:space="preserve">, pelos Comitês de Bacia Hidrográfica, pela iniciativa privada, por </w:t>
      </w:r>
      <w:r w:rsidRPr="00296127">
        <w:rPr>
          <w:rFonts w:eastAsia="Times New Roman" w:cs="Arial"/>
          <w:i/>
          <w:color w:val="000000"/>
          <w:lang w:eastAsia="pt-BR"/>
        </w:rPr>
        <w:t>Oscip</w:t>
      </w:r>
      <w:r w:rsidRPr="00296127">
        <w:rPr>
          <w:rFonts w:eastAsia="Times New Roman" w:cs="Arial"/>
          <w:i/>
          <w:color w:val="000000"/>
          <w:lang w:eastAsia="pt-BR"/>
        </w:rPr>
        <w:t xml:space="preserve"> e por outras organizações não governamentais, consideradas as especificidades ambientais e socioeconômicas dos diferentes biomas, regiões e bacias </w:t>
      </w:r>
      <w:r w:rsidRPr="00296127">
        <w:rPr>
          <w:rFonts w:eastAsia="Times New Roman" w:cs="Arial"/>
          <w:i/>
          <w:color w:val="000000"/>
          <w:lang w:eastAsia="pt-BR"/>
        </w:rPr>
        <w:t>hidrográficas, e observados</w:t>
      </w:r>
      <w:r w:rsidRPr="00296127">
        <w:rPr>
          <w:rFonts w:eastAsia="Times New Roman" w:cs="Arial"/>
          <w:i/>
          <w:color w:val="000000"/>
          <w:lang w:eastAsia="pt-BR"/>
        </w:rPr>
        <w:t xml:space="preserve"> os princípios estabelecidos nesta Lei;</w:t>
      </w:r>
    </w:p>
    <w:p w:rsidR="00296127" w:rsidRPr="00296127" w:rsidP="00296127" w14:paraId="54A3EB1B" w14:textId="32E41934">
      <w:pPr>
        <w:pStyle w:val="NormalWeb"/>
        <w:spacing w:before="0" w:beforeAutospacing="0" w:after="0" w:afterAutospacing="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(...)</w:t>
      </w:r>
    </w:p>
    <w:p w:rsidR="00296127" w:rsidP="00296127" w14:paraId="4AFCD214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296127" w:rsidRPr="00296127" w:rsidP="00296127" w14:paraId="571D3EE1" w14:textId="049DAA46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t>“</w:t>
      </w:r>
      <w:r w:rsidRPr="00296127">
        <w:rPr>
          <w:rFonts w:asciiTheme="minorHAnsi" w:hAnsiTheme="minorHAnsi" w:cs="Arial"/>
          <w:i/>
          <w:color w:val="000000"/>
          <w:sz w:val="22"/>
          <w:szCs w:val="22"/>
        </w:rPr>
        <w:t>Art. 9º Em relação aos imóveis privados</w:t>
      </w:r>
      <w:r w:rsidRPr="00296127">
        <w:rPr>
          <w:rFonts w:asciiTheme="minorHAnsi" w:hAnsiTheme="minorHAnsi" w:cs="Arial"/>
          <w:i/>
          <w:color w:val="000000"/>
          <w:sz w:val="22"/>
          <w:szCs w:val="22"/>
        </w:rPr>
        <w:t>, são</w:t>
      </w:r>
      <w:r w:rsidRPr="00296127">
        <w:rPr>
          <w:rFonts w:asciiTheme="minorHAnsi" w:hAnsiTheme="minorHAnsi" w:cs="Arial"/>
          <w:i/>
          <w:color w:val="000000"/>
          <w:sz w:val="22"/>
          <w:szCs w:val="22"/>
        </w:rPr>
        <w:t xml:space="preserve"> elegíveis para provimento de serviços ambientais:</w:t>
      </w:r>
    </w:p>
    <w:p w:rsidR="00296127" w:rsidRPr="00296127" w:rsidP="00296127" w14:paraId="413ACF28" w14:textId="50B5452A">
      <w:pPr>
        <w:pStyle w:val="NormalWeb"/>
        <w:spacing w:before="0" w:beforeAutospacing="0" w:after="0" w:afterAutospacing="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(...)</w:t>
      </w:r>
    </w:p>
    <w:p w:rsidR="00296127" w:rsidRPr="00296127" w:rsidP="00296127" w14:paraId="552B42AF" w14:textId="12DA133F">
      <w:pPr>
        <w:pStyle w:val="NormalWeb"/>
        <w:spacing w:before="0" w:beforeAutospacing="0" w:after="0" w:afterAutospacing="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Parágrafo único. As Áreas de Preservação Permanente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</w:t>
      </w:r>
      <w:r w:rsidRPr="00296127">
        <w:rPr>
          <w:rFonts w:asciiTheme="minorHAnsi" w:eastAsiaTheme="minorHAnsi" w:hAnsiTheme="minorHAnsi" w:cstheme="minorHAnsi"/>
          <w:b/>
          <w:i/>
          <w:sz w:val="22"/>
          <w:szCs w:val="22"/>
          <w:u w:val="single"/>
          <w:lang w:eastAsia="en-US"/>
        </w:rPr>
        <w:t>Reserva</w:t>
      </w:r>
      <w:r w:rsidRPr="00296127">
        <w:rPr>
          <w:rFonts w:asciiTheme="minorHAnsi" w:eastAsiaTheme="minorHAnsi" w:hAnsiTheme="minorHAnsi" w:cstheme="minorHAnsi"/>
          <w:b/>
          <w:i/>
          <w:sz w:val="22"/>
          <w:szCs w:val="22"/>
          <w:u w:val="single"/>
          <w:lang w:eastAsia="en-US"/>
        </w:rPr>
        <w:t xml:space="preserve"> Legal 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e outras sob limitação administrativa nos termos da legislação ambiental </w:t>
      </w:r>
      <w:r w:rsidRPr="00296127">
        <w:rPr>
          <w:rFonts w:asciiTheme="minorHAnsi" w:eastAsiaTheme="minorHAnsi" w:hAnsiTheme="minorHAnsi" w:cstheme="minorHAnsi"/>
          <w:b/>
          <w:i/>
          <w:sz w:val="22"/>
          <w:szCs w:val="22"/>
          <w:u w:val="single"/>
          <w:lang w:eastAsia="en-US"/>
        </w:rPr>
        <w:t>serão elegíveis para pagamento por serviços ambientais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com uso de recursos públicos, conforme regulamento, com preferência para aquelas localizadas no entorno de nascentes, localizadas em bacias hidrográficas consideradas críticas para o 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abastecimento público de água, assim definidas pelo órgão competente, ou em áreas prioritárias para conservação da diversidade biológica em processo de desertificação ou de avançada fragmentação.    </w:t>
      </w:r>
      <w:hyperlink r:id="rId9" w:anchor="art2" w:history="1">
        <w:r w:rsidRPr="00296127">
          <w:rPr>
            <w:rFonts w:asciiTheme="minorHAnsi" w:eastAsiaTheme="minorHAnsi" w:hAnsiTheme="minorHAnsi" w:cstheme="minorHAnsi"/>
            <w:i/>
            <w:sz w:val="22"/>
            <w:szCs w:val="22"/>
            <w:lang w:eastAsia="en-US"/>
          </w:rPr>
          <w:t>(Redação dada pela Lei nº 14.653, de 2023)</w:t>
        </w:r>
      </w:hyperlink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”</w:t>
      </w:r>
    </w:p>
    <w:p w:rsidR="0007498D" w:rsidRPr="007A6FC8" w:rsidP="0007498D" w14:paraId="6169844B" w14:textId="44A6D4B6">
      <w:pPr>
        <w:spacing w:before="240" w:after="240" w:line="360" w:lineRule="auto"/>
        <w:ind w:firstLine="1701"/>
        <w:jc w:val="both"/>
        <w:rPr>
          <w:rFonts w:ascii="Calibri" w:hAnsi="Calibri" w:cs="TimesNewRomanPSMT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>No</w:t>
      </w:r>
      <w:r w:rsidRPr="007A6FC8" w:rsidR="003A6631">
        <w:rPr>
          <w:rFonts w:ascii="Calibri" w:hAnsi="Calibri" w:cstheme="minorHAnsi"/>
          <w:b/>
          <w:sz w:val="24"/>
          <w:szCs w:val="24"/>
        </w:rPr>
        <w:t xml:space="preserve"> </w:t>
      </w:r>
      <w:r w:rsidRPr="00994F17" w:rsidR="003A6631">
        <w:rPr>
          <w:rFonts w:ascii="Calibri" w:hAnsi="Calibri" w:cstheme="minorHAnsi"/>
          <w:sz w:val="24"/>
          <w:szCs w:val="24"/>
        </w:rPr>
        <w:t>que tange às</w:t>
      </w:r>
      <w:r w:rsidRPr="007A6FC8" w:rsidR="003A6631">
        <w:rPr>
          <w:rFonts w:ascii="Calibri" w:hAnsi="Calibri" w:cstheme="minorHAnsi"/>
          <w:b/>
          <w:sz w:val="24"/>
          <w:szCs w:val="24"/>
        </w:rPr>
        <w:t xml:space="preserve"> regras para deflagrar o processo legislativo</w:t>
      </w:r>
      <w:r w:rsidRPr="007A6FC8">
        <w:rPr>
          <w:rFonts w:ascii="Calibri" w:hAnsi="Calibri" w:cstheme="minorHAnsi"/>
          <w:b/>
          <w:sz w:val="24"/>
          <w:szCs w:val="24"/>
        </w:rPr>
        <w:t xml:space="preserve"> </w:t>
      </w:r>
      <w:r w:rsidRPr="007A6FC8">
        <w:rPr>
          <w:rFonts w:ascii="Calibri" w:hAnsi="Calibri" w:cstheme="minorHAnsi"/>
          <w:sz w:val="24"/>
          <w:szCs w:val="24"/>
        </w:rPr>
        <w:t>a Constituição do Estado de São Paulo no art. 24, § 2º,</w:t>
      </w:r>
      <w:r w:rsidRPr="007A6FC8" w:rsidR="00D80835">
        <w:rPr>
          <w:rFonts w:ascii="Calibri" w:hAnsi="Calibri" w:cstheme="minorHAnsi"/>
          <w:sz w:val="24"/>
          <w:szCs w:val="24"/>
        </w:rPr>
        <w:t xml:space="preserve"> estabelece</w:t>
      </w:r>
      <w:r w:rsidRPr="007A6FC8">
        <w:rPr>
          <w:rFonts w:ascii="Calibri" w:hAnsi="Calibri" w:cstheme="minorHAnsi"/>
          <w:sz w:val="24"/>
          <w:szCs w:val="24"/>
        </w:rPr>
        <w:t>:</w:t>
      </w:r>
    </w:p>
    <w:p w:rsidR="0007498D" w:rsidRPr="007A6FC8" w:rsidP="004C441C" w14:paraId="683E91DB" w14:textId="2DEA80CE">
      <w:pPr>
        <w:spacing w:after="0" w:line="240" w:lineRule="auto"/>
        <w:ind w:left="2268"/>
        <w:jc w:val="both"/>
        <w:rPr>
          <w:rFonts w:ascii="Calibri" w:hAnsi="Calibri" w:cs="Calibri"/>
          <w:i/>
          <w:color w:val="000000"/>
        </w:rPr>
      </w:pPr>
      <w:r w:rsidRPr="007A6FC8">
        <w:rPr>
          <w:rFonts w:ascii="Calibri" w:hAnsi="Calibri" w:cs="Calibri"/>
          <w:i/>
          <w:color w:val="000000"/>
        </w:rPr>
        <w:t xml:space="preserve"> </w:t>
      </w:r>
      <w:r w:rsidRPr="007A6FC8">
        <w:rPr>
          <w:rFonts w:ascii="Calibri" w:hAnsi="Calibri" w:cs="Calibri"/>
          <w:i/>
          <w:color w:val="000000"/>
        </w:rPr>
        <w:t>“Artigo 24</w:t>
      </w:r>
      <w:r w:rsidRPr="007A6FC8">
        <w:rPr>
          <w:rFonts w:ascii="Calibri" w:hAnsi="Calibri" w:cs="Calibri"/>
          <w:i/>
        </w:rPr>
        <w:t> </w:t>
      </w:r>
      <w:r w:rsidRPr="007A6FC8">
        <w:rPr>
          <w:rFonts w:ascii="Calibri" w:hAnsi="Calibri" w:cs="Calibr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07498D" w:rsidRPr="007A6FC8" w:rsidP="004C441C" w14:paraId="436E68F5" w14:textId="77777777">
      <w:pPr>
        <w:spacing w:after="0" w:line="240" w:lineRule="auto"/>
        <w:ind w:left="2268"/>
        <w:jc w:val="both"/>
        <w:rPr>
          <w:rFonts w:ascii="Calibri" w:hAnsi="Calibri" w:cs="Calibri"/>
          <w:i/>
          <w:color w:val="000000"/>
        </w:rPr>
      </w:pPr>
      <w:r w:rsidRPr="007A6FC8">
        <w:rPr>
          <w:rFonts w:ascii="Calibri" w:hAnsi="Calibri" w:cs="Calibri"/>
          <w:i/>
          <w:color w:val="000000"/>
        </w:rPr>
        <w:t>[...]</w:t>
      </w:r>
    </w:p>
    <w:p w:rsidR="0007498D" w:rsidRPr="007A6FC8" w:rsidP="004C441C" w14:paraId="7DBD5624" w14:textId="77777777">
      <w:pPr>
        <w:pStyle w:val="paragrafo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6FC8">
        <w:rPr>
          <w:rFonts w:ascii="Calibri" w:hAnsi="Calibri" w:cs="Calibri"/>
          <w:i/>
          <w:color w:val="000000"/>
          <w:sz w:val="22"/>
          <w:szCs w:val="22"/>
        </w:rPr>
        <w:t>§ 2º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07498D" w:rsidRPr="007A6FC8" w:rsidP="004C441C" w14:paraId="639EACCB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2" w:name="CESP_ART_024_2_1"/>
      <w:bookmarkEnd w:id="12"/>
      <w:r w:rsidRPr="007A6FC8">
        <w:rPr>
          <w:rFonts w:ascii="Calibri" w:hAnsi="Calibri" w:cs="Calibri"/>
          <w:i/>
          <w:color w:val="000000"/>
          <w:sz w:val="22"/>
          <w:szCs w:val="22"/>
        </w:rPr>
        <w:t>1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 criação e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extinção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07498D" w:rsidRPr="007A6FC8" w:rsidP="004C441C" w14:paraId="5957E28D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3" w:name="CESP_ART_024_2_2"/>
      <w:bookmarkEnd w:id="13"/>
      <w:r w:rsidRPr="007A6FC8">
        <w:rPr>
          <w:rFonts w:ascii="Calibri" w:hAnsi="Calibri" w:cs="Calibri"/>
          <w:i/>
          <w:color w:val="000000"/>
          <w:sz w:val="22"/>
          <w:szCs w:val="22"/>
        </w:rPr>
        <w:t>2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07498D" w:rsidRPr="007A6FC8" w:rsidP="004C441C" w14:paraId="1B9B3043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4" w:name="CESP_ART_024_2_3"/>
      <w:bookmarkEnd w:id="14"/>
      <w:r w:rsidRPr="007A6FC8">
        <w:rPr>
          <w:rFonts w:ascii="Calibri" w:hAnsi="Calibri" w:cs="Calibri"/>
          <w:i/>
          <w:color w:val="000000"/>
          <w:sz w:val="22"/>
          <w:szCs w:val="22"/>
        </w:rPr>
        <w:t>3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organização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07498D" w:rsidRPr="007A6FC8" w:rsidP="004C441C" w14:paraId="2B97498A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5" w:name="CESP_ART_024_2_4"/>
      <w:bookmarkEnd w:id="15"/>
      <w:r w:rsidRPr="007A6FC8">
        <w:rPr>
          <w:rFonts w:ascii="Calibri" w:hAnsi="Calibri" w:cs="Calibri"/>
          <w:i/>
          <w:color w:val="000000"/>
          <w:sz w:val="22"/>
          <w:szCs w:val="22"/>
        </w:rPr>
        <w:t>4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07498D" w:rsidRPr="007A6FC8" w:rsidP="004C441C" w14:paraId="65ED0CBF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6FC8">
        <w:rPr>
          <w:rFonts w:ascii="Calibri" w:hAnsi="Calibri" w:cs="Calibri"/>
          <w:i/>
          <w:color w:val="000000"/>
          <w:sz w:val="22"/>
          <w:szCs w:val="22"/>
        </w:rPr>
        <w:t>5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07498D" w:rsidRPr="007A6FC8" w:rsidP="004C441C" w14:paraId="520EDE84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6FC8">
        <w:rPr>
          <w:rFonts w:ascii="Calibri" w:hAnsi="Calibri" w:cs="Calibri"/>
          <w:i/>
          <w:color w:val="000000"/>
          <w:sz w:val="22"/>
          <w:szCs w:val="22"/>
        </w:rPr>
        <w:t>6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criação, alteração ou supressão de cartórios notariais e de registros públicos.”</w:t>
      </w:r>
    </w:p>
    <w:p w:rsidR="00D80835" w:rsidRPr="007A6FC8" w:rsidP="00D80835" w14:paraId="673FC75D" w14:textId="77777777">
      <w:pPr>
        <w:pStyle w:val="item"/>
        <w:spacing w:before="0" w:beforeAutospacing="0" w:after="240" w:afterAutospacing="0" w:line="360" w:lineRule="auto"/>
        <w:ind w:firstLine="170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7498D" w:rsidRPr="007A6FC8" w:rsidP="00D80835" w14:paraId="16D18EE1" w14:textId="1386813E">
      <w:pPr>
        <w:pStyle w:val="item"/>
        <w:spacing w:before="0" w:beforeAutospacing="0" w:after="0" w:afterAutospacing="0" w:line="360" w:lineRule="auto"/>
        <w:ind w:firstLine="1701"/>
        <w:jc w:val="both"/>
        <w:rPr>
          <w:rFonts w:ascii="Calibri" w:hAnsi="Calibri"/>
          <w:u w:val="single"/>
        </w:rPr>
      </w:pPr>
      <w:r w:rsidRPr="007A6FC8">
        <w:rPr>
          <w:rFonts w:ascii="Calibri" w:hAnsi="Calibri" w:cs="Calibri"/>
          <w:color w:val="000000"/>
        </w:rPr>
        <w:t xml:space="preserve">Do mesmo modo, </w:t>
      </w:r>
      <w:r w:rsidRPr="007A6FC8">
        <w:rPr>
          <w:rFonts w:ascii="Calibri" w:hAnsi="Calibri" w:cstheme="minorHAnsi"/>
        </w:rPr>
        <w:t>o art. 48 da Lei Orgânica do Município assim dispõe:</w:t>
      </w:r>
    </w:p>
    <w:p w:rsidR="0007498D" w:rsidRPr="007A6FC8" w:rsidP="008B1D9A" w14:paraId="72A25C19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“Art. 48.</w:t>
      </w:r>
      <w:r w:rsidRPr="007A6FC8">
        <w:rPr>
          <w:rFonts w:ascii="Calibri" w:hAnsi="Calibri"/>
          <w:i/>
        </w:rPr>
        <w:t xml:space="preserve"> Compete, exclusivamente, ao Prefeito a iniciativa dos projetos de lei que disponham sobre:</w:t>
      </w:r>
    </w:p>
    <w:p w:rsidR="0007498D" w:rsidRPr="007A6FC8" w:rsidP="008B1D9A" w14:paraId="59B40E10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 - criação e extinção de cargos, funções ou empregos públicos na administração direta e autárquica, bem como a fixação da respectiva remuneração;</w:t>
      </w:r>
    </w:p>
    <w:p w:rsidR="0007498D" w:rsidRPr="007A6FC8" w:rsidP="008B1D9A" w14:paraId="6B8C6216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II - criação, estruturação e atribuições das Secretarias Municipais e órgãos da administração pública;</w:t>
      </w:r>
    </w:p>
    <w:p w:rsidR="0007498D" w:rsidRPr="007A6FC8" w:rsidP="008B1D9A" w14:paraId="039BE3E0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III - servidores públicos do Município, seu regime jurídico, provimento de cargos, estabilidade e aposentadoria;</w:t>
      </w:r>
    </w:p>
    <w:p w:rsidR="0007498D" w:rsidRPr="007A6FC8" w:rsidP="008B1D9A" w14:paraId="0E81C1D9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IV - abertura de créditos adicionais.”</w:t>
      </w:r>
    </w:p>
    <w:p w:rsidR="0007498D" w:rsidRPr="007A6FC8" w:rsidP="0007498D" w14:paraId="22F66186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2835" w:firstLine="2268"/>
        <w:jc w:val="both"/>
        <w:rPr>
          <w:rFonts w:ascii="Calibri" w:eastAsia="Calibri" w:hAnsi="Calibri" w:cstheme="minorHAnsi"/>
          <w:i/>
          <w:color w:val="000000"/>
          <w:sz w:val="4"/>
          <w:szCs w:val="4"/>
        </w:rPr>
      </w:pPr>
    </w:p>
    <w:p w:rsidR="0007498D" w:rsidRPr="007A6FC8" w:rsidP="00D80835" w14:paraId="0DFF4715" w14:textId="5EBF0A31">
      <w:pPr>
        <w:spacing w:after="240" w:line="360" w:lineRule="auto"/>
        <w:ind w:firstLine="1701"/>
        <w:jc w:val="both"/>
        <w:rPr>
          <w:rFonts w:ascii="Calibri" w:hAnsi="Calibri" w:cs="Calibri"/>
          <w:b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 xml:space="preserve">Aliás, </w:t>
      </w:r>
      <w:r w:rsidRPr="007A6FC8" w:rsidR="00D80835">
        <w:rPr>
          <w:rFonts w:ascii="Calibri" w:hAnsi="Calibri" w:cs="Calibri"/>
          <w:sz w:val="24"/>
          <w:szCs w:val="24"/>
        </w:rPr>
        <w:t>no concernente aos</w:t>
      </w:r>
      <w:r w:rsidRPr="007A6FC8">
        <w:rPr>
          <w:rFonts w:ascii="Calibri" w:hAnsi="Calibri" w:cs="Calibri"/>
          <w:sz w:val="24"/>
          <w:szCs w:val="24"/>
        </w:rPr>
        <w:t xml:space="preserve"> limites da competência legislativa municipal dos membros do Poder Legislativo destacamos</w:t>
      </w:r>
      <w:r w:rsidRPr="007A6FC8">
        <w:rPr>
          <w:rFonts w:ascii="Calibri" w:hAnsi="Calibri" w:cs="Calibri"/>
          <w:b/>
          <w:sz w:val="24"/>
          <w:szCs w:val="24"/>
        </w:rPr>
        <w:t xml:space="preserve"> </w:t>
      </w:r>
      <w:r w:rsidRPr="007A6FC8">
        <w:rPr>
          <w:rFonts w:ascii="Calibri" w:hAnsi="Calibri" w:cs="Calibri"/>
          <w:sz w:val="24"/>
          <w:szCs w:val="24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 w:rsidRPr="007A6FC8" w:rsidR="00D80835">
        <w:rPr>
          <w:rFonts w:ascii="Calibri" w:hAnsi="Calibri" w:cs="Calibri"/>
          <w:sz w:val="24"/>
          <w:szCs w:val="24"/>
          <w:u w:val="single"/>
        </w:rPr>
        <w:t>lativo desta esfera federativa, t</w:t>
      </w:r>
      <w:r w:rsidRPr="007A6FC8">
        <w:rPr>
          <w:rFonts w:ascii="Calibri" w:hAnsi="Calibri" w:cs="Calibri"/>
          <w:sz w:val="24"/>
          <w:szCs w:val="24"/>
        </w:rPr>
        <w:t xml:space="preserve">rata-se do </w:t>
      </w:r>
      <w:r w:rsidRPr="007A6FC8">
        <w:rPr>
          <w:rFonts w:ascii="Calibri" w:hAnsi="Calibri" w:cs="Calibri"/>
          <w:b/>
          <w:sz w:val="24"/>
          <w:szCs w:val="24"/>
        </w:rPr>
        <w:t>Tema nº 917 Repercussão geral (Paradigma ARE 878911)</w:t>
      </w:r>
      <w:r w:rsidRPr="007A6FC8">
        <w:rPr>
          <w:rFonts w:ascii="Calibri" w:hAnsi="Calibri" w:cs="Calibri"/>
          <w:sz w:val="24"/>
          <w:szCs w:val="24"/>
        </w:rPr>
        <w:t xml:space="preserve"> que recebeu a seguinte redação:</w:t>
      </w:r>
    </w:p>
    <w:p w:rsidR="0007498D" w:rsidRPr="007A6FC8" w:rsidP="004C441C" w14:paraId="1556AF32" w14:textId="77777777">
      <w:pPr>
        <w:pStyle w:val="Default"/>
        <w:spacing w:after="120"/>
        <w:ind w:left="2268"/>
        <w:jc w:val="both"/>
        <w:rPr>
          <w:rFonts w:ascii="Calibri" w:hAnsi="Calibri" w:cstheme="minorHAnsi"/>
          <w:b/>
          <w:i/>
          <w:color w:val="auto"/>
          <w:sz w:val="22"/>
          <w:szCs w:val="22"/>
        </w:rPr>
      </w:pP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Executivo lei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II,"a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07498D" w:rsidRPr="007A6FC8" w:rsidP="004C441C" w14:paraId="398BDE57" w14:textId="77777777">
      <w:pPr>
        <w:pStyle w:val="Default"/>
        <w:spacing w:after="120"/>
        <w:ind w:left="2268"/>
        <w:jc w:val="both"/>
        <w:rPr>
          <w:rFonts w:ascii="Calibri" w:hAnsi="Calibri" w:cstheme="minorHAnsi"/>
          <w:i/>
          <w:color w:val="auto"/>
          <w:sz w:val="22"/>
          <w:szCs w:val="22"/>
        </w:rPr>
      </w:pPr>
      <w:r w:rsidRPr="007A6FC8">
        <w:rPr>
          <w:rFonts w:ascii="Calibri" w:hAnsi="Calibr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Executivo lei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7A6FC8">
        <w:rPr>
          <w:rFonts w:ascii="Calibri" w:hAnsi="Calibr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7A6FC8">
        <w:rPr>
          <w:rFonts w:ascii="Calibri" w:hAnsi="Calibri" w:cstheme="minorHAnsi"/>
          <w:i/>
          <w:color w:val="auto"/>
          <w:sz w:val="22"/>
          <w:szCs w:val="22"/>
        </w:rPr>
        <w:t>Relator(</w:t>
      </w:r>
      <w:r w:rsidRPr="007A6FC8">
        <w:rPr>
          <w:rFonts w:ascii="Calibri" w:hAnsi="Calibr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07498D" w:rsidRPr="007A6FC8" w:rsidP="0007498D" w14:paraId="45DD8CE4" w14:textId="77777777">
      <w:pPr>
        <w:pStyle w:val="Default"/>
        <w:spacing w:before="240" w:after="240" w:line="360" w:lineRule="auto"/>
        <w:ind w:firstLine="1701"/>
        <w:jc w:val="both"/>
        <w:rPr>
          <w:rFonts w:ascii="Calibri" w:hAnsi="Calibri" w:cstheme="minorHAnsi"/>
          <w:color w:val="auto"/>
        </w:rPr>
      </w:pPr>
      <w:r w:rsidRPr="007A6FC8">
        <w:rPr>
          <w:rFonts w:ascii="Calibri" w:hAnsi="Calibri" w:cstheme="minorHAnsi"/>
          <w:color w:val="auto"/>
        </w:rPr>
        <w:t xml:space="preserve">Assim, consoante entendimento da Suprema Corte (Tema nº917 Repercussão Geral) a iniciativa dos vereadores </w:t>
      </w:r>
      <w:r w:rsidRPr="007A6FC8">
        <w:rPr>
          <w:rFonts w:ascii="Calibri" w:hAnsi="Calibri" w:cstheme="minorHAnsi"/>
          <w:color w:val="auto"/>
        </w:rPr>
        <w:t>é</w:t>
      </w:r>
      <w:r w:rsidRPr="007A6FC8">
        <w:rPr>
          <w:rFonts w:ascii="Calibri" w:hAnsi="Calibr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07498D" w:rsidRPr="007A6FC8" w:rsidP="0007498D" w14:paraId="5F72E623" w14:textId="77777777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Cs w:val="24"/>
        </w:rPr>
      </w:pPr>
      <w:r w:rsidRPr="007A6FC8">
        <w:rPr>
          <w:rFonts w:ascii="Calibri" w:hAnsi="Calibri" w:cstheme="minorHAnsi"/>
          <w:szCs w:val="24"/>
        </w:rPr>
        <w:t>Nesse sentido colacionamos decisão do E. Tribunal de Justiça do Estado de São Paulo:</w:t>
      </w:r>
    </w:p>
    <w:p w:rsidR="0007498D" w:rsidRPr="007C02EE" w:rsidP="004C441C" w14:paraId="55F3A85A" w14:textId="7777777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  <w:r w:rsidRPr="007A6FC8">
        <w:rPr>
          <w:rFonts w:ascii="Calibri" w:hAnsi="Calibri" w:cs="Calibri"/>
          <w:i/>
          <w:color w:val="000000"/>
          <w:shd w:val="clear" w:color="auto" w:fill="FFFFFF"/>
        </w:rPr>
        <w:t>AÇÃO DIRETA DE INCONSTITUCIONALIDADE – Pretensão que envolve a Lei nº 4.083, de 27 de maio de 2019, que "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 xml:space="preserve">dispõe sobre a proibição da prática de maus-tratos em animais domésticos ou domesticados, silvestres, nativos ou exóticos, e 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>dá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 xml:space="preserve"> outras providências", da Estância Hidromineral de Poá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–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Regras sobre meio ambiente e de proteção e fiscalização em relação a animais da região que se encontram no âmbito do interesse local para legislar, dentro das atribuições constitucionais do município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– Competência para a elaboração de leis acerca de assunto local que pode ser exercida, de forma geral e abstrata, tanto pelo Poder Legislativo quanto pelo Poder Executivo –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Competência para legislar sobre meio ambiente que é concorrente de todos os entes federativos e que também pode ser exercida, igualmente de forma geral e abstrata, tanto pelo Poder Legislativo quanto pelo Poder Executivo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 xml:space="preserve"> – Inconstitucionalidade não configurada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– Regulamentação de tema dentro dos limites da atuação do poder – Ação improcedente.  </w:t>
      </w:r>
      <w:r w:rsidRPr="007C02EE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(TJSP;  Direta de Inconstitucionalidade 2196948-17.2019.8.26.0000; Relator (a): </w:t>
      </w:r>
      <w:r w:rsidRPr="007C02EE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Alvaro</w:t>
      </w:r>
      <w:r w:rsidRPr="007C02EE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 xml:space="preserve"> Passos; Órgão Julgador: Órgão Especial; Tribunal de Justiça de São Paulo - N/A; Data do Julgamento: 19/02/2020; Data de Registro: 20/02/2020)</w:t>
      </w:r>
    </w:p>
    <w:p w:rsidR="007C671B" w:rsidP="0007498D" w14:paraId="17958343" w14:textId="77777777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 w:val="4"/>
          <w:szCs w:val="4"/>
        </w:rPr>
      </w:pPr>
    </w:p>
    <w:p w:rsidR="0007498D" w:rsidRPr="00F75907" w:rsidP="0007498D" w14:paraId="1C39B692" w14:textId="7F987AC1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Cs w:val="24"/>
          <w:u w:val="single"/>
        </w:rPr>
      </w:pPr>
      <w:r w:rsidRPr="007A6FC8">
        <w:rPr>
          <w:rFonts w:ascii="Calibri" w:hAnsi="Calibri" w:cstheme="minorHAnsi"/>
          <w:szCs w:val="24"/>
        </w:rPr>
        <w:t xml:space="preserve">Por fim, quanto ao aspecto gramatical e lógico </w:t>
      </w:r>
      <w:r w:rsidR="000F1088">
        <w:rPr>
          <w:rFonts w:ascii="Calibri" w:hAnsi="Calibri" w:cstheme="minorHAnsi"/>
          <w:szCs w:val="24"/>
        </w:rPr>
        <w:t>o projeto atende</w:t>
      </w:r>
      <w:r w:rsidRPr="007A6FC8">
        <w:rPr>
          <w:rFonts w:ascii="Calibri" w:hAnsi="Calibri" w:cstheme="minorHAnsi"/>
          <w:szCs w:val="24"/>
        </w:rPr>
        <w:t xml:space="preserve"> aos preceitos da LC nº 95/98, que dispõe sobre a elaboração, redação, alteração e consolidação das leis, conforme determina o p</w:t>
      </w:r>
      <w:r w:rsidR="007C6247">
        <w:rPr>
          <w:rFonts w:ascii="Calibri" w:hAnsi="Calibri" w:cstheme="minorHAnsi"/>
          <w:szCs w:val="24"/>
        </w:rPr>
        <w:t>arágrafo único do art. 59 da C</w:t>
      </w:r>
      <w:r w:rsidRPr="000F1088" w:rsidR="007C6247">
        <w:rPr>
          <w:rFonts w:ascii="Calibri" w:hAnsi="Calibri" w:cstheme="minorHAnsi"/>
          <w:szCs w:val="24"/>
        </w:rPr>
        <w:t>F</w:t>
      </w:r>
      <w:r w:rsidRPr="000F1088" w:rsidR="000F1088">
        <w:rPr>
          <w:rFonts w:ascii="Calibri" w:hAnsi="Calibri" w:cstheme="minorHAnsi"/>
          <w:szCs w:val="24"/>
        </w:rPr>
        <w:t>.</w:t>
      </w:r>
    </w:p>
    <w:p w:rsidR="0007498D" w:rsidRPr="007A6FC8" w:rsidP="00E069CD" w14:paraId="6D1DCD43" w14:textId="47006FDB">
      <w:pPr>
        <w:pStyle w:val="BodyText"/>
        <w:spacing w:line="360" w:lineRule="auto"/>
        <w:ind w:firstLine="1701"/>
        <w:jc w:val="both"/>
        <w:rPr>
          <w:rFonts w:ascii="Calibri" w:hAnsi="Calibri" w:cstheme="minorHAnsi"/>
          <w:b/>
          <w:szCs w:val="24"/>
        </w:rPr>
      </w:pPr>
      <w:r w:rsidRPr="007A6FC8">
        <w:rPr>
          <w:rFonts w:ascii="Calibri" w:hAnsi="Calibri" w:cstheme="minorHAnsi"/>
          <w:szCs w:val="24"/>
        </w:rPr>
        <w:t xml:space="preserve">Ante todo o exposto, </w:t>
      </w:r>
      <w:r w:rsidR="000F1088">
        <w:rPr>
          <w:rFonts w:ascii="Calibri" w:hAnsi="Calibri" w:cstheme="minorHAnsi"/>
          <w:szCs w:val="24"/>
        </w:rPr>
        <w:t>opinamos pela constitucionalidade e legalidade do projeto.</w:t>
      </w:r>
      <w:r w:rsidRPr="007A6FC8" w:rsidR="001A700E">
        <w:rPr>
          <w:rFonts w:ascii="Calibri" w:hAnsi="Calibri" w:cstheme="minorHAnsi"/>
          <w:szCs w:val="24"/>
        </w:rPr>
        <w:t xml:space="preserve"> </w:t>
      </w:r>
      <w:r w:rsidRPr="007A6FC8">
        <w:rPr>
          <w:rFonts w:ascii="Calibri" w:eastAsia="Calibri" w:hAnsi="Calibri" w:cs="Calibri"/>
          <w:b/>
        </w:rPr>
        <w:t>Sobre o mérito, manifestar-se-á o Plenário de forma soberana.</w:t>
      </w:r>
    </w:p>
    <w:p w:rsidR="0007498D" w:rsidRPr="007A6FC8" w:rsidP="00E069CD" w14:paraId="2B587575" w14:textId="77777777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>É o parecer.</w:t>
      </w:r>
    </w:p>
    <w:p w:rsidR="0007498D" w:rsidP="00E069CD" w14:paraId="7B9ED58E" w14:textId="0161443F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 xml:space="preserve">Procuradoria, aos </w:t>
      </w:r>
      <w:r w:rsidR="000F1088">
        <w:rPr>
          <w:rFonts w:ascii="Calibri" w:hAnsi="Calibri" w:cs="Calibri"/>
          <w:sz w:val="24"/>
          <w:szCs w:val="24"/>
        </w:rPr>
        <w:t>21</w:t>
      </w:r>
      <w:r w:rsidRPr="007A6F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A6FC8">
        <w:rPr>
          <w:rFonts w:ascii="Calibri" w:hAnsi="Calibri" w:cs="Calibri"/>
          <w:sz w:val="24"/>
          <w:szCs w:val="24"/>
        </w:rPr>
        <w:t xml:space="preserve">de </w:t>
      </w:r>
      <w:r w:rsidR="000F1088">
        <w:rPr>
          <w:rFonts w:ascii="Calibri" w:hAnsi="Calibri" w:cs="Calibri"/>
          <w:sz w:val="24"/>
          <w:szCs w:val="24"/>
        </w:rPr>
        <w:t>setembro</w:t>
      </w:r>
      <w:r w:rsidRPr="007A6FC8" w:rsidR="00486565">
        <w:rPr>
          <w:rFonts w:ascii="Calibri" w:hAnsi="Calibri" w:cs="Calibri"/>
          <w:sz w:val="24"/>
          <w:szCs w:val="24"/>
        </w:rPr>
        <w:t xml:space="preserve"> de 2023</w:t>
      </w:r>
      <w:r w:rsidRPr="007A6FC8">
        <w:rPr>
          <w:rFonts w:ascii="Calibri" w:hAnsi="Calibri" w:cs="Calibri"/>
          <w:sz w:val="24"/>
          <w:szCs w:val="24"/>
        </w:rPr>
        <w:t>.</w:t>
      </w:r>
    </w:p>
    <w:p w:rsidR="00FC4A0B" w:rsidP="00E069CD" w14:paraId="5889871C" w14:textId="77777777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</w:p>
    <w:p w:rsidR="0007498D" w:rsidRPr="007A6FC8" w:rsidP="0007498D" w14:paraId="6A76596D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A6FC8">
        <w:rPr>
          <w:rFonts w:ascii="Calibri" w:hAnsi="Calibri" w:cs="Calibri"/>
          <w:b/>
          <w:szCs w:val="24"/>
        </w:rPr>
        <w:t>Rosemeire de Souza Cardoso Barbosa</w:t>
      </w:r>
    </w:p>
    <w:p w:rsidR="0007498D" w:rsidRPr="007A6FC8" w:rsidP="0007498D" w14:paraId="59519718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A6FC8">
        <w:rPr>
          <w:rFonts w:ascii="Calibri" w:hAnsi="Calibri" w:cs="Calibri"/>
          <w:b/>
          <w:szCs w:val="24"/>
        </w:rPr>
        <w:t>Procuradora - OAB/SP 308.298</w:t>
      </w:r>
    </w:p>
    <w:p w:rsidR="0007498D" w:rsidRPr="007A6FC8" w:rsidP="0007498D" w14:paraId="2A1E4E29" w14:textId="576D81B1">
      <w:pPr>
        <w:pStyle w:val="BodyText"/>
        <w:spacing w:after="0"/>
        <w:jc w:val="center"/>
        <w:rPr>
          <w:rFonts w:ascii="Calibri" w:hAnsi="Calibri" w:cs="Calibri"/>
          <w:szCs w:val="24"/>
        </w:rPr>
      </w:pPr>
      <w:r w:rsidRPr="007A6FC8">
        <w:rPr>
          <w:rFonts w:ascii="Calibri" w:hAnsi="Calibri" w:cs="Calibri"/>
          <w:szCs w:val="24"/>
        </w:rPr>
        <w:t>Assinatura Eletrônica</w:t>
      </w:r>
    </w:p>
    <w:sectPr w:rsidSect="00106ADB">
      <w:headerReference w:type="default" r:id="rId10"/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D66AE" w:rsidP="003C2F5F" w14:paraId="0F477BAB" w14:textId="30AD871E">
            <w:pPr>
              <w:pStyle w:val="Footer"/>
              <w:jc w:val="right"/>
            </w:pPr>
          </w:p>
          <w:p w:rsidR="007D66AE" w:rsidP="003C2F5F" w14:paraId="028256AF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D66AE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D66AE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7D66AE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D52DA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D52DA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D66AE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7D66AE" w14:paraId="1F8DB62B" w14:textId="77777777">
      <w:pPr>
        <w:spacing w:after="0" w:line="240" w:lineRule="auto"/>
      </w:pPr>
      <w:r>
        <w:continuationSeparator/>
      </w:r>
    </w:p>
  </w:footnote>
  <w:footnote w:id="2">
    <w:p w:rsidR="00CD4770" w:rsidRPr="00CD4770" w:rsidP="00CD4770" w14:paraId="066942A0" w14:textId="180CFEE1">
      <w:pPr>
        <w:pStyle w:val="FootnoteText"/>
        <w:jc w:val="both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Art. 38. Compete à Comissão de Justiça e Redação manifestar-se sobre todos os assuntos entregues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</w:t>
      </w:r>
      <w:r>
        <w:rPr>
          <w:i/>
          <w:iCs/>
        </w:rPr>
        <w:t xml:space="preserve">os Vereadores da Câmara. § 1º É obrigatória </w:t>
      </w:r>
      <w:r>
        <w:rPr>
          <w:i/>
          <w:iCs/>
        </w:rPr>
        <w:t>a</w:t>
      </w:r>
      <w:r>
        <w:rPr>
          <w:i/>
          <w:iCs/>
        </w:rPr>
        <w:t xml:space="preserve"> </w:t>
      </w:r>
      <w:r w:rsidRPr="001B2556">
        <w:rPr>
          <w:i/>
          <w:iCs/>
        </w:rPr>
        <w:t xml:space="preserve">audiência </w:t>
      </w:r>
      <w:r>
        <w:rPr>
          <w:i/>
          <w:iCs/>
        </w:rPr>
        <w:t xml:space="preserve">da Comissão sobre todos os projetos que tramitem pela </w:t>
      </w:r>
      <w:r w:rsidRPr="001B2556">
        <w:rPr>
          <w:i/>
          <w:iCs/>
        </w:rPr>
        <w:t xml:space="preserve">Câmara, ressalvados os que explicitamente tiverem outro destino por este Regimento. § 2º Concluindo a Comissão de Justiça e Redação pela </w:t>
      </w:r>
      <w:r>
        <w:rPr>
          <w:i/>
          <w:iCs/>
        </w:rPr>
        <w:t>ilegalidade ou inconstitucionalidade de um projeto,</w:t>
      </w:r>
      <w:r w:rsidRPr="001B2556">
        <w:rPr>
          <w:i/>
          <w:iCs/>
        </w:rPr>
        <w:t xml:space="preserve"> deve o parecer vir a plenário para ser discutido </w:t>
      </w:r>
      <w:r>
        <w:rPr>
          <w:i/>
          <w:iCs/>
        </w:rPr>
        <w:t>e somente</w:t>
      </w:r>
      <w:r w:rsidRPr="001B2556">
        <w:rPr>
          <w:i/>
          <w:iCs/>
        </w:rPr>
        <w:t xml:space="preserve"> quando </w:t>
      </w:r>
      <w:r>
        <w:rPr>
          <w:i/>
          <w:iCs/>
        </w:rPr>
        <w:t>rejeitado prosseguirá</w:t>
      </w:r>
      <w:r w:rsidRPr="001B2556">
        <w:rPr>
          <w:i/>
          <w:iCs/>
        </w:rPr>
        <w:t xml:space="preserve"> o processo</w:t>
      </w:r>
      <w:r>
        <w:rPr>
          <w:i/>
          <w:iCs/>
        </w:rPr>
        <w:t>.</w:t>
      </w:r>
    </w:p>
  </w:footnote>
  <w:footnote w:id="3">
    <w:p w:rsidR="00486565" w:rsidRPr="00CD4770" w:rsidP="00486565" w14:paraId="74194248" w14:textId="0810B7ED">
      <w:pPr>
        <w:pStyle w:val="Default"/>
        <w:spacing w:after="240"/>
        <w:jc w:val="both"/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</w:pP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footnoteRef/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>ex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>oficio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486565" w:rsidRPr="00486565" w14:paraId="20ADBDA5" w14:textId="43ECB012">
      <w:pPr>
        <w:pStyle w:val="FootnoteText"/>
        <w:rPr>
          <w:rFonts w:ascii="Calibri" w:eastAsia="Calibri" w:hAnsi="Calibri" w:cs="Calibri"/>
          <w:i/>
          <w:color w:val="000000"/>
          <w:sz w:val="21"/>
          <w:szCs w:val="21"/>
          <w:lang w:eastAsia="pt-BR"/>
        </w:rPr>
      </w:pPr>
    </w:p>
  </w:footnote>
  <w:footnote w:id="4">
    <w:p w:rsidR="007D66AE" w:rsidP="0007498D" w14:paraId="61C65446" w14:textId="77777777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6AE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7D66AE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6AE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63770228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2434425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681906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D66AE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848601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6819066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D66AE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D66AE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D66AE" w:rsidP="003C2F5F" w14:paraId="6FE38094" w14:textId="77777777">
    <w:pPr>
      <w:pStyle w:val="Header"/>
    </w:pPr>
  </w:p>
  <w:p w:rsidR="007D66AE" w:rsidP="00CD4770" w14:paraId="4BFA90CE" w14:textId="261DB28A">
    <w:pPr>
      <w:pStyle w:val="Header"/>
      <w:tabs>
        <w:tab w:val="left" w:pos="2820"/>
        <w:tab w:val="clear" w:pos="4252"/>
        <w:tab w:val="clear" w:pos="8504"/>
      </w:tabs>
    </w:pPr>
    <w:r>
      <w:tab/>
    </w:r>
  </w:p>
  <w:p w:rsidR="007D66AE" w14:paraId="672633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C1308"/>
    <w:multiLevelType w:val="hybridMultilevel"/>
    <w:tmpl w:val="A85C7A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D2459"/>
    <w:multiLevelType w:val="hybridMultilevel"/>
    <w:tmpl w:val="429EF8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7B1108BB"/>
    <w:multiLevelType w:val="hybridMultilevel"/>
    <w:tmpl w:val="36E0B3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1C09"/>
    <w:rsid w:val="00003A51"/>
    <w:rsid w:val="00004354"/>
    <w:rsid w:val="00007564"/>
    <w:rsid w:val="000356B7"/>
    <w:rsid w:val="00053466"/>
    <w:rsid w:val="00054297"/>
    <w:rsid w:val="00055CC4"/>
    <w:rsid w:val="0007498D"/>
    <w:rsid w:val="000854D9"/>
    <w:rsid w:val="000863AF"/>
    <w:rsid w:val="00093998"/>
    <w:rsid w:val="000A1978"/>
    <w:rsid w:val="000A2B7F"/>
    <w:rsid w:val="000A3FBA"/>
    <w:rsid w:val="000A609F"/>
    <w:rsid w:val="000C4719"/>
    <w:rsid w:val="000C70A3"/>
    <w:rsid w:val="000E0541"/>
    <w:rsid w:val="000F1088"/>
    <w:rsid w:val="000F53FD"/>
    <w:rsid w:val="000F7DF6"/>
    <w:rsid w:val="0010042C"/>
    <w:rsid w:val="00106ADB"/>
    <w:rsid w:val="001150B0"/>
    <w:rsid w:val="00116058"/>
    <w:rsid w:val="001166FA"/>
    <w:rsid w:val="0012397D"/>
    <w:rsid w:val="00127315"/>
    <w:rsid w:val="00130A14"/>
    <w:rsid w:val="00133C76"/>
    <w:rsid w:val="00140F84"/>
    <w:rsid w:val="00146235"/>
    <w:rsid w:val="001473D4"/>
    <w:rsid w:val="00171311"/>
    <w:rsid w:val="00186BFA"/>
    <w:rsid w:val="001900C3"/>
    <w:rsid w:val="001A700E"/>
    <w:rsid w:val="001B2556"/>
    <w:rsid w:val="001D010E"/>
    <w:rsid w:val="001E1E69"/>
    <w:rsid w:val="00225863"/>
    <w:rsid w:val="002632A5"/>
    <w:rsid w:val="00264F4E"/>
    <w:rsid w:val="002679FA"/>
    <w:rsid w:val="00277FC6"/>
    <w:rsid w:val="0028238A"/>
    <w:rsid w:val="00290799"/>
    <w:rsid w:val="00296127"/>
    <w:rsid w:val="0029742D"/>
    <w:rsid w:val="002A0294"/>
    <w:rsid w:val="002A0BF9"/>
    <w:rsid w:val="002A1B00"/>
    <w:rsid w:val="002A4033"/>
    <w:rsid w:val="002A68E6"/>
    <w:rsid w:val="002B3EF9"/>
    <w:rsid w:val="002B4174"/>
    <w:rsid w:val="002B6DD7"/>
    <w:rsid w:val="002C174B"/>
    <w:rsid w:val="002C63E4"/>
    <w:rsid w:val="002D0400"/>
    <w:rsid w:val="002D1F88"/>
    <w:rsid w:val="002F1549"/>
    <w:rsid w:val="002F33D3"/>
    <w:rsid w:val="002F5795"/>
    <w:rsid w:val="002F68B4"/>
    <w:rsid w:val="0031027E"/>
    <w:rsid w:val="003122AC"/>
    <w:rsid w:val="003132A3"/>
    <w:rsid w:val="003210F0"/>
    <w:rsid w:val="00345391"/>
    <w:rsid w:val="00350F60"/>
    <w:rsid w:val="003A5BDC"/>
    <w:rsid w:val="003A6631"/>
    <w:rsid w:val="003B46B4"/>
    <w:rsid w:val="003B4ED0"/>
    <w:rsid w:val="003C2F5F"/>
    <w:rsid w:val="003C39D6"/>
    <w:rsid w:val="003C4DB0"/>
    <w:rsid w:val="003C6555"/>
    <w:rsid w:val="003D3D50"/>
    <w:rsid w:val="003D52DA"/>
    <w:rsid w:val="003D6EE3"/>
    <w:rsid w:val="003E371A"/>
    <w:rsid w:val="003F133F"/>
    <w:rsid w:val="0040409A"/>
    <w:rsid w:val="00415C7A"/>
    <w:rsid w:val="00417BC0"/>
    <w:rsid w:val="00427BE6"/>
    <w:rsid w:val="0045236F"/>
    <w:rsid w:val="00465FE0"/>
    <w:rsid w:val="00486565"/>
    <w:rsid w:val="00494D8D"/>
    <w:rsid w:val="004A3DD2"/>
    <w:rsid w:val="004B4B05"/>
    <w:rsid w:val="004B5205"/>
    <w:rsid w:val="004C441C"/>
    <w:rsid w:val="005056F7"/>
    <w:rsid w:val="00506C4F"/>
    <w:rsid w:val="005101D9"/>
    <w:rsid w:val="00531B48"/>
    <w:rsid w:val="00553C12"/>
    <w:rsid w:val="00565676"/>
    <w:rsid w:val="0058062A"/>
    <w:rsid w:val="0058205D"/>
    <w:rsid w:val="00582F11"/>
    <w:rsid w:val="00585C59"/>
    <w:rsid w:val="005870B5"/>
    <w:rsid w:val="00591032"/>
    <w:rsid w:val="00593369"/>
    <w:rsid w:val="00595667"/>
    <w:rsid w:val="005A1CB4"/>
    <w:rsid w:val="005B54B3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3663D"/>
    <w:rsid w:val="00644ED3"/>
    <w:rsid w:val="00645676"/>
    <w:rsid w:val="006461EC"/>
    <w:rsid w:val="006504F4"/>
    <w:rsid w:val="0065517F"/>
    <w:rsid w:val="006702A6"/>
    <w:rsid w:val="00686242"/>
    <w:rsid w:val="00687439"/>
    <w:rsid w:val="00687E29"/>
    <w:rsid w:val="006A1A17"/>
    <w:rsid w:val="006A5B5D"/>
    <w:rsid w:val="006B1DD9"/>
    <w:rsid w:val="006D0818"/>
    <w:rsid w:val="006D1203"/>
    <w:rsid w:val="006E43B0"/>
    <w:rsid w:val="006E4468"/>
    <w:rsid w:val="006E4F1C"/>
    <w:rsid w:val="006F0642"/>
    <w:rsid w:val="006F6EBB"/>
    <w:rsid w:val="00703F93"/>
    <w:rsid w:val="0070570A"/>
    <w:rsid w:val="007111F6"/>
    <w:rsid w:val="00715BF5"/>
    <w:rsid w:val="00721434"/>
    <w:rsid w:val="0072743E"/>
    <w:rsid w:val="007566A1"/>
    <w:rsid w:val="007673E8"/>
    <w:rsid w:val="007711FB"/>
    <w:rsid w:val="0078309E"/>
    <w:rsid w:val="007A6FC8"/>
    <w:rsid w:val="007C02EE"/>
    <w:rsid w:val="007C6247"/>
    <w:rsid w:val="007C671B"/>
    <w:rsid w:val="007D24E4"/>
    <w:rsid w:val="007D66AE"/>
    <w:rsid w:val="007D6753"/>
    <w:rsid w:val="007E1938"/>
    <w:rsid w:val="007E1F99"/>
    <w:rsid w:val="007E5161"/>
    <w:rsid w:val="00805484"/>
    <w:rsid w:val="00807D81"/>
    <w:rsid w:val="00815A68"/>
    <w:rsid w:val="00820DC2"/>
    <w:rsid w:val="00822018"/>
    <w:rsid w:val="00833548"/>
    <w:rsid w:val="00840756"/>
    <w:rsid w:val="00843AF6"/>
    <w:rsid w:val="00844F2A"/>
    <w:rsid w:val="008564F9"/>
    <w:rsid w:val="00866252"/>
    <w:rsid w:val="00867EC0"/>
    <w:rsid w:val="008706BC"/>
    <w:rsid w:val="008743BF"/>
    <w:rsid w:val="00880E5C"/>
    <w:rsid w:val="008B1D9A"/>
    <w:rsid w:val="008B446B"/>
    <w:rsid w:val="008C29F0"/>
    <w:rsid w:val="008D3CD3"/>
    <w:rsid w:val="008D67BD"/>
    <w:rsid w:val="008E7C91"/>
    <w:rsid w:val="008F5FCA"/>
    <w:rsid w:val="009062D4"/>
    <w:rsid w:val="009232BC"/>
    <w:rsid w:val="00924DE9"/>
    <w:rsid w:val="0094325E"/>
    <w:rsid w:val="009513F9"/>
    <w:rsid w:val="00970BBA"/>
    <w:rsid w:val="00973E66"/>
    <w:rsid w:val="00985CD8"/>
    <w:rsid w:val="00990D8F"/>
    <w:rsid w:val="00993CD7"/>
    <w:rsid w:val="00994F17"/>
    <w:rsid w:val="00995E87"/>
    <w:rsid w:val="009A3EA4"/>
    <w:rsid w:val="009A6ACD"/>
    <w:rsid w:val="009C1CDC"/>
    <w:rsid w:val="009E7F90"/>
    <w:rsid w:val="009F0F77"/>
    <w:rsid w:val="009F4B93"/>
    <w:rsid w:val="00A11BB8"/>
    <w:rsid w:val="00A120E6"/>
    <w:rsid w:val="00A1785C"/>
    <w:rsid w:val="00A21575"/>
    <w:rsid w:val="00A22AF4"/>
    <w:rsid w:val="00A32BE6"/>
    <w:rsid w:val="00A33922"/>
    <w:rsid w:val="00A44636"/>
    <w:rsid w:val="00A455A2"/>
    <w:rsid w:val="00A7003F"/>
    <w:rsid w:val="00A7592E"/>
    <w:rsid w:val="00A816F6"/>
    <w:rsid w:val="00A84A80"/>
    <w:rsid w:val="00AA19F5"/>
    <w:rsid w:val="00AA7D6E"/>
    <w:rsid w:val="00AB02F8"/>
    <w:rsid w:val="00AC632E"/>
    <w:rsid w:val="00AD09C0"/>
    <w:rsid w:val="00B20851"/>
    <w:rsid w:val="00B21513"/>
    <w:rsid w:val="00B44099"/>
    <w:rsid w:val="00B45584"/>
    <w:rsid w:val="00B51914"/>
    <w:rsid w:val="00B51B29"/>
    <w:rsid w:val="00B67EF2"/>
    <w:rsid w:val="00B74A40"/>
    <w:rsid w:val="00B77DD5"/>
    <w:rsid w:val="00B815E6"/>
    <w:rsid w:val="00B8712C"/>
    <w:rsid w:val="00B9191A"/>
    <w:rsid w:val="00BA60E8"/>
    <w:rsid w:val="00BA71BB"/>
    <w:rsid w:val="00BB2737"/>
    <w:rsid w:val="00BB4A3C"/>
    <w:rsid w:val="00BB699B"/>
    <w:rsid w:val="00BC0261"/>
    <w:rsid w:val="00BC1CA3"/>
    <w:rsid w:val="00BC6B20"/>
    <w:rsid w:val="00BC7C4D"/>
    <w:rsid w:val="00BD21FC"/>
    <w:rsid w:val="00BD465A"/>
    <w:rsid w:val="00BE0658"/>
    <w:rsid w:val="00BF1E38"/>
    <w:rsid w:val="00BF6582"/>
    <w:rsid w:val="00C037D3"/>
    <w:rsid w:val="00C077A7"/>
    <w:rsid w:val="00C16375"/>
    <w:rsid w:val="00C50F96"/>
    <w:rsid w:val="00C65153"/>
    <w:rsid w:val="00C772FB"/>
    <w:rsid w:val="00C81BA2"/>
    <w:rsid w:val="00C8439B"/>
    <w:rsid w:val="00C843E5"/>
    <w:rsid w:val="00C911DC"/>
    <w:rsid w:val="00C96BE2"/>
    <w:rsid w:val="00C96BF1"/>
    <w:rsid w:val="00CA16BE"/>
    <w:rsid w:val="00CA36F2"/>
    <w:rsid w:val="00CB6FAA"/>
    <w:rsid w:val="00CB75DF"/>
    <w:rsid w:val="00CD2341"/>
    <w:rsid w:val="00CD4770"/>
    <w:rsid w:val="00CF22C9"/>
    <w:rsid w:val="00D23330"/>
    <w:rsid w:val="00D40F4C"/>
    <w:rsid w:val="00D43148"/>
    <w:rsid w:val="00D515D2"/>
    <w:rsid w:val="00D56ED0"/>
    <w:rsid w:val="00D57968"/>
    <w:rsid w:val="00D6668F"/>
    <w:rsid w:val="00D7028D"/>
    <w:rsid w:val="00D80835"/>
    <w:rsid w:val="00D91CAE"/>
    <w:rsid w:val="00DA067C"/>
    <w:rsid w:val="00DA6666"/>
    <w:rsid w:val="00DD117B"/>
    <w:rsid w:val="00E010C5"/>
    <w:rsid w:val="00E069CD"/>
    <w:rsid w:val="00E07310"/>
    <w:rsid w:val="00E143B5"/>
    <w:rsid w:val="00E17B92"/>
    <w:rsid w:val="00E3389E"/>
    <w:rsid w:val="00E4300C"/>
    <w:rsid w:val="00E44FA1"/>
    <w:rsid w:val="00E503EA"/>
    <w:rsid w:val="00E51F3C"/>
    <w:rsid w:val="00E560A4"/>
    <w:rsid w:val="00E66F59"/>
    <w:rsid w:val="00E7573E"/>
    <w:rsid w:val="00E77219"/>
    <w:rsid w:val="00E813C9"/>
    <w:rsid w:val="00E91634"/>
    <w:rsid w:val="00E9745E"/>
    <w:rsid w:val="00EA669D"/>
    <w:rsid w:val="00EB49A2"/>
    <w:rsid w:val="00EB7BB1"/>
    <w:rsid w:val="00EC0F01"/>
    <w:rsid w:val="00EC399E"/>
    <w:rsid w:val="00ED2EB0"/>
    <w:rsid w:val="00ED37C2"/>
    <w:rsid w:val="00ED4771"/>
    <w:rsid w:val="00ED4902"/>
    <w:rsid w:val="00EE3E12"/>
    <w:rsid w:val="00EE6021"/>
    <w:rsid w:val="00F0094A"/>
    <w:rsid w:val="00F0182B"/>
    <w:rsid w:val="00F1361D"/>
    <w:rsid w:val="00F209F1"/>
    <w:rsid w:val="00F253CD"/>
    <w:rsid w:val="00F505B3"/>
    <w:rsid w:val="00F519D2"/>
    <w:rsid w:val="00F53031"/>
    <w:rsid w:val="00F53BEF"/>
    <w:rsid w:val="00F564CF"/>
    <w:rsid w:val="00F66849"/>
    <w:rsid w:val="00F72170"/>
    <w:rsid w:val="00F740A6"/>
    <w:rsid w:val="00F758E5"/>
    <w:rsid w:val="00F75907"/>
    <w:rsid w:val="00F847EE"/>
    <w:rsid w:val="00F86B59"/>
    <w:rsid w:val="00FA1D5B"/>
    <w:rsid w:val="00FB0318"/>
    <w:rsid w:val="00FC3ECB"/>
    <w:rsid w:val="00FC4A0B"/>
    <w:rsid w:val="00FC59A5"/>
    <w:rsid w:val="00FC6C77"/>
    <w:rsid w:val="00FF0189"/>
    <w:rsid w:val="00FF16C9"/>
    <w:rsid w:val="00FF52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8D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83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25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225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tar-inserted">
    <w:name w:val="ng-star-inserted"/>
    <w:basedOn w:val="DefaultParagraphFont"/>
    <w:rsid w:val="00FC6C77"/>
  </w:style>
  <w:style w:type="character" w:customStyle="1" w:styleId="Ttulo2Char">
    <w:name w:val="Título 2 Char"/>
    <w:basedOn w:val="DefaultParagraphFont"/>
    <w:link w:val="Heading2"/>
    <w:uiPriority w:val="9"/>
    <w:semiHidden/>
    <w:rsid w:val="00783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D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Recuodecorpodetexto3Char"/>
    <w:uiPriority w:val="99"/>
    <w:unhideWhenUsed/>
    <w:rsid w:val="00CD477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CD4770"/>
    <w:rPr>
      <w:sz w:val="16"/>
      <w:szCs w:val="16"/>
    </w:rPr>
  </w:style>
  <w:style w:type="paragraph" w:customStyle="1" w:styleId="texto1">
    <w:name w:val="texto1"/>
    <w:basedOn w:val="Normal"/>
    <w:rsid w:val="004C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legislacao.planalto.gov.br/legisla/legislacao.nsf/Viw_Identificacao/lei%2012.651-2012?OpenDocument" TargetMode="External" /><Relationship Id="rId7" Type="http://schemas.openxmlformats.org/officeDocument/2006/relationships/hyperlink" Target="https://www.planalto.gov.br/ccivil_03/_ato2011-2014/2012/lei/L12727.htm" TargetMode="External" /><Relationship Id="rId8" Type="http://schemas.openxmlformats.org/officeDocument/2006/relationships/hyperlink" Target="http://legislacao.planalto.gov.br/legisla/legislacao.nsf/Viw_Identificacao/lei%2014.119-2021?OpenDocument" TargetMode="External" /><Relationship Id="rId9" Type="http://schemas.openxmlformats.org/officeDocument/2006/relationships/hyperlink" Target="http://www.planalto.gov.br/ccivil_03/_Ato2023-2026/2023/Lei/L14653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2823-51EB-411C-9AAE-03A91E1F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3197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cp:lastPrinted>2021-05-27T14:59:00Z</cp:lastPrinted>
  <dcterms:created xsi:type="dcterms:W3CDTF">2023-09-21T14:27:00Z</dcterms:created>
  <dcterms:modified xsi:type="dcterms:W3CDTF">2023-09-21T19:31:00Z</dcterms:modified>
</cp:coreProperties>
</file>