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1F75A1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F75A1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1F75A1" w:rsidR="001F75A1">
        <w:rPr>
          <w:rFonts w:asciiTheme="minorHAnsi" w:hAnsiTheme="minorHAnsi" w:cstheme="minorHAnsi"/>
          <w:b/>
          <w:color w:val="auto"/>
        </w:rPr>
        <w:t>334</w:t>
      </w:r>
      <w:r w:rsidRPr="001F75A1" w:rsidR="00EB17A8">
        <w:rPr>
          <w:rFonts w:asciiTheme="minorHAnsi" w:hAnsiTheme="minorHAnsi" w:cstheme="minorHAnsi"/>
          <w:b/>
          <w:color w:val="auto"/>
        </w:rPr>
        <w:t>/2023.</w:t>
      </w:r>
    </w:p>
    <w:p w:rsidR="00864FC4" w:rsidRPr="00864FC4" w:rsidP="0011053B">
      <w:pPr>
        <w:pStyle w:val="Default"/>
        <w:jc w:val="both"/>
        <w:rPr>
          <w:rFonts w:asciiTheme="minorHAnsi" w:hAnsiTheme="minorHAnsi" w:cstheme="minorHAnsi"/>
          <w:bCs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>
        <w:rPr>
          <w:rFonts w:asciiTheme="minorHAnsi" w:hAnsiTheme="minorHAnsi" w:cstheme="minorHAnsi"/>
          <w:b/>
          <w:bCs/>
        </w:rPr>
        <w:t>102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–</w:t>
      </w:r>
      <w:r w:rsidR="0011053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color w:val="auto"/>
        </w:rPr>
        <w:t>Emenda s</w:t>
      </w:r>
      <w:r w:rsidRPr="00864FC4">
        <w:rPr>
          <w:rFonts w:asciiTheme="minorHAnsi" w:hAnsiTheme="minorHAnsi" w:cstheme="minorHAnsi"/>
          <w:color w:val="auto"/>
        </w:rPr>
        <w:t>upressiva ao Projeto de Lei nº 102/2023, que “suprime o artigo 3º e o paragrafo único, renumerando os demais”.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AA2F4C">
        <w:rPr>
          <w:rFonts w:asciiTheme="minorHAnsi" w:hAnsiTheme="minorHAnsi" w:cstheme="minorHAnsi"/>
          <w:bCs/>
          <w:szCs w:val="24"/>
        </w:rPr>
        <w:t>a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 </w:t>
      </w:r>
      <w:r w:rsidR="0011053B">
        <w:rPr>
          <w:rFonts w:asciiTheme="minorHAnsi" w:hAnsiTheme="minorHAnsi" w:cstheme="minorHAnsi"/>
          <w:bCs/>
          <w:szCs w:val="24"/>
        </w:rPr>
        <w:t>Simone Bellini</w:t>
      </w:r>
      <w:r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1053B" w:rsidRPr="00864FC4" w:rsidP="00864FC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pretende</w:t>
      </w:r>
      <w:r w:rsidR="00944D41">
        <w:rPr>
          <w:rFonts w:asciiTheme="minorHAnsi" w:hAnsiTheme="minorHAnsi" w:cstheme="minorHAnsi"/>
          <w:color w:val="auto"/>
        </w:rPr>
        <w:t xml:space="preserve"> s</w:t>
      </w:r>
      <w:r w:rsidRPr="00944D41" w:rsidR="00944D41">
        <w:rPr>
          <w:rFonts w:asciiTheme="minorHAnsi" w:hAnsiTheme="minorHAnsi" w:cstheme="minorHAnsi"/>
          <w:color w:val="auto"/>
        </w:rPr>
        <w:t xml:space="preserve">uprimir </w:t>
      </w:r>
      <w:r>
        <w:rPr>
          <w:rFonts w:asciiTheme="minorHAnsi" w:hAnsiTheme="minorHAnsi" w:cstheme="minorHAnsi"/>
          <w:color w:val="auto"/>
        </w:rPr>
        <w:t xml:space="preserve">o </w:t>
      </w:r>
      <w:r w:rsidRPr="00944D41" w:rsidR="00944D41">
        <w:rPr>
          <w:rFonts w:asciiTheme="minorHAnsi" w:hAnsiTheme="minorHAnsi" w:cstheme="minorHAnsi"/>
          <w:color w:val="auto"/>
        </w:rPr>
        <w:t xml:space="preserve">art. </w:t>
      </w:r>
      <w:r w:rsidR="00864FC4">
        <w:rPr>
          <w:rFonts w:asciiTheme="minorHAnsi" w:hAnsiTheme="minorHAnsi" w:cstheme="minorHAnsi"/>
          <w:color w:val="auto"/>
        </w:rPr>
        <w:t>3</w:t>
      </w:r>
      <w:r w:rsidRPr="00944D41" w:rsidR="00944D41">
        <w:rPr>
          <w:rFonts w:asciiTheme="minorHAnsi" w:hAnsiTheme="minorHAnsi" w:cstheme="minorHAnsi"/>
          <w:color w:val="auto"/>
        </w:rPr>
        <w:t>º</w:t>
      </w:r>
      <w:r>
        <w:rPr>
          <w:rFonts w:asciiTheme="minorHAnsi" w:hAnsiTheme="minorHAnsi" w:cstheme="minorHAnsi"/>
          <w:color w:val="auto"/>
        </w:rPr>
        <w:t xml:space="preserve"> </w:t>
      </w:r>
      <w:r w:rsidRPr="00944D41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="00864FC4">
        <w:rPr>
          <w:rFonts w:asciiTheme="minorHAnsi" w:hAnsiTheme="minorHAnsi" w:cstheme="minorHAnsi"/>
          <w:color w:val="auto"/>
        </w:rPr>
        <w:t>102</w:t>
      </w:r>
      <w:r w:rsidRPr="00944D41" w:rsidR="00944D41">
        <w:rPr>
          <w:rFonts w:asciiTheme="minorHAnsi" w:hAnsiTheme="minorHAnsi" w:cstheme="minorHAnsi"/>
          <w:color w:val="auto"/>
        </w:rPr>
        <w:t xml:space="preserve">/2023 que </w:t>
      </w:r>
      <w:r w:rsidR="00864FC4">
        <w:t>"</w:t>
      </w:r>
      <w:r w:rsidRPr="00864FC4" w:rsidR="00864FC4">
        <w:rPr>
          <w:rFonts w:asciiTheme="minorHAnsi" w:hAnsiTheme="minorHAnsi"/>
          <w:i/>
        </w:rPr>
        <w:t>Dispõe sobre a Obrigatoriedade da Prestação de Assistência Odontológica a Pacientes Internados em Unidades Hospitalares</w:t>
      </w:r>
      <w:r w:rsidRPr="00864FC4">
        <w:rPr>
          <w:rFonts w:asciiTheme="minorHAnsi" w:hAnsiTheme="minorHAnsi" w:cs="Calibri"/>
          <w:i/>
          <w:color w:val="auto"/>
        </w:rPr>
        <w:t>”.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bookmarkStart w:id="0" w:name="_GoBack"/>
      <w:bookmarkEnd w:id="0"/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11053B">
        <w:rPr>
          <w:rFonts w:asciiTheme="minorHAnsi" w:hAnsiTheme="minorHAnsi" w:cs="Calibri"/>
          <w:szCs w:val="24"/>
        </w:rPr>
        <w:t>.</w:t>
      </w:r>
      <w:r w:rsidR="00591C6F">
        <w:rPr>
          <w:rFonts w:asciiTheme="minorHAnsi" w:hAnsiTheme="minorHAnsi" w:cs="Calibri"/>
          <w:szCs w:val="24"/>
        </w:rPr>
        <w:t xml:space="preserve">, </w:t>
      </w:r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concluímos pela constitucionalidade do projeto que se limita a propor a supressão recomendada no Parecer Jurídico nº</w:t>
      </w:r>
      <w:r w:rsidR="00864FC4">
        <w:rPr>
          <w:rFonts w:asciiTheme="minorHAnsi" w:hAnsiTheme="minorHAnsi" w:cs="Calibri"/>
          <w:szCs w:val="24"/>
        </w:rPr>
        <w:t xml:space="preserve"> 311</w:t>
      </w:r>
      <w:r w:rsidR="00944D41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864FC4">
        <w:rPr>
          <w:rFonts w:ascii="Calibri" w:hAnsi="Calibri" w:cs="Calibri"/>
          <w:szCs w:val="24"/>
        </w:rPr>
        <w:t>20</w:t>
      </w:r>
      <w:r w:rsidRPr="00CE118C">
        <w:rPr>
          <w:rFonts w:ascii="Calibri" w:hAnsi="Calibri" w:cs="Calibri"/>
          <w:szCs w:val="24"/>
        </w:rPr>
        <w:t xml:space="preserve"> de </w:t>
      </w:r>
      <w:r w:rsidR="00864FC4">
        <w:rPr>
          <w:rFonts w:ascii="Calibri" w:hAnsi="Calibri" w:cs="Calibri"/>
          <w:szCs w:val="24"/>
        </w:rPr>
        <w:t>setembro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A779B8" w:rsidRPr="003A752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A779B8" w:rsidRPr="00743FE1" w:rsidP="007904AB">
      <w:pPr>
        <w:pStyle w:val="BodyText"/>
        <w:spacing w:after="0" w:line="240" w:lineRule="auto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C6D50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C6D50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2411051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339132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679661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074967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A5422"/>
    <w:rsid w:val="0010716F"/>
    <w:rsid w:val="0011053B"/>
    <w:rsid w:val="00116C2C"/>
    <w:rsid w:val="00125B9A"/>
    <w:rsid w:val="001708EF"/>
    <w:rsid w:val="00185E77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D076E"/>
    <w:rsid w:val="00BE6AF5"/>
    <w:rsid w:val="00C15DC4"/>
    <w:rsid w:val="00C2365D"/>
    <w:rsid w:val="00C40D18"/>
    <w:rsid w:val="00CC06A8"/>
    <w:rsid w:val="00CE118C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48B6-6E58-4B2B-AF3B-13BBFA26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2023-09-20T19:21:00Z</dcterms:created>
  <dcterms:modified xsi:type="dcterms:W3CDTF">2023-09-21T13:17:00Z</dcterms:modified>
</cp:coreProperties>
</file>