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4643F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43F9">
        <w:rPr>
          <w:rFonts w:asciiTheme="minorHAnsi" w:hAnsiTheme="minorHAnsi" w:cstheme="minorHAnsi"/>
          <w:b/>
          <w:color w:val="auto"/>
        </w:rPr>
        <w:t xml:space="preserve">Parecer </w:t>
      </w:r>
      <w:r w:rsidRPr="004643F9">
        <w:rPr>
          <w:rFonts w:asciiTheme="minorHAnsi" w:hAnsiTheme="minorHAnsi" w:cstheme="minorHAnsi"/>
          <w:b/>
          <w:color w:val="auto"/>
        </w:rPr>
        <w:t>J</w:t>
      </w:r>
      <w:r w:rsidRPr="004643F9">
        <w:rPr>
          <w:rFonts w:asciiTheme="minorHAnsi" w:hAnsiTheme="minorHAnsi" w:cstheme="minorHAnsi"/>
          <w:b/>
          <w:color w:val="auto"/>
        </w:rPr>
        <w:t>urídico</w:t>
      </w:r>
      <w:r w:rsidRPr="004643F9">
        <w:rPr>
          <w:rFonts w:asciiTheme="minorHAnsi" w:hAnsiTheme="minorHAnsi" w:cstheme="minorHAnsi"/>
          <w:b/>
          <w:color w:val="auto"/>
        </w:rPr>
        <w:t xml:space="preserve"> nº</w:t>
      </w:r>
      <w:r w:rsidRPr="004643F9">
        <w:rPr>
          <w:rFonts w:asciiTheme="minorHAnsi" w:hAnsiTheme="minorHAnsi" w:cstheme="minorHAnsi"/>
          <w:b/>
          <w:color w:val="auto"/>
        </w:rPr>
        <w:t xml:space="preserve"> </w:t>
      </w:r>
      <w:r w:rsidR="00B17DAB">
        <w:rPr>
          <w:rFonts w:asciiTheme="minorHAnsi" w:hAnsiTheme="minorHAnsi" w:cstheme="minorHAnsi"/>
          <w:b/>
          <w:color w:val="auto"/>
        </w:rPr>
        <w:t>2</w:t>
      </w:r>
      <w:r w:rsidR="00C16E89">
        <w:rPr>
          <w:rFonts w:asciiTheme="minorHAnsi" w:hAnsiTheme="minorHAnsi" w:cstheme="minorHAnsi"/>
          <w:b/>
          <w:color w:val="auto"/>
        </w:rPr>
        <w:t>98</w:t>
      </w:r>
      <w:r w:rsidRPr="004643F9" w:rsidR="000E086D">
        <w:rPr>
          <w:rFonts w:asciiTheme="minorHAnsi" w:hAnsiTheme="minorHAnsi" w:cstheme="minorHAnsi"/>
          <w:b/>
          <w:color w:val="auto"/>
        </w:rPr>
        <w:t>/202</w:t>
      </w:r>
      <w:r w:rsidR="00B17DAB">
        <w:rPr>
          <w:rFonts w:asciiTheme="minorHAnsi" w:hAnsiTheme="minorHAnsi" w:cstheme="minorHAnsi"/>
          <w:b/>
          <w:color w:val="auto"/>
        </w:rPr>
        <w:t>3</w:t>
      </w:r>
      <w:r w:rsidRPr="004643F9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101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>Dispõe sobre autorização para a abertura de crédito adicional suplementar, até o valor de R$ 287.306,00.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="00C16E89">
        <w:rPr>
          <w:rFonts w:eastAsia="Calibri" w:asciiTheme="minorHAnsi" w:hAnsiTheme="minorHAnsi" w:cstheme="minorHAnsi"/>
          <w:b/>
          <w:szCs w:val="24"/>
        </w:rPr>
        <w:t>8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>r, até o valor de R$ 287.306,00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Pr="00365F47" w:rsidR="00B17DAB">
        <w:rPr>
          <w:rFonts w:asciiTheme="minorHAnsi" w:hAnsiTheme="minorHAnsi" w:cstheme="minorHAnsi"/>
          <w:color w:val="auto"/>
        </w:rPr>
        <w:t xml:space="preserve">de </w:t>
      </w:r>
      <w:r w:rsidRPr="00365F47" w:rsidR="00365F47">
        <w:rPr>
          <w:rFonts w:asciiTheme="minorHAnsi" w:hAnsiTheme="minorHAnsi" w:cstheme="minorHAnsi"/>
          <w:color w:val="auto"/>
        </w:rPr>
        <w:t>Serviços Públicos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5421FE" w:rsidRPr="005421FE" w:rsidP="005421FE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i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Pr="00C121CA" w:rsidR="006559C3">
        <w:rPr>
          <w:rFonts w:asciiTheme="minorHAnsi" w:hAnsiTheme="minorHAnsi" w:cstheme="minorHAnsi"/>
          <w:szCs w:val="24"/>
        </w:rPr>
        <w:t>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="00804FDF">
        <w:rPr>
          <w:rFonts w:asciiTheme="minorHAnsi" w:hAnsiTheme="minorHAnsi" w:cstheme="minorHAnsi"/>
          <w:szCs w:val="24"/>
        </w:rPr>
        <w:t xml:space="preserve">advindos </w:t>
      </w:r>
      <w:r w:rsidRPr="004643F9" w:rsidR="004643F9">
        <w:rPr>
          <w:rFonts w:asciiTheme="minorHAnsi" w:hAnsiTheme="minorHAnsi" w:cstheme="minorHAnsi"/>
          <w:szCs w:val="24"/>
        </w:rPr>
        <w:t>de</w:t>
      </w:r>
      <w:r>
        <w:rPr>
          <w:rFonts w:asciiTheme="minorHAnsi" w:hAnsiTheme="minorHAnsi" w:cstheme="minorHAnsi"/>
          <w:szCs w:val="24"/>
        </w:rPr>
        <w:t xml:space="preserve"> “</w:t>
      </w:r>
      <w:r w:rsidRPr="005421FE">
        <w:rPr>
          <w:rFonts w:asciiTheme="minorHAnsi" w:hAnsiTheme="minorHAnsi" w:cstheme="minorHAnsi"/>
          <w:i/>
          <w:szCs w:val="24"/>
        </w:rPr>
        <w:t>recurso federal destinado à reforma para acessibilidade e instalação de brinquedos acessíveis na Praça Washington Luiz. O objeto se trata de uma EMENDA INDIVIDUAL IMPOSITIVA (Deputado David Soares), sendo um contrato de Repasse do programa: Apoio a Projetos e Obras de Reabilitação, de Acessibilidade e Modernização Tecnológica, do Ministério do Desenvolvimento Regional”.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  <w:bookmarkStart w:id="10" w:name="_GoBack"/>
      <w:bookmarkEnd w:id="10"/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421FE" w:rsidRPr="005421FE" w:rsidP="005421FE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</w:t>
      </w:r>
      <w:r w:rsidRPr="0040423C">
        <w:rPr>
          <w:rFonts w:asciiTheme="minorHAnsi" w:hAnsiTheme="minorHAnsi" w:cstheme="minorHAnsi"/>
          <w:u w:val="single"/>
        </w:rPr>
        <w:t xml:space="preserve">insta salientar que </w:t>
      </w:r>
      <w:r w:rsidRPr="0040423C">
        <w:rPr>
          <w:rFonts w:asciiTheme="minorHAnsi" w:hAnsiTheme="minorHAnsi" w:cstheme="minorHAnsi"/>
          <w:u w:val="single"/>
        </w:rPr>
        <w:t>em relação à</w:t>
      </w:r>
      <w:r w:rsidRPr="0040423C">
        <w:rPr>
          <w:rFonts w:asciiTheme="minorHAnsi" w:hAnsiTheme="minorHAnsi" w:cstheme="minorHAnsi"/>
          <w:u w:val="single"/>
        </w:rPr>
        <w:t xml:space="preserve"> </w:t>
      </w:r>
      <w:r w:rsidRPr="0040423C">
        <w:rPr>
          <w:rFonts w:asciiTheme="minorHAnsi" w:hAnsiTheme="minorHAnsi" w:cstheme="minorHAnsi"/>
          <w:u w:val="single"/>
        </w:rPr>
        <w:t xml:space="preserve">comprovação do excesso de arrecadação </w:t>
      </w:r>
      <w:r w:rsidRPr="0040423C">
        <w:rPr>
          <w:rFonts w:asciiTheme="minorHAnsi" w:hAnsiTheme="minorHAnsi" w:cstheme="minorHAnsi"/>
          <w:u w:val="single"/>
        </w:rPr>
        <w:t xml:space="preserve">consta do projeto </w:t>
      </w:r>
      <w:r w:rsidRPr="0040423C">
        <w:rPr>
          <w:rFonts w:asciiTheme="minorHAnsi" w:hAnsiTheme="minorHAnsi" w:cstheme="minorHAnsi"/>
          <w:u w:val="single"/>
        </w:rPr>
        <w:t xml:space="preserve">extrato e informações do convênio, bem como </w:t>
      </w:r>
      <w:r w:rsidR="00E15ABB">
        <w:rPr>
          <w:rFonts w:asciiTheme="minorHAnsi" w:hAnsiTheme="minorHAnsi" w:cstheme="minorHAnsi"/>
          <w:u w:val="single"/>
        </w:rPr>
        <w:t xml:space="preserve">o </w:t>
      </w:r>
      <w:r w:rsidRPr="0040423C">
        <w:rPr>
          <w:rFonts w:asciiTheme="minorHAnsi" w:hAnsiTheme="minorHAnsi" w:cstheme="minorHAnsi"/>
          <w:u w:val="single"/>
        </w:rPr>
        <w:t xml:space="preserve">Ofício nº 58/2023-DF </w:t>
      </w:r>
      <w:r w:rsidR="00E15ABB">
        <w:rPr>
          <w:rFonts w:asciiTheme="minorHAnsi" w:hAnsiTheme="minorHAnsi" w:cstheme="minorHAnsi"/>
          <w:u w:val="single"/>
        </w:rPr>
        <w:t xml:space="preserve">da Diretora </w:t>
      </w:r>
      <w:r w:rsidR="0036412E">
        <w:rPr>
          <w:rFonts w:asciiTheme="minorHAnsi" w:hAnsiTheme="minorHAnsi" w:cstheme="minorHAnsi"/>
          <w:u w:val="single"/>
        </w:rPr>
        <w:t xml:space="preserve">do Departamento </w:t>
      </w:r>
      <w:r w:rsidR="00E15ABB">
        <w:rPr>
          <w:rFonts w:asciiTheme="minorHAnsi" w:hAnsiTheme="minorHAnsi" w:cstheme="minorHAnsi"/>
          <w:u w:val="single"/>
        </w:rPr>
        <w:t>de Finanças da Prefeitura de Valinhos com</w:t>
      </w:r>
      <w:r w:rsidR="000627CE">
        <w:rPr>
          <w:rFonts w:asciiTheme="minorHAnsi" w:hAnsiTheme="minorHAnsi" w:cstheme="minorHAnsi"/>
          <w:u w:val="single"/>
        </w:rPr>
        <w:t xml:space="preserve"> informações complementares</w:t>
      </w:r>
      <w:r w:rsidRPr="0040423C">
        <w:rPr>
          <w:rFonts w:asciiTheme="minorHAnsi" w:hAnsiTheme="minorHAnsi" w:cstheme="minorHAnsi"/>
          <w:u w:val="single"/>
        </w:rPr>
        <w:t>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C16E89">
        <w:rPr>
          <w:rFonts w:asciiTheme="minorHAnsi" w:hAnsiTheme="minorHAnsi" w:cstheme="minorHAnsi"/>
          <w:szCs w:val="24"/>
        </w:rPr>
        <w:t>24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="00B73437">
        <w:rPr>
          <w:rFonts w:asciiTheme="minorHAnsi" w:hAnsiTheme="minorHAnsi" w:cstheme="minorHAnsi"/>
          <w:szCs w:val="24"/>
        </w:rPr>
        <w:t>agosto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</w:t>
      </w:r>
      <w:r w:rsidR="00B73437">
        <w:rPr>
          <w:rFonts w:asciiTheme="minorHAnsi" w:hAnsiTheme="minorHAnsi" w:cstheme="minorHAnsi"/>
          <w:szCs w:val="24"/>
        </w:rPr>
        <w:t>3</w:t>
      </w:r>
      <w:r w:rsidRPr="00C121CA">
        <w:rPr>
          <w:rFonts w:asciiTheme="minorHAnsi" w:hAnsiTheme="minorHAnsi" w:cstheme="minorHAnsi"/>
          <w:szCs w:val="24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80EC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80EC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9959690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777299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439557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951411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27CE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21FE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0327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99C5-AB70-4BF7-8F5D-725918D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10</cp:revision>
  <cp:lastPrinted>2021-03-19T15:13:00Z</cp:lastPrinted>
  <dcterms:created xsi:type="dcterms:W3CDTF">2023-08-24T17:15:00Z</dcterms:created>
  <dcterms:modified xsi:type="dcterms:W3CDTF">2023-08-24T18:20:00Z</dcterms:modified>
</cp:coreProperties>
</file>