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12A9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16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12A9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62AD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12A9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62AD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62ADD">
        <w:rPr>
          <w:rFonts w:ascii="Times New Roman" w:hAnsi="Times New Roman"/>
          <w:snapToGrid w:val="0"/>
          <w:szCs w:val="24"/>
        </w:rPr>
        <w:t>15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12A9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12A9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12A9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12A9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189/2023 - </w:t>
      </w:r>
      <w:r w:rsidRPr="00322C9F">
        <w:rPr>
          <w:rFonts w:ascii="Times New Roman" w:hAnsi="Times New Roman"/>
          <w:b/>
          <w:szCs w:val="24"/>
        </w:rPr>
        <w:t>Proc. leg. nº 4934/2023</w:t>
      </w:r>
    </w:p>
    <w:p w:rsidR="00322C9F" w:rsidRPr="00BB1EEA" w:rsidRDefault="00212A9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212A9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para que o </w:t>
      </w:r>
      <w:r>
        <w:rPr>
          <w:rFonts w:ascii="Times New Roman" w:hAnsi="Times New Roman"/>
          <w:bCs/>
          <w:i/>
          <w:szCs w:val="24"/>
        </w:rPr>
        <w:t>Executivo Municipal empenhe esforços visando a criação e realização de forma contínua da Feira Noturna a ser realizada na Praça Engenheiro Renato Luiz de Camargo Penteado no Jardim Centenário.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62ADD" w:rsidRDefault="00B62ADD" w:rsidP="00B62AD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62ADD" w:rsidRDefault="00B62ADD" w:rsidP="00B62AD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B62ADD" w:rsidRDefault="00B62ADD" w:rsidP="00B62AD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B62ADD" w:rsidRDefault="00B62ADD" w:rsidP="00B62AD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62ADD" w:rsidRDefault="00B62ADD" w:rsidP="00B62AD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B62ADD" w:rsidP="00B62AD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96" w:rsidRDefault="00212A96">
      <w:r>
        <w:separator/>
      </w:r>
    </w:p>
  </w:endnote>
  <w:endnote w:type="continuationSeparator" w:id="0">
    <w:p w:rsidR="00212A96" w:rsidRDefault="0021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12A9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12A9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96" w:rsidRDefault="00212A96">
      <w:r>
        <w:separator/>
      </w:r>
    </w:p>
  </w:footnote>
  <w:footnote w:type="continuationSeparator" w:id="0">
    <w:p w:rsidR="00212A96" w:rsidRDefault="00212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12A9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0795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12A9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12A9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12A9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1597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12A9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1144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12A96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62ADD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B3BB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B3BB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B3BB3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A234-F837-41B4-BF53-F9F6245D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2023-08-16T17:20:00Z</dcterms:modified>
</cp:coreProperties>
</file>