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C7D6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C7D6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E45C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C7D6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E45C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E45C1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C7D6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C7D6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C7D6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C7D6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170/2023 - </w:t>
      </w:r>
      <w:r w:rsidRPr="00322C9F">
        <w:rPr>
          <w:rFonts w:ascii="Times New Roman" w:hAnsi="Times New Roman"/>
          <w:b/>
          <w:szCs w:val="24"/>
        </w:rPr>
        <w:t>Proc. leg. nº 4459/2023</w:t>
      </w:r>
    </w:p>
    <w:p w:rsidR="00322C9F" w:rsidRPr="00BB1EEA" w:rsidRDefault="001C7D6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YOSHIDA, SIMONE BELLINI, ALEXANDRE "JAPA"</w:t>
      </w:r>
    </w:p>
    <w:p w:rsidR="00330085" w:rsidRDefault="001C7D6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aplicação de todos os efeitos jurídicos decorrentes do tempo de trabalho dos servidores municipais no interregno de validade da LC nº 173/20, no período compreendido entre 28 de maio de 2020 e 31 de dezembro de 2021, conforme novo</w:t>
      </w:r>
      <w:r>
        <w:rPr>
          <w:rFonts w:ascii="Times New Roman" w:hAnsi="Times New Roman"/>
          <w:bCs/>
          <w:i/>
          <w:szCs w:val="24"/>
        </w:rPr>
        <w:t xml:space="preserve"> entendimento do Tribunal de Contas do Estado de São Paulo.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45C1" w:rsidRDefault="006E45C1" w:rsidP="006E45C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6E45C1" w:rsidRDefault="006E45C1" w:rsidP="006E45C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6E45C1" w:rsidRDefault="006E45C1" w:rsidP="006E45C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6E45C1" w:rsidRDefault="006E45C1" w:rsidP="006E45C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6E45C1" w:rsidP="006E45C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65" w:rsidRDefault="001C7D65">
      <w:r>
        <w:separator/>
      </w:r>
    </w:p>
  </w:endnote>
  <w:endnote w:type="continuationSeparator" w:id="0">
    <w:p w:rsidR="001C7D65" w:rsidRDefault="001C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C7D6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C7D6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65" w:rsidRDefault="001C7D65">
      <w:r>
        <w:separator/>
      </w:r>
    </w:p>
  </w:footnote>
  <w:footnote w:type="continuationSeparator" w:id="0">
    <w:p w:rsidR="001C7D65" w:rsidRDefault="001C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C7D6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43075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C7D6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C7D6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C7D6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1323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C7D6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11508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C7D65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45C1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E6DC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E6DC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E6DCB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A39D-1954-43E8-A2DA-0BFAF482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2023-08-03T13:18:00Z</dcterms:modified>
</cp:coreProperties>
</file>