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8C1D87" w:rsidP="00FB0318">
      <w:pPr>
        <w:pStyle w:val="Default"/>
        <w:jc w:val="both"/>
        <w:rPr>
          <w:rFonts w:asciiTheme="minorHAnsi" w:hAnsiTheme="minorHAnsi" w:cstheme="minorHAnsi"/>
          <w:b/>
          <w:color w:val="auto"/>
        </w:rPr>
      </w:pPr>
      <w:r w:rsidRPr="008C1D87">
        <w:rPr>
          <w:rFonts w:asciiTheme="minorHAnsi" w:hAnsiTheme="minorHAnsi" w:cstheme="minorHAnsi"/>
          <w:b/>
          <w:color w:val="auto"/>
        </w:rPr>
        <w:t>Parecer J</w:t>
      </w:r>
      <w:r w:rsidRPr="008C1D87" w:rsidR="00E503EA">
        <w:rPr>
          <w:rFonts w:asciiTheme="minorHAnsi" w:hAnsiTheme="minorHAnsi" w:cstheme="minorHAnsi"/>
          <w:b/>
          <w:color w:val="auto"/>
        </w:rPr>
        <w:t>urídico</w:t>
      </w:r>
      <w:r w:rsidRPr="008C1D87">
        <w:rPr>
          <w:rFonts w:asciiTheme="minorHAnsi" w:hAnsiTheme="minorHAnsi" w:cstheme="minorHAnsi"/>
          <w:b/>
          <w:color w:val="auto"/>
        </w:rPr>
        <w:t xml:space="preserve"> nº </w:t>
      </w:r>
      <w:r w:rsidRPr="008C1D87" w:rsidR="008C1D87">
        <w:rPr>
          <w:rFonts w:asciiTheme="minorHAnsi" w:hAnsiTheme="minorHAnsi" w:cstheme="minorHAnsi"/>
          <w:b/>
          <w:color w:val="auto"/>
        </w:rPr>
        <w:t>237</w:t>
      </w:r>
      <w:r w:rsidRPr="008C1D87" w:rsidR="00582F11">
        <w:rPr>
          <w:rFonts w:asciiTheme="minorHAnsi" w:hAnsiTheme="minorHAnsi" w:cstheme="minorHAnsi"/>
          <w:b/>
          <w:color w:val="auto"/>
        </w:rPr>
        <w:t>/</w:t>
      </w:r>
      <w:r w:rsidRPr="008C1D87">
        <w:rPr>
          <w:rFonts w:asciiTheme="minorHAnsi" w:hAnsiTheme="minorHAnsi" w:cstheme="minorHAnsi"/>
          <w:b/>
          <w:color w:val="auto"/>
        </w:rPr>
        <w:t>20</w:t>
      </w:r>
      <w:r w:rsidRPr="008C1D87" w:rsidR="00C65153">
        <w:rPr>
          <w:rFonts w:asciiTheme="minorHAnsi" w:hAnsiTheme="minorHAnsi" w:cstheme="minorHAnsi"/>
          <w:b/>
          <w:color w:val="auto"/>
        </w:rPr>
        <w:t>2</w:t>
      </w:r>
      <w:r w:rsidRPr="008C1D87" w:rsidR="007E3525">
        <w:rPr>
          <w:rFonts w:asciiTheme="minorHAnsi" w:hAnsiTheme="minorHAnsi" w:cstheme="minorHAnsi"/>
          <w:b/>
          <w:color w:val="auto"/>
        </w:rPr>
        <w:t>3</w:t>
      </w:r>
    </w:p>
    <w:p w:rsidR="005101D9" w:rsidRPr="002A06C5" w:rsidP="003B55E5">
      <w:pPr>
        <w:tabs>
          <w:tab w:val="left" w:pos="1134"/>
        </w:tabs>
        <w:spacing w:after="0" w:line="240" w:lineRule="auto"/>
        <w:jc w:val="both"/>
        <w:rPr>
          <w:rFonts w:eastAsia="Times New Roman" w:cstheme="minorHAnsi"/>
          <w:sz w:val="24"/>
          <w:szCs w:val="24"/>
          <w:lang w:eastAsia="pt-BR"/>
        </w:rPr>
      </w:pPr>
      <w:r w:rsidRPr="006405CE">
        <w:rPr>
          <w:rFonts w:cstheme="minorHAnsi"/>
          <w:b/>
          <w:bCs/>
          <w:sz w:val="24"/>
          <w:szCs w:val="24"/>
        </w:rPr>
        <w:t xml:space="preserve">Assunto: </w:t>
      </w:r>
      <w:r w:rsidR="00724045">
        <w:rPr>
          <w:rFonts w:cstheme="minorHAnsi"/>
          <w:b/>
          <w:bCs/>
          <w:sz w:val="24"/>
          <w:szCs w:val="24"/>
        </w:rPr>
        <w:t xml:space="preserve">Emenda nº 01 ao </w:t>
      </w:r>
      <w:r w:rsidRPr="006405CE">
        <w:rPr>
          <w:rFonts w:cstheme="minorHAnsi"/>
          <w:b/>
          <w:bCs/>
          <w:sz w:val="24"/>
          <w:szCs w:val="24"/>
        </w:rPr>
        <w:t xml:space="preserve">Projeto de Lei nº </w:t>
      </w:r>
      <w:r w:rsidR="006464A4">
        <w:rPr>
          <w:rFonts w:cstheme="minorHAnsi"/>
          <w:b/>
          <w:bCs/>
          <w:sz w:val="24"/>
          <w:szCs w:val="24"/>
        </w:rPr>
        <w:t>6</w:t>
      </w:r>
      <w:r w:rsidR="001A36BC">
        <w:rPr>
          <w:rFonts w:cstheme="minorHAnsi"/>
          <w:b/>
          <w:bCs/>
          <w:sz w:val="24"/>
          <w:szCs w:val="24"/>
        </w:rPr>
        <w:t>7</w:t>
      </w:r>
      <w:r w:rsidRPr="006405CE">
        <w:rPr>
          <w:rFonts w:cstheme="minorHAnsi"/>
          <w:b/>
          <w:bCs/>
          <w:sz w:val="24"/>
          <w:szCs w:val="24"/>
        </w:rPr>
        <w:t>/20</w:t>
      </w:r>
      <w:r w:rsidRPr="006405CE" w:rsidR="00C65153">
        <w:rPr>
          <w:rFonts w:cstheme="minorHAnsi"/>
          <w:b/>
          <w:bCs/>
          <w:sz w:val="24"/>
          <w:szCs w:val="24"/>
        </w:rPr>
        <w:t>2</w:t>
      </w:r>
      <w:r w:rsidR="007E3525">
        <w:rPr>
          <w:rFonts w:cstheme="minorHAnsi"/>
          <w:b/>
          <w:bCs/>
          <w:sz w:val="24"/>
          <w:szCs w:val="24"/>
        </w:rPr>
        <w:t>3</w:t>
      </w:r>
      <w:r w:rsidRPr="006405CE" w:rsidR="00055A36">
        <w:rPr>
          <w:rFonts w:cstheme="minorHAnsi"/>
          <w:b/>
          <w:bCs/>
          <w:sz w:val="24"/>
          <w:szCs w:val="24"/>
        </w:rPr>
        <w:t xml:space="preserve"> </w:t>
      </w:r>
      <w:r w:rsidR="0020730E">
        <w:rPr>
          <w:rFonts w:cstheme="minorHAnsi"/>
          <w:bCs/>
          <w:sz w:val="24"/>
          <w:szCs w:val="24"/>
        </w:rPr>
        <w:t>que</w:t>
      </w:r>
      <w:r w:rsidRPr="006464A4" w:rsidR="00AB285F">
        <w:rPr>
          <w:rFonts w:cstheme="minorHAnsi"/>
          <w:bCs/>
          <w:sz w:val="24"/>
          <w:szCs w:val="24"/>
        </w:rPr>
        <w:t xml:space="preserve"> </w:t>
      </w:r>
      <w:r w:rsidRPr="002A06C5" w:rsidR="006464A4">
        <w:rPr>
          <w:rFonts w:eastAsia="Times New Roman" w:cstheme="minorHAnsi"/>
          <w:sz w:val="24"/>
          <w:szCs w:val="24"/>
          <w:lang w:eastAsia="pt-BR"/>
        </w:rPr>
        <w:t>“</w:t>
      </w:r>
      <w:r w:rsidRPr="002A06C5" w:rsidR="002A06C5">
        <w:rPr>
          <w:rFonts w:eastAsia="Times New Roman" w:cstheme="minorHAnsi"/>
          <w:sz w:val="24"/>
          <w:szCs w:val="24"/>
          <w:lang w:eastAsia="pt-BR"/>
        </w:rPr>
        <w:t>Dispõe sobre a reorganização da Administração Pública Direta em razão da transformação do Departamento de Águas e Esgotos de Valinhos, em Empresa Pública, e sobre o quadro pessoal da DAEV</w:t>
      </w:r>
      <w:r w:rsidR="002A06C5">
        <w:rPr>
          <w:rFonts w:eastAsia="Times New Roman" w:cstheme="minorHAnsi"/>
          <w:sz w:val="24"/>
          <w:szCs w:val="24"/>
          <w:lang w:eastAsia="pt-BR"/>
        </w:rPr>
        <w:t xml:space="preserve"> S.A., na forma que especifica</w:t>
      </w:r>
      <w:r w:rsidR="006464A4">
        <w:rPr>
          <w:rFonts w:cstheme="minorHAnsi"/>
          <w:bCs/>
          <w:sz w:val="24"/>
          <w:szCs w:val="24"/>
        </w:rPr>
        <w:t>”</w:t>
      </w:r>
      <w:r w:rsidRPr="007E3525" w:rsidR="007E3525">
        <w:rPr>
          <w:rFonts w:cstheme="minorHAnsi"/>
          <w:bCs/>
          <w:sz w:val="24"/>
          <w:szCs w:val="24"/>
        </w:rPr>
        <w:t>.</w:t>
      </w:r>
      <w:r w:rsidR="00B82BF4">
        <w:rPr>
          <w:rFonts w:cstheme="minorHAnsi"/>
          <w:bCs/>
          <w:sz w:val="24"/>
          <w:szCs w:val="24"/>
        </w:rPr>
        <w:t xml:space="preserve"> </w:t>
      </w:r>
      <w:r w:rsidRPr="006405CE" w:rsidR="00055A36">
        <w:rPr>
          <w:rFonts w:cstheme="minorHAnsi"/>
          <w:b/>
          <w:bCs/>
          <w:sz w:val="24"/>
          <w:szCs w:val="24"/>
        </w:rPr>
        <w:t xml:space="preserve">Autoria do Executivo – </w:t>
      </w:r>
      <w:r w:rsidRPr="006405CE" w:rsidR="005A1CB4">
        <w:rPr>
          <w:rFonts w:cstheme="minorHAnsi"/>
          <w:b/>
          <w:bCs/>
          <w:sz w:val="24"/>
          <w:szCs w:val="24"/>
        </w:rPr>
        <w:t xml:space="preserve">Mensagem </w:t>
      </w:r>
      <w:r w:rsidR="006464A4">
        <w:rPr>
          <w:rFonts w:cstheme="minorHAnsi"/>
          <w:b/>
          <w:bCs/>
          <w:sz w:val="24"/>
          <w:szCs w:val="24"/>
        </w:rPr>
        <w:t>1</w:t>
      </w:r>
      <w:r w:rsidR="002A06C5">
        <w:rPr>
          <w:rFonts w:cstheme="minorHAnsi"/>
          <w:b/>
          <w:bCs/>
          <w:sz w:val="24"/>
          <w:szCs w:val="24"/>
        </w:rPr>
        <w:t>9</w:t>
      </w:r>
      <w:r w:rsidR="007E3525">
        <w:rPr>
          <w:rFonts w:cstheme="minorHAnsi"/>
          <w:b/>
          <w:bCs/>
          <w:sz w:val="24"/>
          <w:szCs w:val="24"/>
        </w:rPr>
        <w:t>/2023</w:t>
      </w:r>
      <w:r w:rsidRPr="006405CE">
        <w:rPr>
          <w:rFonts w:cstheme="minorHAnsi"/>
          <w:b/>
          <w:bCs/>
          <w:sz w:val="24"/>
          <w:szCs w:val="24"/>
        </w:rPr>
        <w:t>.</w:t>
      </w:r>
      <w:r w:rsidR="00102110">
        <w:rPr>
          <w:rFonts w:cstheme="minorHAnsi"/>
          <w:b/>
          <w:bCs/>
          <w:sz w:val="24"/>
          <w:szCs w:val="24"/>
        </w:rPr>
        <w:t xml:space="preserve"> </w:t>
      </w:r>
      <w:r w:rsidRPr="00102110" w:rsidR="00102110">
        <w:rPr>
          <w:rFonts w:cstheme="minorHAnsi"/>
          <w:b/>
          <w:bCs/>
          <w:sz w:val="24"/>
          <w:szCs w:val="24"/>
        </w:rPr>
        <w:t>Ofício nº 6/23-DTL/GP/P</w:t>
      </w:r>
      <w:r w:rsidR="00102110">
        <w:rPr>
          <w:rFonts w:cstheme="minorHAnsi"/>
          <w:b/>
          <w:bCs/>
          <w:sz w:val="24"/>
          <w:szCs w:val="24"/>
        </w:rPr>
        <w:t>.</w:t>
      </w:r>
    </w:p>
    <w:p w:rsidR="005101D9" w:rsidP="00995E87">
      <w:pPr>
        <w:tabs>
          <w:tab w:val="left" w:pos="1134"/>
        </w:tabs>
        <w:jc w:val="both"/>
        <w:rPr>
          <w:rFonts w:eastAsia="Times New Roman" w:cstheme="minorHAnsi"/>
          <w:sz w:val="24"/>
          <w:szCs w:val="24"/>
          <w:shd w:val="clear" w:color="auto" w:fill="FFFFFF"/>
          <w:lang w:eastAsia="pt-BR"/>
        </w:rPr>
      </w:pPr>
    </w:p>
    <w:p w:rsidR="00C65153" w:rsidRPr="006405CE" w:rsidP="00E503EA">
      <w:pPr>
        <w:pStyle w:val="Default"/>
        <w:jc w:val="both"/>
        <w:rPr>
          <w:rFonts w:asciiTheme="minorHAnsi" w:hAnsiTheme="minorHAnsi" w:cstheme="minorHAnsi"/>
          <w:b/>
          <w:i/>
          <w:color w:val="auto"/>
        </w:rPr>
      </w:pPr>
      <w:r w:rsidRPr="006405CE">
        <w:rPr>
          <w:rFonts w:asciiTheme="minorHAnsi" w:hAnsiTheme="minorHAnsi" w:cstheme="minorHAnsi"/>
          <w:b/>
          <w:i/>
          <w:color w:val="auto"/>
        </w:rPr>
        <w:t>À</w:t>
      </w:r>
      <w:r w:rsidR="00175485">
        <w:rPr>
          <w:rFonts w:asciiTheme="minorHAnsi" w:hAnsiTheme="minorHAnsi" w:cstheme="minorHAnsi"/>
          <w:b/>
          <w:i/>
          <w:color w:val="auto"/>
        </w:rPr>
        <w:t xml:space="preserve"> </w:t>
      </w:r>
      <w:r w:rsidRPr="006405CE">
        <w:rPr>
          <w:rFonts w:asciiTheme="minorHAnsi" w:hAnsiTheme="minorHAnsi" w:cstheme="minorHAnsi"/>
          <w:b/>
          <w:i/>
          <w:color w:val="auto"/>
        </w:rPr>
        <w:t>Comissão de Justiça e Redação</w:t>
      </w:r>
      <w:r w:rsidRPr="006405CE" w:rsidR="00973E66">
        <w:rPr>
          <w:rFonts w:asciiTheme="minorHAnsi" w:hAnsiTheme="minorHAnsi" w:cstheme="minorHAnsi"/>
          <w:b/>
          <w:i/>
          <w:color w:val="auto"/>
        </w:rPr>
        <w:t>,</w:t>
      </w:r>
    </w:p>
    <w:p w:rsidR="00724045" w:rsidP="00724045">
      <w:pPr>
        <w:pStyle w:val="Default"/>
        <w:spacing w:line="360" w:lineRule="auto"/>
        <w:jc w:val="both"/>
        <w:rPr>
          <w:rFonts w:asciiTheme="minorHAnsi" w:hAnsiTheme="minorHAnsi" w:cstheme="minorHAnsi"/>
          <w:b/>
          <w:i/>
          <w:color w:val="auto"/>
        </w:rPr>
      </w:pPr>
      <w:r w:rsidRPr="006405CE">
        <w:rPr>
          <w:rFonts w:asciiTheme="minorHAnsi" w:hAnsiTheme="minorHAnsi" w:cstheme="minorHAnsi"/>
          <w:b/>
          <w:i/>
          <w:color w:val="auto"/>
        </w:rPr>
        <w:t xml:space="preserve">Exmo. </w:t>
      </w:r>
      <w:r w:rsidR="007E3525">
        <w:rPr>
          <w:rFonts w:asciiTheme="minorHAnsi" w:hAnsiTheme="minorHAnsi" w:cstheme="minorHAnsi"/>
          <w:b/>
          <w:i/>
          <w:color w:val="auto"/>
        </w:rPr>
        <w:t xml:space="preserve">Presidente </w:t>
      </w:r>
      <w:r w:rsidRPr="006405CE">
        <w:rPr>
          <w:rFonts w:asciiTheme="minorHAnsi" w:hAnsiTheme="minorHAnsi" w:cstheme="minorHAnsi"/>
          <w:b/>
          <w:i/>
          <w:color w:val="auto"/>
        </w:rPr>
        <w:t xml:space="preserve">Vereador </w:t>
      </w:r>
      <w:r w:rsidR="007E3525">
        <w:rPr>
          <w:rFonts w:asciiTheme="minorHAnsi" w:hAnsiTheme="minorHAnsi" w:cstheme="minorHAnsi"/>
          <w:b/>
          <w:i/>
          <w:color w:val="auto"/>
        </w:rPr>
        <w:t>Gabriel Bueno</w:t>
      </w:r>
      <w:r w:rsidRPr="006405CE" w:rsidR="00973E66">
        <w:rPr>
          <w:rFonts w:asciiTheme="minorHAnsi" w:hAnsiTheme="minorHAnsi" w:cstheme="minorHAnsi"/>
          <w:b/>
          <w:i/>
          <w:color w:val="auto"/>
        </w:rPr>
        <w:t>.</w:t>
      </w:r>
    </w:p>
    <w:p w:rsidR="00724045" w:rsidP="00724045">
      <w:pPr>
        <w:pStyle w:val="Default"/>
        <w:spacing w:line="360" w:lineRule="auto"/>
        <w:jc w:val="both"/>
        <w:rPr>
          <w:rFonts w:asciiTheme="minorHAnsi" w:hAnsiTheme="minorHAnsi" w:cstheme="minorHAnsi"/>
          <w:b/>
          <w:i/>
          <w:color w:val="auto"/>
        </w:rPr>
      </w:pPr>
    </w:p>
    <w:p w:rsidR="00623AD7" w:rsidRPr="006405CE" w:rsidP="00724045">
      <w:pPr>
        <w:pStyle w:val="Default"/>
        <w:spacing w:line="360" w:lineRule="auto"/>
        <w:jc w:val="both"/>
        <w:rPr>
          <w:rFonts w:asciiTheme="minorHAnsi" w:hAnsiTheme="minorHAnsi" w:cstheme="minorHAnsi"/>
          <w:b/>
          <w:i/>
          <w:color w:val="auto"/>
        </w:rPr>
      </w:pPr>
      <w:r w:rsidRPr="006405CE">
        <w:rPr>
          <w:rFonts w:asciiTheme="minorHAnsi" w:hAnsiTheme="minorHAnsi" w:cstheme="minorHAnsi"/>
          <w:b/>
          <w:i/>
          <w:color w:val="auto"/>
        </w:rPr>
        <w:tab/>
      </w:r>
    </w:p>
    <w:p w:rsidR="00742CBA" w:rsidP="00724045">
      <w:pPr>
        <w:spacing w:after="240" w:line="360" w:lineRule="auto"/>
        <w:ind w:firstLine="1701"/>
        <w:jc w:val="both"/>
        <w:rPr>
          <w:rFonts w:cstheme="minorHAnsi"/>
          <w:sz w:val="24"/>
          <w:szCs w:val="24"/>
        </w:rPr>
      </w:pPr>
      <w:r>
        <w:rPr>
          <w:rFonts w:eastAsia="Times New Roman" w:cstheme="minorHAnsi"/>
          <w:sz w:val="24"/>
          <w:szCs w:val="24"/>
          <w:lang w:eastAsia="pt-BR"/>
        </w:rPr>
        <w:t>Trata-</w:t>
      </w:r>
      <w:r w:rsidRPr="002A06C5">
        <w:rPr>
          <w:rFonts w:eastAsia="Times New Roman" w:cstheme="minorHAnsi"/>
          <w:sz w:val="24"/>
          <w:szCs w:val="24"/>
          <w:lang w:eastAsia="pt-BR"/>
        </w:rPr>
        <w:t>se de parecer jurídico</w:t>
      </w:r>
      <w:r w:rsidRPr="002A06C5" w:rsidR="008E20DD">
        <w:rPr>
          <w:rFonts w:eastAsia="Times New Roman" w:cstheme="minorHAnsi"/>
          <w:sz w:val="24"/>
          <w:szCs w:val="24"/>
          <w:lang w:eastAsia="pt-BR"/>
        </w:rPr>
        <w:t xml:space="preserve"> </w:t>
      </w:r>
      <w:r w:rsidRPr="002A06C5" w:rsidR="0029742D">
        <w:rPr>
          <w:rFonts w:eastAsia="Times New Roman" w:cstheme="minorHAnsi"/>
          <w:sz w:val="24"/>
          <w:szCs w:val="24"/>
          <w:lang w:eastAsia="pt-BR"/>
        </w:rPr>
        <w:t xml:space="preserve">relativo </w:t>
      </w:r>
      <w:r w:rsidRPr="002A06C5" w:rsidR="00724045">
        <w:rPr>
          <w:rFonts w:eastAsia="Times New Roman" w:cstheme="minorHAnsi"/>
          <w:sz w:val="24"/>
          <w:szCs w:val="24"/>
          <w:lang w:eastAsia="pt-BR"/>
        </w:rPr>
        <w:t>à emenda</w:t>
      </w:r>
      <w:r w:rsidRPr="002A06C5" w:rsidR="0029742D">
        <w:rPr>
          <w:rFonts w:eastAsia="Times New Roman" w:cstheme="minorHAnsi"/>
          <w:sz w:val="24"/>
          <w:szCs w:val="24"/>
          <w:lang w:eastAsia="pt-BR"/>
        </w:rPr>
        <w:t xml:space="preserve"> em epígrafe</w:t>
      </w:r>
      <w:r w:rsidRPr="002A06C5" w:rsidR="00AB285F">
        <w:rPr>
          <w:rFonts w:eastAsia="Times New Roman" w:cstheme="minorHAnsi"/>
          <w:sz w:val="24"/>
          <w:szCs w:val="24"/>
          <w:lang w:eastAsia="pt-BR"/>
        </w:rPr>
        <w:t xml:space="preserve"> </w:t>
      </w:r>
      <w:r w:rsidRPr="002A06C5" w:rsidR="00E503EA">
        <w:rPr>
          <w:rFonts w:eastAsia="Times New Roman" w:cstheme="minorHAnsi"/>
          <w:sz w:val="24"/>
          <w:szCs w:val="24"/>
          <w:lang w:eastAsia="pt-BR"/>
        </w:rPr>
        <w:t xml:space="preserve">que </w:t>
      </w:r>
      <w:r w:rsidRPr="002A06C5" w:rsidR="00724045">
        <w:rPr>
          <w:rFonts w:eastAsia="Times New Roman" w:cstheme="minorHAnsi"/>
          <w:sz w:val="24"/>
          <w:szCs w:val="24"/>
          <w:u w:val="single"/>
          <w:lang w:eastAsia="pt-BR"/>
        </w:rPr>
        <w:t>tenciona alterar</w:t>
      </w:r>
      <w:r w:rsidRPr="002A06C5" w:rsidR="002A06C5">
        <w:rPr>
          <w:rFonts w:eastAsia="Times New Roman" w:cstheme="minorHAnsi"/>
          <w:sz w:val="24"/>
          <w:szCs w:val="24"/>
          <w:u w:val="single"/>
          <w:lang w:eastAsia="pt-BR"/>
        </w:rPr>
        <w:t xml:space="preserve"> a redação d</w:t>
      </w:r>
      <w:r w:rsidRPr="002A06C5" w:rsidR="00724045">
        <w:rPr>
          <w:rFonts w:eastAsia="Times New Roman" w:cstheme="minorHAnsi"/>
          <w:sz w:val="24"/>
          <w:szCs w:val="24"/>
          <w:u w:val="single"/>
          <w:lang w:eastAsia="pt-BR"/>
        </w:rPr>
        <w:t>o</w:t>
      </w:r>
      <w:r w:rsidRPr="002A06C5" w:rsidR="002A06C5">
        <w:rPr>
          <w:rFonts w:eastAsia="Times New Roman" w:cstheme="minorHAnsi"/>
          <w:sz w:val="24"/>
          <w:szCs w:val="24"/>
          <w:u w:val="single"/>
          <w:lang w:eastAsia="pt-BR"/>
        </w:rPr>
        <w:t xml:space="preserve"> </w:t>
      </w:r>
      <w:r w:rsidRPr="002A06C5" w:rsidR="002A06C5">
        <w:rPr>
          <w:rFonts w:eastAsia="Times New Roman" w:cstheme="minorHAnsi"/>
          <w:i/>
          <w:sz w:val="24"/>
          <w:szCs w:val="24"/>
          <w:u w:val="single"/>
          <w:lang w:eastAsia="pt-BR"/>
        </w:rPr>
        <w:t xml:space="preserve">caput </w:t>
      </w:r>
      <w:r w:rsidRPr="002A06C5" w:rsidR="002A06C5">
        <w:rPr>
          <w:rFonts w:eastAsia="Times New Roman" w:cstheme="minorHAnsi"/>
          <w:sz w:val="24"/>
          <w:szCs w:val="24"/>
          <w:u w:val="single"/>
          <w:lang w:eastAsia="pt-BR"/>
        </w:rPr>
        <w:t>do</w:t>
      </w:r>
      <w:r w:rsidRPr="002A06C5" w:rsidR="00724045">
        <w:rPr>
          <w:rFonts w:eastAsia="Times New Roman" w:cstheme="minorHAnsi"/>
          <w:sz w:val="24"/>
          <w:szCs w:val="24"/>
          <w:u w:val="single"/>
          <w:lang w:eastAsia="pt-BR"/>
        </w:rPr>
        <w:t xml:space="preserve"> art. </w:t>
      </w:r>
      <w:r w:rsidRPr="002A06C5" w:rsidR="002A06C5">
        <w:rPr>
          <w:rFonts w:eastAsia="Times New Roman" w:cstheme="minorHAnsi"/>
          <w:sz w:val="24"/>
          <w:szCs w:val="24"/>
          <w:u w:val="single"/>
          <w:lang w:eastAsia="pt-BR"/>
        </w:rPr>
        <w:t>2º e anexo único, bem como acrescer parágrafo único ao art. 4º e acrescer o art. 13, renumerando-se os artigos subsequentes</w:t>
      </w:r>
      <w:r w:rsidRPr="002A06C5" w:rsidR="002A06C5">
        <w:rPr>
          <w:sz w:val="24"/>
          <w:szCs w:val="24"/>
        </w:rPr>
        <w:t>, todos do</w:t>
      </w:r>
      <w:r w:rsidRPr="002A06C5" w:rsidR="00724045">
        <w:rPr>
          <w:rFonts w:eastAsia="Times New Roman" w:cstheme="minorHAnsi"/>
          <w:sz w:val="24"/>
          <w:szCs w:val="24"/>
          <w:u w:val="single"/>
          <w:lang w:eastAsia="pt-BR"/>
        </w:rPr>
        <w:t xml:space="preserve"> Projeto de Lei nº </w:t>
      </w:r>
      <w:r w:rsidRPr="002A06C5" w:rsidR="002A06C5">
        <w:rPr>
          <w:rFonts w:eastAsia="Times New Roman" w:cstheme="minorHAnsi"/>
          <w:sz w:val="24"/>
          <w:szCs w:val="24"/>
          <w:u w:val="single"/>
          <w:lang w:eastAsia="pt-BR"/>
        </w:rPr>
        <w:t>67</w:t>
      </w:r>
      <w:r w:rsidRPr="002A06C5" w:rsidR="00724045">
        <w:rPr>
          <w:rFonts w:eastAsia="Times New Roman" w:cstheme="minorHAnsi"/>
          <w:sz w:val="24"/>
          <w:szCs w:val="24"/>
          <w:u w:val="single"/>
          <w:lang w:eastAsia="pt-BR"/>
        </w:rPr>
        <w:t>/2023</w:t>
      </w:r>
      <w:r w:rsidRPr="002A06C5" w:rsidR="00724045">
        <w:rPr>
          <w:rFonts w:eastAsia="Times New Roman" w:cstheme="minorHAnsi"/>
          <w:sz w:val="24"/>
          <w:szCs w:val="24"/>
          <w:lang w:eastAsia="pt-BR"/>
        </w:rPr>
        <w:t xml:space="preserve"> que </w:t>
      </w:r>
      <w:r w:rsidRPr="002A06C5" w:rsidR="006464A4">
        <w:rPr>
          <w:rFonts w:cstheme="minorHAnsi"/>
          <w:bCs/>
          <w:sz w:val="24"/>
          <w:szCs w:val="24"/>
        </w:rPr>
        <w:t>“</w:t>
      </w:r>
      <w:r w:rsidRPr="002A06C5" w:rsidR="002A06C5">
        <w:rPr>
          <w:rFonts w:eastAsia="Times New Roman" w:cstheme="minorHAnsi"/>
          <w:i/>
          <w:sz w:val="24"/>
          <w:szCs w:val="24"/>
          <w:lang w:eastAsia="pt-BR"/>
        </w:rPr>
        <w:t>Dispõe sobre a reorganização da Administração Pública Direta em razão da transformação do Departamento de Águas e Esgotos de Valinhos, em Empresa Pública, e sobre o quadro pessoal da DAEV S.A., na forma que especifica</w:t>
      </w:r>
      <w:r w:rsidRPr="002A06C5" w:rsidR="002A06C5">
        <w:rPr>
          <w:rFonts w:cstheme="minorHAnsi"/>
          <w:bCs/>
          <w:i/>
          <w:sz w:val="24"/>
          <w:szCs w:val="24"/>
        </w:rPr>
        <w:t>”</w:t>
      </w:r>
      <w:r w:rsidR="0020730E">
        <w:rPr>
          <w:rFonts w:cstheme="minorHAnsi"/>
          <w:i/>
          <w:sz w:val="24"/>
          <w:szCs w:val="24"/>
        </w:rPr>
        <w:t xml:space="preserve">, </w:t>
      </w:r>
      <w:r w:rsidR="0020730E">
        <w:rPr>
          <w:rFonts w:cstheme="minorHAnsi"/>
          <w:sz w:val="24"/>
          <w:szCs w:val="24"/>
        </w:rPr>
        <w:t>nos seguintes termos:</w:t>
      </w:r>
    </w:p>
    <w:tbl>
      <w:tblPr>
        <w:tblStyle w:val="TableGrid"/>
        <w:tblW w:w="0" w:type="auto"/>
        <w:tblLook w:val="04A0"/>
      </w:tblPr>
      <w:tblGrid>
        <w:gridCol w:w="4322"/>
        <w:gridCol w:w="4322"/>
      </w:tblGrid>
      <w:tr w:rsidTr="00146B32">
        <w:tblPrEx>
          <w:tblW w:w="0" w:type="auto"/>
          <w:tblLook w:val="04A0"/>
        </w:tblPrEx>
        <w:trPr>
          <w:trHeight w:val="544"/>
        </w:trPr>
        <w:tc>
          <w:tcPr>
            <w:tcW w:w="4322" w:type="dxa"/>
            <w:vAlign w:val="center"/>
          </w:tcPr>
          <w:p w:rsidR="0020730E" w:rsidRPr="00AB0338" w:rsidP="002A06C5">
            <w:pPr>
              <w:pStyle w:val="Default"/>
              <w:spacing w:line="276" w:lineRule="auto"/>
              <w:jc w:val="center"/>
              <w:rPr>
                <w:rFonts w:asciiTheme="minorHAnsi" w:hAnsiTheme="minorHAnsi" w:cs="Calibri"/>
                <w:b/>
                <w:bCs/>
                <w:i/>
                <w:sz w:val="22"/>
                <w:szCs w:val="22"/>
              </w:rPr>
            </w:pPr>
            <w:r w:rsidRPr="00AB0338">
              <w:rPr>
                <w:rFonts w:asciiTheme="minorHAnsi" w:hAnsiTheme="minorHAnsi" w:cs="Calibri"/>
                <w:b/>
                <w:bCs/>
                <w:i/>
                <w:sz w:val="22"/>
                <w:szCs w:val="22"/>
              </w:rPr>
              <w:t xml:space="preserve">Projeto de Lei nº </w:t>
            </w:r>
            <w:r w:rsidR="006464A4">
              <w:rPr>
                <w:rFonts w:asciiTheme="minorHAnsi" w:hAnsiTheme="minorHAnsi" w:cs="Calibri"/>
                <w:b/>
                <w:bCs/>
                <w:i/>
                <w:sz w:val="22"/>
                <w:szCs w:val="22"/>
              </w:rPr>
              <w:t>6</w:t>
            </w:r>
            <w:r w:rsidR="002A06C5">
              <w:rPr>
                <w:rFonts w:asciiTheme="minorHAnsi" w:hAnsiTheme="minorHAnsi" w:cs="Calibri"/>
                <w:b/>
                <w:bCs/>
                <w:i/>
                <w:sz w:val="22"/>
                <w:szCs w:val="22"/>
              </w:rPr>
              <w:t>7</w:t>
            </w:r>
            <w:r w:rsidRPr="00AB0338">
              <w:rPr>
                <w:rFonts w:asciiTheme="minorHAnsi" w:hAnsiTheme="minorHAnsi" w:cs="Calibri"/>
                <w:b/>
                <w:bCs/>
                <w:i/>
                <w:sz w:val="22"/>
                <w:szCs w:val="22"/>
              </w:rPr>
              <w:t>/20</w:t>
            </w:r>
            <w:r>
              <w:rPr>
                <w:rFonts w:asciiTheme="minorHAnsi" w:hAnsiTheme="minorHAnsi" w:cs="Calibri"/>
                <w:b/>
                <w:bCs/>
                <w:i/>
                <w:sz w:val="22"/>
                <w:szCs w:val="22"/>
              </w:rPr>
              <w:t>23</w:t>
            </w:r>
          </w:p>
        </w:tc>
        <w:tc>
          <w:tcPr>
            <w:tcW w:w="4322" w:type="dxa"/>
            <w:vAlign w:val="center"/>
          </w:tcPr>
          <w:p w:rsidR="0020730E" w:rsidP="00146B32">
            <w:pPr>
              <w:pStyle w:val="Default"/>
              <w:spacing w:line="276" w:lineRule="auto"/>
              <w:jc w:val="center"/>
              <w:rPr>
                <w:rFonts w:asciiTheme="minorHAnsi" w:hAnsiTheme="minorHAnsi" w:cs="Calibri"/>
                <w:b/>
                <w:bCs/>
                <w:i/>
                <w:sz w:val="22"/>
                <w:szCs w:val="22"/>
              </w:rPr>
            </w:pPr>
            <w:r w:rsidRPr="00AB0338">
              <w:rPr>
                <w:rFonts w:asciiTheme="minorHAnsi" w:hAnsiTheme="minorHAnsi" w:cs="Calibri"/>
                <w:b/>
                <w:bCs/>
                <w:i/>
                <w:sz w:val="22"/>
                <w:szCs w:val="22"/>
              </w:rPr>
              <w:t xml:space="preserve">Emenda 01 ao Projeto de </w:t>
            </w:r>
          </w:p>
          <w:p w:rsidR="0020730E" w:rsidP="002A06C5">
            <w:pPr>
              <w:pStyle w:val="Default"/>
              <w:spacing w:line="276" w:lineRule="auto"/>
              <w:jc w:val="center"/>
              <w:rPr>
                <w:rFonts w:asciiTheme="minorHAnsi" w:hAnsiTheme="minorHAnsi" w:cs="Calibri"/>
                <w:b/>
                <w:bCs/>
                <w:i/>
                <w:sz w:val="22"/>
                <w:szCs w:val="22"/>
              </w:rPr>
            </w:pPr>
            <w:r>
              <w:rPr>
                <w:rFonts w:asciiTheme="minorHAnsi" w:hAnsiTheme="minorHAnsi" w:cs="Calibri"/>
                <w:b/>
                <w:bCs/>
                <w:i/>
                <w:sz w:val="22"/>
                <w:szCs w:val="22"/>
              </w:rPr>
              <w:t>Lei</w:t>
            </w:r>
            <w:r w:rsidRPr="00AB0338">
              <w:rPr>
                <w:rFonts w:asciiTheme="minorHAnsi" w:hAnsiTheme="minorHAnsi" w:cs="Calibri"/>
                <w:b/>
                <w:bCs/>
                <w:i/>
                <w:sz w:val="22"/>
                <w:szCs w:val="22"/>
              </w:rPr>
              <w:t xml:space="preserve"> nº </w:t>
            </w:r>
            <w:r w:rsidR="006464A4">
              <w:rPr>
                <w:rFonts w:asciiTheme="minorHAnsi" w:hAnsiTheme="minorHAnsi" w:cs="Calibri"/>
                <w:b/>
                <w:bCs/>
                <w:i/>
                <w:sz w:val="22"/>
                <w:szCs w:val="22"/>
              </w:rPr>
              <w:t>6</w:t>
            </w:r>
            <w:r w:rsidR="002A06C5">
              <w:rPr>
                <w:rFonts w:asciiTheme="minorHAnsi" w:hAnsiTheme="minorHAnsi" w:cs="Calibri"/>
                <w:b/>
                <w:bCs/>
                <w:i/>
                <w:sz w:val="22"/>
                <w:szCs w:val="22"/>
              </w:rPr>
              <w:t>7</w:t>
            </w:r>
            <w:r>
              <w:rPr>
                <w:rFonts w:asciiTheme="minorHAnsi" w:hAnsiTheme="minorHAnsi" w:cs="Calibri"/>
                <w:b/>
                <w:bCs/>
                <w:i/>
                <w:sz w:val="22"/>
                <w:szCs w:val="22"/>
              </w:rPr>
              <w:t>/2023</w:t>
            </w:r>
          </w:p>
          <w:p w:rsidR="002A06C5" w:rsidRPr="00AB0338" w:rsidP="002A06C5">
            <w:pPr>
              <w:pStyle w:val="Default"/>
              <w:spacing w:line="276" w:lineRule="auto"/>
              <w:jc w:val="center"/>
              <w:rPr>
                <w:rFonts w:asciiTheme="minorHAnsi" w:hAnsiTheme="minorHAnsi" w:cs="Calibri"/>
                <w:b/>
                <w:bCs/>
                <w:i/>
                <w:sz w:val="22"/>
                <w:szCs w:val="22"/>
              </w:rPr>
            </w:pPr>
          </w:p>
        </w:tc>
      </w:tr>
      <w:tr w:rsidTr="00146B32">
        <w:tblPrEx>
          <w:tblW w:w="0" w:type="auto"/>
          <w:tblLook w:val="04A0"/>
        </w:tblPrEx>
        <w:tc>
          <w:tcPr>
            <w:tcW w:w="4322" w:type="dxa"/>
          </w:tcPr>
          <w:p w:rsidR="00776B8E" w:rsidP="00776B8E">
            <w:pPr>
              <w:pStyle w:val="Default"/>
              <w:spacing w:line="276" w:lineRule="auto"/>
              <w:ind w:left="284"/>
              <w:jc w:val="both"/>
              <w:rPr>
                <w:rFonts w:asciiTheme="minorHAnsi" w:hAnsiTheme="minorHAnsi"/>
                <w:i/>
                <w:sz w:val="22"/>
                <w:szCs w:val="22"/>
              </w:rPr>
            </w:pPr>
          </w:p>
          <w:p w:rsidR="00776B8E" w:rsidP="00776B8E">
            <w:pPr>
              <w:pStyle w:val="Default"/>
              <w:spacing w:line="276" w:lineRule="auto"/>
              <w:ind w:left="284"/>
              <w:jc w:val="both"/>
              <w:rPr>
                <w:rFonts w:asciiTheme="minorHAnsi" w:hAnsiTheme="minorHAnsi"/>
                <w:i/>
                <w:sz w:val="22"/>
                <w:szCs w:val="22"/>
              </w:rPr>
            </w:pPr>
          </w:p>
          <w:p w:rsidR="00776B8E" w:rsidP="00776B8E">
            <w:pPr>
              <w:pStyle w:val="Default"/>
              <w:spacing w:line="276" w:lineRule="auto"/>
              <w:ind w:left="284"/>
              <w:jc w:val="both"/>
              <w:rPr>
                <w:rFonts w:asciiTheme="minorHAnsi" w:hAnsiTheme="minorHAnsi"/>
                <w:i/>
                <w:sz w:val="22"/>
                <w:szCs w:val="22"/>
              </w:rPr>
            </w:pPr>
          </w:p>
          <w:p w:rsidR="00776B8E" w:rsidP="00776B8E">
            <w:pPr>
              <w:pStyle w:val="Default"/>
              <w:spacing w:line="276" w:lineRule="auto"/>
              <w:ind w:left="284"/>
              <w:jc w:val="both"/>
              <w:rPr>
                <w:rFonts w:asciiTheme="minorHAnsi" w:hAnsiTheme="minorHAnsi"/>
                <w:i/>
                <w:sz w:val="22"/>
                <w:szCs w:val="22"/>
              </w:rPr>
            </w:pPr>
          </w:p>
          <w:p w:rsidR="00776B8E" w:rsidP="00776B8E">
            <w:pPr>
              <w:pStyle w:val="Default"/>
              <w:spacing w:line="276" w:lineRule="auto"/>
              <w:ind w:left="284"/>
              <w:jc w:val="both"/>
              <w:rPr>
                <w:rFonts w:asciiTheme="minorHAnsi" w:hAnsiTheme="minorHAnsi"/>
                <w:b/>
                <w:i/>
                <w:sz w:val="22"/>
                <w:szCs w:val="22"/>
              </w:rPr>
            </w:pPr>
            <w:r w:rsidRPr="00776B8E">
              <w:rPr>
                <w:rFonts w:asciiTheme="minorHAnsi" w:hAnsiTheme="minorHAnsi"/>
                <w:b/>
                <w:i/>
                <w:sz w:val="22"/>
                <w:szCs w:val="22"/>
              </w:rPr>
              <w:t>Art. 2º</w:t>
            </w:r>
            <w:r w:rsidRPr="00776B8E">
              <w:rPr>
                <w:rFonts w:asciiTheme="minorHAnsi" w:hAnsiTheme="minorHAnsi"/>
                <w:i/>
                <w:sz w:val="22"/>
                <w:szCs w:val="22"/>
              </w:rPr>
              <w:t xml:space="preserve"> Aos atuais servidores titulares de cargos de provimento efetivo do DAEV, transferidos para quadro especial da Prefeitura Municipal de Valinhos, na forma Anexo Único desta Lei, que acrescenta </w:t>
            </w:r>
            <w:r w:rsidRPr="00776B8E">
              <w:rPr>
                <w:rFonts w:asciiTheme="minorHAnsi" w:hAnsiTheme="minorHAnsi"/>
                <w:b/>
                <w:i/>
                <w:sz w:val="22"/>
                <w:szCs w:val="22"/>
              </w:rPr>
              <w:t xml:space="preserve">ao Anexo III, alínea "a", da Lei nº 6.206, de 23 de dezembro de 2021, o inciso XVII - Cargos do Departamento de Águas e Esgotos de Valinhos – DAEV – autarquia extinta – cargos extintos </w:t>
            </w:r>
            <w:r w:rsidRPr="00776B8E">
              <w:rPr>
                <w:rFonts w:asciiTheme="minorHAnsi" w:hAnsiTheme="minorHAnsi"/>
                <w:b/>
                <w:i/>
                <w:sz w:val="22"/>
                <w:szCs w:val="22"/>
              </w:rPr>
              <w:t>quando vagarem -</w:t>
            </w:r>
            <w:r w:rsidRPr="00776B8E">
              <w:rPr>
                <w:rFonts w:asciiTheme="minorHAnsi" w:hAnsiTheme="minorHAnsi"/>
                <w:i/>
                <w:sz w:val="22"/>
                <w:szCs w:val="22"/>
              </w:rPr>
              <w:t>, será garantido, dentro de 60 (sessenta) dias da aprovação do Plano de Cargos e Salários da DAEV S.A., o direito de optar por integrar o quadro de pessoal da DAEV. S.A., na condição de empregado público</w:t>
            </w:r>
            <w:r>
              <w:rPr>
                <w:rFonts w:asciiTheme="minorHAnsi" w:hAnsiTheme="minorHAnsi"/>
                <w:i/>
                <w:sz w:val="22"/>
                <w:szCs w:val="22"/>
              </w:rPr>
              <w:t xml:space="preserve"> </w:t>
            </w:r>
            <w:r w:rsidRPr="00776B8E">
              <w:rPr>
                <w:rFonts w:asciiTheme="minorHAnsi" w:hAnsiTheme="minorHAnsi"/>
                <w:i/>
                <w:sz w:val="22"/>
                <w:szCs w:val="22"/>
              </w:rPr>
              <w:t xml:space="preserve">sujeito ao regime celetista, ou permanecer </w:t>
            </w:r>
            <w:r w:rsidRPr="000D5873">
              <w:rPr>
                <w:rFonts w:asciiTheme="minorHAnsi" w:hAnsiTheme="minorHAnsi"/>
                <w:b/>
                <w:i/>
                <w:sz w:val="22"/>
                <w:szCs w:val="22"/>
              </w:rPr>
              <w:t>no quadro de origem,</w:t>
            </w:r>
            <w:r w:rsidRPr="00776B8E">
              <w:rPr>
                <w:rFonts w:asciiTheme="minorHAnsi" w:hAnsiTheme="minorHAnsi"/>
                <w:i/>
                <w:sz w:val="22"/>
                <w:szCs w:val="22"/>
              </w:rPr>
              <w:t xml:space="preserve"> em regime estatutário, </w:t>
            </w:r>
            <w:r w:rsidRPr="000D5873">
              <w:rPr>
                <w:rFonts w:asciiTheme="minorHAnsi" w:hAnsiTheme="minorHAnsi"/>
                <w:b/>
                <w:i/>
                <w:sz w:val="22"/>
                <w:szCs w:val="22"/>
              </w:rPr>
              <w:t>mantidos todos os direitos adquiridos até o momento, devidamente incorporados aos vencimentos e salários, bem como todas as funções gratificadas.</w:t>
            </w:r>
          </w:p>
          <w:p w:rsidR="000D5873" w:rsidP="00776B8E">
            <w:pPr>
              <w:pStyle w:val="Default"/>
              <w:spacing w:line="276" w:lineRule="auto"/>
              <w:ind w:left="284"/>
              <w:jc w:val="both"/>
              <w:rPr>
                <w:rFonts w:asciiTheme="minorHAnsi" w:hAnsiTheme="minorHAnsi"/>
                <w:b/>
                <w:i/>
                <w:sz w:val="22"/>
                <w:szCs w:val="22"/>
              </w:rPr>
            </w:pPr>
          </w:p>
          <w:p w:rsidR="000D5873" w:rsidP="00776B8E">
            <w:pPr>
              <w:pStyle w:val="Default"/>
              <w:spacing w:line="276" w:lineRule="auto"/>
              <w:ind w:left="284"/>
              <w:jc w:val="both"/>
              <w:rPr>
                <w:rFonts w:asciiTheme="minorHAnsi" w:hAnsiTheme="minorHAnsi"/>
                <w:b/>
                <w:i/>
                <w:sz w:val="22"/>
                <w:szCs w:val="22"/>
              </w:rPr>
            </w:pPr>
            <w:r>
              <w:rPr>
                <w:rFonts w:asciiTheme="minorHAnsi" w:hAnsiTheme="minorHAnsi"/>
                <w:b/>
                <w:i/>
                <w:sz w:val="22"/>
                <w:szCs w:val="22"/>
              </w:rPr>
              <w:t>(...)</w:t>
            </w:r>
          </w:p>
          <w:p w:rsidR="000D5873" w:rsidP="00776B8E">
            <w:pPr>
              <w:pStyle w:val="Default"/>
              <w:spacing w:line="276" w:lineRule="auto"/>
              <w:ind w:left="284"/>
              <w:jc w:val="both"/>
              <w:rPr>
                <w:rFonts w:asciiTheme="minorHAnsi" w:hAnsiTheme="minorHAnsi"/>
                <w:b/>
                <w:i/>
                <w:sz w:val="22"/>
                <w:szCs w:val="22"/>
              </w:rPr>
            </w:pPr>
          </w:p>
          <w:p w:rsidR="000D5873" w:rsidP="00776B8E">
            <w:pPr>
              <w:pStyle w:val="Default"/>
              <w:spacing w:line="276" w:lineRule="auto"/>
              <w:ind w:left="284"/>
              <w:jc w:val="both"/>
              <w:rPr>
                <w:rFonts w:asciiTheme="minorHAnsi" w:hAnsiTheme="minorHAnsi"/>
                <w:b/>
                <w:i/>
                <w:sz w:val="22"/>
                <w:szCs w:val="22"/>
              </w:rPr>
            </w:pPr>
            <w:r w:rsidRPr="000D5873">
              <w:rPr>
                <w:rFonts w:asciiTheme="minorHAnsi" w:hAnsiTheme="minorHAnsi"/>
                <w:b/>
                <w:i/>
                <w:sz w:val="22"/>
                <w:szCs w:val="22"/>
              </w:rPr>
              <w:t xml:space="preserve">ANEXO ÚNICO </w:t>
            </w:r>
          </w:p>
          <w:p w:rsidR="000D5873" w:rsidRPr="006464A4" w:rsidP="00776B8E">
            <w:pPr>
              <w:pStyle w:val="Default"/>
              <w:spacing w:line="276" w:lineRule="auto"/>
              <w:ind w:left="284"/>
              <w:jc w:val="both"/>
              <w:rPr>
                <w:rFonts w:asciiTheme="minorHAnsi" w:hAnsiTheme="minorHAnsi" w:cs="Calibri"/>
                <w:bCs/>
                <w:i/>
                <w:sz w:val="22"/>
                <w:szCs w:val="22"/>
              </w:rPr>
            </w:pPr>
            <w:r w:rsidRPr="000D5873">
              <w:rPr>
                <w:rFonts w:asciiTheme="minorHAnsi" w:hAnsiTheme="minorHAnsi"/>
                <w:i/>
                <w:sz w:val="22"/>
                <w:szCs w:val="22"/>
              </w:rPr>
              <w:t xml:space="preserve">Acrescenta ao Anexo III, alínea “a”, </w:t>
            </w:r>
            <w:r w:rsidRPr="000D5873">
              <w:rPr>
                <w:rFonts w:asciiTheme="minorHAnsi" w:hAnsiTheme="minorHAnsi"/>
                <w:b/>
                <w:i/>
                <w:sz w:val="22"/>
                <w:szCs w:val="22"/>
              </w:rPr>
              <w:t xml:space="preserve">da Lei nº 6.206, de 2021, o inciso XVII </w:t>
            </w:r>
            <w:r w:rsidRPr="000D5873">
              <w:rPr>
                <w:rFonts w:asciiTheme="minorHAnsi" w:hAnsiTheme="minorHAnsi"/>
                <w:i/>
                <w:sz w:val="22"/>
                <w:szCs w:val="22"/>
              </w:rPr>
              <w:t>cargos do Departamento de Águas e Esgotos de Valinhos – DAEV – autarquia extinta – cargos extintos quando vagarem.</w:t>
            </w:r>
          </w:p>
        </w:tc>
        <w:tc>
          <w:tcPr>
            <w:tcW w:w="4322" w:type="dxa"/>
          </w:tcPr>
          <w:p w:rsidR="002A06C5" w:rsidP="007C059D">
            <w:pPr>
              <w:pStyle w:val="Default"/>
              <w:spacing w:line="276" w:lineRule="auto"/>
              <w:ind w:left="284"/>
              <w:jc w:val="both"/>
              <w:rPr>
                <w:rFonts w:asciiTheme="minorHAnsi" w:hAnsiTheme="minorHAnsi"/>
                <w:i/>
                <w:sz w:val="22"/>
                <w:szCs w:val="22"/>
              </w:rPr>
            </w:pPr>
            <w:r w:rsidRPr="002A06C5">
              <w:rPr>
                <w:rFonts w:asciiTheme="minorHAnsi" w:hAnsiTheme="minorHAnsi"/>
                <w:i/>
                <w:sz w:val="22"/>
                <w:szCs w:val="22"/>
              </w:rPr>
              <w:t xml:space="preserve">1 - </w:t>
            </w:r>
            <w:r w:rsidRPr="002A06C5">
              <w:rPr>
                <w:rFonts w:asciiTheme="minorHAnsi" w:hAnsiTheme="minorHAnsi"/>
                <w:b/>
                <w:i/>
                <w:sz w:val="22"/>
                <w:szCs w:val="22"/>
              </w:rPr>
              <w:t>Emenda Modificativa</w:t>
            </w:r>
            <w:r w:rsidRPr="002A06C5">
              <w:rPr>
                <w:rFonts w:asciiTheme="minorHAnsi" w:hAnsiTheme="minorHAnsi"/>
                <w:i/>
                <w:sz w:val="22"/>
                <w:szCs w:val="22"/>
              </w:rPr>
              <w:t xml:space="preserve">: Dê-se as seguintes redações ao </w:t>
            </w:r>
            <w:r w:rsidRPr="002A06C5">
              <w:rPr>
                <w:rFonts w:asciiTheme="minorHAnsi" w:hAnsiTheme="minorHAnsi"/>
                <w:b/>
                <w:i/>
                <w:sz w:val="22"/>
                <w:szCs w:val="22"/>
              </w:rPr>
              <w:t>caput do art. 2º e ao anexo único</w:t>
            </w:r>
            <w:r w:rsidRPr="002A06C5">
              <w:rPr>
                <w:rFonts w:asciiTheme="minorHAnsi" w:hAnsiTheme="minorHAnsi"/>
                <w:i/>
                <w:sz w:val="22"/>
                <w:szCs w:val="22"/>
              </w:rPr>
              <w:t xml:space="preserve">: </w:t>
            </w:r>
          </w:p>
          <w:p w:rsidR="002A06C5" w:rsidP="007C059D">
            <w:pPr>
              <w:pStyle w:val="Default"/>
              <w:spacing w:line="276" w:lineRule="auto"/>
              <w:ind w:left="284"/>
              <w:jc w:val="both"/>
              <w:rPr>
                <w:rFonts w:asciiTheme="minorHAnsi" w:hAnsiTheme="minorHAnsi"/>
                <w:i/>
                <w:sz w:val="22"/>
                <w:szCs w:val="22"/>
              </w:rPr>
            </w:pPr>
          </w:p>
          <w:p w:rsidR="002A06C5" w:rsidRPr="000D5873" w:rsidP="002A06C5">
            <w:pPr>
              <w:pStyle w:val="Default"/>
              <w:spacing w:line="276" w:lineRule="auto"/>
              <w:ind w:left="284"/>
              <w:jc w:val="both"/>
              <w:rPr>
                <w:rFonts w:asciiTheme="minorHAnsi" w:hAnsiTheme="minorHAnsi"/>
                <w:b/>
                <w:i/>
                <w:sz w:val="22"/>
                <w:szCs w:val="22"/>
              </w:rPr>
            </w:pPr>
            <w:r w:rsidRPr="00776B8E">
              <w:rPr>
                <w:rFonts w:asciiTheme="minorHAnsi" w:hAnsiTheme="minorHAnsi"/>
                <w:b/>
                <w:i/>
                <w:sz w:val="22"/>
                <w:szCs w:val="22"/>
              </w:rPr>
              <w:t>Art. 2º</w:t>
            </w:r>
            <w:r w:rsidRPr="002A06C5">
              <w:rPr>
                <w:rFonts w:asciiTheme="minorHAnsi" w:hAnsiTheme="minorHAnsi"/>
                <w:i/>
                <w:sz w:val="22"/>
                <w:szCs w:val="22"/>
              </w:rPr>
              <w:t xml:space="preserve"> Aos atuais servidores titulares de cargos de provimento efetivo do DAEV, transferidos para quadro especial da Prefeitura Municipal de Valinhos, na forma Anexo I desta Lei, que acrescenta ao </w:t>
            </w:r>
            <w:r w:rsidRPr="000D5873">
              <w:rPr>
                <w:rFonts w:asciiTheme="minorHAnsi" w:hAnsiTheme="minorHAnsi"/>
                <w:b/>
                <w:i/>
                <w:sz w:val="22"/>
                <w:szCs w:val="22"/>
              </w:rPr>
              <w:t xml:space="preserve">Anexo III, alínea "a", inciso XV - Secretaria de Desenvolvimento Urbano e Meio Ambiente - SDUMA da Lei nº 6.206, de 23 de dezembro de 2021, - Cargos do Departamento de Águas e Esgotos de </w:t>
            </w:r>
            <w:r w:rsidRPr="000D5873">
              <w:rPr>
                <w:rFonts w:asciiTheme="minorHAnsi" w:hAnsiTheme="minorHAnsi"/>
                <w:b/>
                <w:i/>
                <w:sz w:val="22"/>
                <w:szCs w:val="22"/>
              </w:rPr>
              <w:t>Valinhos – DAEV – autarquia extinta – cargos extintos quando vagarem</w:t>
            </w:r>
            <w:r w:rsidRPr="002A06C5">
              <w:rPr>
                <w:rFonts w:asciiTheme="minorHAnsi" w:hAnsiTheme="minorHAnsi"/>
                <w:i/>
                <w:sz w:val="22"/>
                <w:szCs w:val="22"/>
              </w:rPr>
              <w:t xml:space="preserve"> -, será garantido, dentro de 60 (sessenta) dias da aprovação do Plano de Cargos e Salários da DAEV S.A., o direito de optar por integrar o quadro de pessoal da DAEV. S.A., na condição de empregado público sujeito ao regime celetista, ou permanecer </w:t>
            </w:r>
            <w:r w:rsidRPr="000D5873">
              <w:rPr>
                <w:rFonts w:asciiTheme="minorHAnsi" w:hAnsiTheme="minorHAnsi"/>
                <w:b/>
                <w:i/>
                <w:sz w:val="22"/>
                <w:szCs w:val="22"/>
              </w:rPr>
              <w:t>no quadro especial de servidores da Prefeitura Municipal de Valinhos</w:t>
            </w:r>
            <w:r w:rsidRPr="002A06C5">
              <w:rPr>
                <w:rFonts w:asciiTheme="minorHAnsi" w:hAnsiTheme="minorHAnsi"/>
                <w:i/>
                <w:sz w:val="22"/>
                <w:szCs w:val="22"/>
              </w:rPr>
              <w:t>, em regime estatutário</w:t>
            </w:r>
            <w:r w:rsidRPr="000D5873">
              <w:rPr>
                <w:rFonts w:asciiTheme="minorHAnsi" w:hAnsiTheme="minorHAnsi"/>
                <w:b/>
                <w:i/>
                <w:sz w:val="22"/>
                <w:szCs w:val="22"/>
              </w:rPr>
              <w:t xml:space="preserve">, preservado todos os direitos adquiridos, devidamente incorporados ao vencimento ou remuneração. </w:t>
            </w:r>
          </w:p>
          <w:p w:rsidR="002A06C5" w:rsidP="002A06C5">
            <w:pPr>
              <w:pStyle w:val="Default"/>
              <w:spacing w:line="276" w:lineRule="auto"/>
              <w:ind w:left="284"/>
              <w:jc w:val="both"/>
              <w:rPr>
                <w:rFonts w:asciiTheme="minorHAnsi" w:hAnsiTheme="minorHAnsi"/>
                <w:i/>
                <w:sz w:val="22"/>
                <w:szCs w:val="22"/>
              </w:rPr>
            </w:pPr>
            <w:r w:rsidRPr="002A06C5">
              <w:rPr>
                <w:rFonts w:asciiTheme="minorHAnsi" w:hAnsiTheme="minorHAnsi"/>
                <w:i/>
                <w:sz w:val="22"/>
                <w:szCs w:val="22"/>
              </w:rPr>
              <w:t xml:space="preserve">(…) </w:t>
            </w:r>
          </w:p>
          <w:p w:rsidR="002A06C5" w:rsidP="002A06C5">
            <w:pPr>
              <w:pStyle w:val="Default"/>
              <w:spacing w:line="276" w:lineRule="auto"/>
              <w:ind w:left="284"/>
              <w:jc w:val="both"/>
              <w:rPr>
                <w:rFonts w:asciiTheme="minorHAnsi" w:hAnsiTheme="minorHAnsi"/>
                <w:i/>
                <w:sz w:val="22"/>
                <w:szCs w:val="22"/>
              </w:rPr>
            </w:pPr>
            <w:r w:rsidRPr="002A06C5">
              <w:rPr>
                <w:rFonts w:asciiTheme="minorHAnsi" w:hAnsiTheme="minorHAnsi"/>
                <w:b/>
                <w:i/>
                <w:sz w:val="22"/>
                <w:szCs w:val="22"/>
              </w:rPr>
              <w:t>ANEXO ÚNICO</w:t>
            </w:r>
            <w:r w:rsidRPr="002A06C5">
              <w:rPr>
                <w:rFonts w:asciiTheme="minorHAnsi" w:hAnsiTheme="minorHAnsi"/>
                <w:i/>
                <w:sz w:val="22"/>
                <w:szCs w:val="22"/>
              </w:rPr>
              <w:t xml:space="preserve"> </w:t>
            </w:r>
          </w:p>
          <w:p w:rsidR="002A06C5" w:rsidRPr="002A06C5" w:rsidP="002A06C5">
            <w:pPr>
              <w:pStyle w:val="Default"/>
              <w:spacing w:line="276" w:lineRule="auto"/>
              <w:ind w:left="284"/>
              <w:jc w:val="both"/>
              <w:rPr>
                <w:rFonts w:asciiTheme="minorHAnsi" w:hAnsiTheme="minorHAnsi" w:cs="Calibri"/>
                <w:bCs/>
                <w:i/>
                <w:sz w:val="22"/>
                <w:szCs w:val="22"/>
              </w:rPr>
            </w:pPr>
            <w:r w:rsidRPr="002A06C5">
              <w:rPr>
                <w:rFonts w:asciiTheme="minorHAnsi" w:hAnsiTheme="minorHAnsi"/>
                <w:i/>
                <w:sz w:val="22"/>
                <w:szCs w:val="22"/>
              </w:rPr>
              <w:t xml:space="preserve">Acrescenta ao Anexo III, alínea "a", </w:t>
            </w:r>
            <w:r w:rsidRPr="000D5873">
              <w:rPr>
                <w:rFonts w:asciiTheme="minorHAnsi" w:hAnsiTheme="minorHAnsi"/>
                <w:b/>
                <w:i/>
                <w:sz w:val="22"/>
                <w:szCs w:val="22"/>
              </w:rPr>
              <w:t>inciso XV - Secretaria de Desenvolvimento Urbano e Meio Ambiente - SDUMA</w:t>
            </w:r>
            <w:r w:rsidRPr="002A06C5">
              <w:rPr>
                <w:rFonts w:asciiTheme="minorHAnsi" w:hAnsiTheme="minorHAnsi"/>
                <w:i/>
                <w:sz w:val="22"/>
                <w:szCs w:val="22"/>
              </w:rPr>
              <w:t xml:space="preserve"> da Lei nº 6.206, de 23 de dezembro de 2021, - Cargos do Departamento de Águas e Esgotos de Valinhos – DAEV – autarquia extinta – cargos extintos quando vagarem (...)</w:t>
            </w:r>
          </w:p>
        </w:tc>
      </w:tr>
      <w:tr w:rsidTr="00146B32">
        <w:tblPrEx>
          <w:tblW w:w="0" w:type="auto"/>
          <w:tblLook w:val="04A0"/>
        </w:tblPrEx>
        <w:tc>
          <w:tcPr>
            <w:tcW w:w="4322" w:type="dxa"/>
          </w:tcPr>
          <w:p w:rsidR="002A06C5" w:rsidP="006464A4">
            <w:pPr>
              <w:pStyle w:val="Default"/>
              <w:spacing w:line="276" w:lineRule="auto"/>
              <w:ind w:left="284"/>
              <w:jc w:val="both"/>
              <w:rPr>
                <w:rFonts w:asciiTheme="minorHAnsi" w:hAnsiTheme="minorHAnsi" w:cs="Calibri"/>
                <w:bCs/>
                <w:i/>
                <w:sz w:val="22"/>
                <w:szCs w:val="22"/>
              </w:rPr>
            </w:pPr>
          </w:p>
          <w:p w:rsidR="000D5873" w:rsidRPr="000D5873" w:rsidP="006464A4">
            <w:pPr>
              <w:pStyle w:val="Default"/>
              <w:spacing w:line="276" w:lineRule="auto"/>
              <w:ind w:left="284"/>
              <w:jc w:val="both"/>
              <w:rPr>
                <w:rFonts w:asciiTheme="minorHAnsi" w:hAnsiTheme="minorHAnsi" w:cs="Calibri"/>
                <w:bCs/>
                <w:i/>
                <w:sz w:val="22"/>
                <w:szCs w:val="22"/>
              </w:rPr>
            </w:pPr>
            <w:r w:rsidRPr="000D5873">
              <w:rPr>
                <w:rFonts w:asciiTheme="minorHAnsi" w:hAnsiTheme="minorHAnsi"/>
                <w:b/>
                <w:i/>
                <w:sz w:val="22"/>
                <w:szCs w:val="22"/>
              </w:rPr>
              <w:t>Art. 4º</w:t>
            </w:r>
            <w:r w:rsidRPr="000D5873">
              <w:rPr>
                <w:rFonts w:asciiTheme="minorHAnsi" w:hAnsiTheme="minorHAnsi"/>
                <w:i/>
                <w:sz w:val="22"/>
                <w:szCs w:val="22"/>
              </w:rPr>
              <w:t xml:space="preserve"> As complementações concedidas aos servidores do DAEV aposentados e pensionistas serão transferidas para a Prefeitura Municipal de Valinhos, até a data da extinção do benefício pago pelo Regime Próprio de Previdência Social do Município de Valinhos.</w:t>
            </w:r>
          </w:p>
        </w:tc>
        <w:tc>
          <w:tcPr>
            <w:tcW w:w="4322" w:type="dxa"/>
          </w:tcPr>
          <w:p w:rsidR="002A06C5" w:rsidRPr="002A06C5" w:rsidP="007C059D">
            <w:pPr>
              <w:pStyle w:val="Default"/>
              <w:spacing w:line="276" w:lineRule="auto"/>
              <w:ind w:left="284"/>
              <w:jc w:val="both"/>
              <w:rPr>
                <w:rFonts w:asciiTheme="minorHAnsi" w:hAnsiTheme="minorHAnsi"/>
                <w:i/>
                <w:sz w:val="22"/>
                <w:szCs w:val="22"/>
              </w:rPr>
            </w:pPr>
          </w:p>
          <w:p w:rsidR="002A06C5" w:rsidRPr="002A06C5" w:rsidP="007C059D">
            <w:pPr>
              <w:pStyle w:val="Default"/>
              <w:spacing w:line="276" w:lineRule="auto"/>
              <w:ind w:left="284"/>
              <w:jc w:val="both"/>
              <w:rPr>
                <w:rFonts w:asciiTheme="minorHAnsi" w:hAnsiTheme="minorHAnsi"/>
                <w:i/>
                <w:sz w:val="22"/>
                <w:szCs w:val="22"/>
              </w:rPr>
            </w:pPr>
            <w:r w:rsidRPr="002A06C5">
              <w:rPr>
                <w:rFonts w:asciiTheme="minorHAnsi" w:hAnsiTheme="minorHAnsi"/>
                <w:b/>
                <w:i/>
                <w:sz w:val="22"/>
                <w:szCs w:val="22"/>
              </w:rPr>
              <w:t>2. Emenda Aditiva</w:t>
            </w:r>
            <w:r w:rsidRPr="002A06C5">
              <w:rPr>
                <w:rFonts w:asciiTheme="minorHAnsi" w:hAnsiTheme="minorHAnsi"/>
                <w:i/>
                <w:sz w:val="22"/>
                <w:szCs w:val="22"/>
              </w:rPr>
              <w:t xml:space="preserve">: Acrescenta-se o parágrafo único ao art. 4º e o art. 13, renumerando-se os artigos subsequentes: </w:t>
            </w:r>
          </w:p>
          <w:p w:rsidR="002A06C5" w:rsidP="007C059D">
            <w:pPr>
              <w:pStyle w:val="Default"/>
              <w:spacing w:line="276" w:lineRule="auto"/>
              <w:ind w:left="284"/>
              <w:jc w:val="both"/>
              <w:rPr>
                <w:rFonts w:asciiTheme="minorHAnsi" w:hAnsiTheme="minorHAnsi"/>
                <w:i/>
                <w:sz w:val="22"/>
                <w:szCs w:val="22"/>
              </w:rPr>
            </w:pPr>
          </w:p>
          <w:p w:rsidR="002A06C5" w:rsidRPr="002A06C5" w:rsidP="007C059D">
            <w:pPr>
              <w:pStyle w:val="Default"/>
              <w:spacing w:line="276" w:lineRule="auto"/>
              <w:ind w:left="284"/>
              <w:jc w:val="both"/>
              <w:rPr>
                <w:rFonts w:asciiTheme="minorHAnsi" w:hAnsiTheme="minorHAnsi"/>
                <w:b/>
                <w:i/>
                <w:sz w:val="22"/>
                <w:szCs w:val="22"/>
              </w:rPr>
            </w:pPr>
            <w:r w:rsidRPr="002A06C5">
              <w:rPr>
                <w:rFonts w:asciiTheme="minorHAnsi" w:hAnsiTheme="minorHAnsi"/>
                <w:b/>
                <w:i/>
                <w:sz w:val="22"/>
                <w:szCs w:val="22"/>
              </w:rPr>
              <w:t xml:space="preserve">Art. 4º ... </w:t>
            </w:r>
          </w:p>
          <w:p w:rsidR="002A06C5" w:rsidRPr="000D5873" w:rsidP="007C059D">
            <w:pPr>
              <w:pStyle w:val="Default"/>
              <w:spacing w:line="276" w:lineRule="auto"/>
              <w:ind w:left="284"/>
              <w:jc w:val="both"/>
              <w:rPr>
                <w:rFonts w:asciiTheme="minorHAnsi" w:hAnsiTheme="minorHAnsi"/>
                <w:i/>
                <w:sz w:val="28"/>
                <w:szCs w:val="28"/>
              </w:rPr>
            </w:pPr>
          </w:p>
          <w:p w:rsidR="002A06C5" w:rsidRPr="002A06C5" w:rsidP="007C059D">
            <w:pPr>
              <w:pStyle w:val="Default"/>
              <w:spacing w:line="276" w:lineRule="auto"/>
              <w:ind w:left="284"/>
              <w:jc w:val="both"/>
              <w:rPr>
                <w:rFonts w:asciiTheme="minorHAnsi" w:hAnsiTheme="minorHAnsi"/>
                <w:i/>
                <w:sz w:val="22"/>
                <w:szCs w:val="22"/>
              </w:rPr>
            </w:pPr>
            <w:r w:rsidRPr="002A06C5">
              <w:rPr>
                <w:rFonts w:asciiTheme="minorHAnsi" w:hAnsiTheme="minorHAnsi"/>
                <w:b/>
                <w:i/>
                <w:sz w:val="22"/>
                <w:szCs w:val="22"/>
              </w:rPr>
              <w:t>Parágrafo único.</w:t>
            </w:r>
            <w:r w:rsidRPr="002A06C5">
              <w:rPr>
                <w:rFonts w:asciiTheme="minorHAnsi" w:hAnsiTheme="minorHAnsi"/>
                <w:i/>
                <w:sz w:val="22"/>
                <w:szCs w:val="22"/>
              </w:rPr>
              <w:t xml:space="preserve"> É de responsabilidade da DAEV S.A. a restituição integral de todos os valores mencionados no caput, acrescidos de quaisquer outras despesas que forem necessárias, independentemente de receberem complementação, e que serão suportadas pela Prefeitura.</w:t>
            </w:r>
          </w:p>
          <w:p w:rsidR="002A06C5" w:rsidP="007C059D">
            <w:pPr>
              <w:pStyle w:val="Default"/>
              <w:spacing w:line="276" w:lineRule="auto"/>
              <w:ind w:left="284"/>
              <w:jc w:val="both"/>
              <w:rPr>
                <w:rFonts w:asciiTheme="minorHAnsi" w:hAnsiTheme="minorHAnsi"/>
                <w:i/>
                <w:sz w:val="22"/>
                <w:szCs w:val="22"/>
              </w:rPr>
            </w:pPr>
            <w:r w:rsidRPr="002A06C5">
              <w:rPr>
                <w:rFonts w:asciiTheme="minorHAnsi" w:hAnsiTheme="minorHAnsi"/>
                <w:i/>
                <w:sz w:val="22"/>
                <w:szCs w:val="22"/>
              </w:rPr>
              <w:t xml:space="preserve">(…) </w:t>
            </w:r>
          </w:p>
          <w:p w:rsidR="002A06C5" w:rsidRPr="002A06C5" w:rsidP="007C059D">
            <w:pPr>
              <w:pStyle w:val="Default"/>
              <w:spacing w:line="276" w:lineRule="auto"/>
              <w:ind w:left="284"/>
              <w:jc w:val="both"/>
              <w:rPr>
                <w:rFonts w:asciiTheme="minorHAnsi" w:hAnsiTheme="minorHAnsi"/>
                <w:i/>
                <w:sz w:val="22"/>
                <w:szCs w:val="22"/>
              </w:rPr>
            </w:pPr>
          </w:p>
          <w:p w:rsidR="002A06C5" w:rsidRPr="002A06C5" w:rsidP="007C059D">
            <w:pPr>
              <w:pStyle w:val="Default"/>
              <w:spacing w:line="276" w:lineRule="auto"/>
              <w:ind w:left="284"/>
              <w:jc w:val="both"/>
              <w:rPr>
                <w:rFonts w:asciiTheme="minorHAnsi" w:hAnsiTheme="minorHAnsi"/>
                <w:i/>
                <w:sz w:val="22"/>
                <w:szCs w:val="22"/>
              </w:rPr>
            </w:pPr>
            <w:r w:rsidRPr="002A06C5">
              <w:rPr>
                <w:rFonts w:asciiTheme="minorHAnsi" w:hAnsiTheme="minorHAnsi"/>
                <w:b/>
                <w:i/>
                <w:sz w:val="22"/>
                <w:szCs w:val="22"/>
              </w:rPr>
              <w:t>Art. 13.</w:t>
            </w:r>
            <w:r w:rsidRPr="002A06C5">
              <w:rPr>
                <w:rFonts w:asciiTheme="minorHAnsi" w:hAnsiTheme="minorHAnsi"/>
                <w:i/>
                <w:sz w:val="22"/>
                <w:szCs w:val="22"/>
              </w:rPr>
              <w:t xml:space="preserve"> O Poder Executivo Municipal fica autorizado a designar os servidores do quadro especial, por meio de portaria, em quaisquer das Secretarias Municipais, desde que atenda às necessidades e ao interesse público, respeitando-se as atribuições específicas e a formação profissional dos servidores que não optarem por permanecer na DAEV S.A..</w:t>
            </w:r>
          </w:p>
        </w:tc>
      </w:tr>
    </w:tbl>
    <w:p w:rsidR="007C059D" w:rsidP="00053466">
      <w:pPr>
        <w:spacing w:after="120" w:line="360" w:lineRule="auto"/>
        <w:ind w:firstLine="1701"/>
        <w:jc w:val="both"/>
        <w:rPr>
          <w:rFonts w:cstheme="minorHAnsi"/>
          <w:i/>
          <w:sz w:val="24"/>
          <w:szCs w:val="24"/>
        </w:rPr>
      </w:pPr>
    </w:p>
    <w:p w:rsidR="00C65153" w:rsidRPr="006405CE" w:rsidP="00053466">
      <w:pPr>
        <w:spacing w:after="120" w:line="360" w:lineRule="auto"/>
        <w:ind w:firstLine="1701"/>
        <w:jc w:val="both"/>
        <w:rPr>
          <w:rFonts w:cstheme="minorHAnsi"/>
          <w:sz w:val="24"/>
          <w:szCs w:val="24"/>
        </w:rPr>
      </w:pPr>
      <w:r w:rsidRPr="006405CE">
        <w:rPr>
          <w:rFonts w:cstheme="minorHAnsi"/>
          <w:i/>
          <w:sz w:val="24"/>
          <w:szCs w:val="24"/>
        </w:rPr>
        <w:t>Ab initio</w:t>
      </w:r>
      <w:r w:rsidRPr="006405CE">
        <w:rPr>
          <w:rFonts w:cstheme="minorHAnsi"/>
          <w:sz w:val="24"/>
          <w:szCs w:val="24"/>
        </w:rPr>
        <w:t>, cumpre destacar a competência regimental</w:t>
      </w:r>
      <w:r w:rsidRPr="006405CE" w:rsidR="00973E66">
        <w:rPr>
          <w:rFonts w:cstheme="minorHAnsi"/>
          <w:sz w:val="24"/>
          <w:szCs w:val="24"/>
        </w:rPr>
        <w:t xml:space="preserve"> da </w:t>
      </w:r>
      <w:r w:rsidRPr="006405CE">
        <w:rPr>
          <w:rFonts w:cstheme="minorHAnsi"/>
          <w:sz w:val="24"/>
          <w:szCs w:val="24"/>
        </w:rPr>
        <w:t>Comissão de Justiça e Redação</w:t>
      </w:r>
      <w:r w:rsidR="004738DA">
        <w:rPr>
          <w:rFonts w:cstheme="minorHAnsi"/>
          <w:sz w:val="24"/>
          <w:szCs w:val="24"/>
        </w:rPr>
        <w:t xml:space="preserve"> </w:t>
      </w:r>
      <w:r w:rsidRPr="006405CE">
        <w:rPr>
          <w:rFonts w:cstheme="minorHAnsi"/>
          <w:sz w:val="24"/>
          <w:szCs w:val="24"/>
        </w:rPr>
        <w:t>estabelecida no artigo 38.</w:t>
      </w:r>
      <w:r>
        <w:rPr>
          <w:rStyle w:val="FootnoteReference"/>
          <w:rFonts w:cstheme="minorHAnsi"/>
          <w:sz w:val="24"/>
          <w:szCs w:val="24"/>
        </w:rPr>
        <w:footnoteReference w:id="2"/>
      </w:r>
    </w:p>
    <w:p w:rsidR="00C65153" w:rsidRPr="004738DA" w:rsidP="00055A36">
      <w:pPr>
        <w:spacing w:after="120" w:line="360" w:lineRule="auto"/>
        <w:ind w:firstLine="1701"/>
        <w:jc w:val="both"/>
        <w:rPr>
          <w:rFonts w:cstheme="minorHAnsi"/>
          <w:sz w:val="24"/>
          <w:szCs w:val="24"/>
        </w:rPr>
      </w:pPr>
      <w:r w:rsidRPr="004738DA">
        <w:rPr>
          <w:rFonts w:cstheme="minorHAnsi"/>
          <w:sz w:val="24"/>
          <w:szCs w:val="24"/>
        </w:rPr>
        <w:t>Outrossim, ressalta-se que a opinião jurídica exarada nes</w:t>
      </w:r>
      <w:r w:rsidRPr="004738DA" w:rsidR="00B20851">
        <w:rPr>
          <w:rFonts w:cstheme="minorHAnsi"/>
          <w:sz w:val="24"/>
          <w:szCs w:val="24"/>
        </w:rPr>
        <w:t>s</w:t>
      </w:r>
      <w:r w:rsidRPr="004738DA">
        <w:rPr>
          <w:rFonts w:cstheme="minorHAnsi"/>
          <w:sz w:val="24"/>
          <w:szCs w:val="24"/>
        </w:rPr>
        <w:t>e parecer não tem força vinculante, sendo meramente opinativo</w:t>
      </w:r>
      <w:r>
        <w:rPr>
          <w:rStyle w:val="FootnoteReference"/>
          <w:rFonts w:cstheme="minorHAnsi"/>
          <w:sz w:val="24"/>
          <w:szCs w:val="24"/>
        </w:rPr>
        <w:footnoteReference w:id="3"/>
      </w:r>
      <w:r w:rsidRPr="004738DA">
        <w:rPr>
          <w:rFonts w:cstheme="minorHAnsi"/>
          <w:sz w:val="24"/>
          <w:szCs w:val="24"/>
        </w:rPr>
        <w:t xml:space="preserve"> não fundamentando decisão proferida pelas Comissões e/ou nobres vereadores.</w:t>
      </w:r>
      <w:r w:rsidRPr="004738DA" w:rsidR="004738DA">
        <w:rPr>
          <w:rFonts w:cstheme="minorHAnsi"/>
          <w:sz w:val="24"/>
          <w:szCs w:val="24"/>
        </w:rPr>
        <w:t xml:space="preserve"> </w:t>
      </w:r>
    </w:p>
    <w:p w:rsidR="00AE0CD8" w:rsidP="00AE0CD8">
      <w:pPr>
        <w:pStyle w:val="Default"/>
        <w:spacing w:after="240" w:line="360" w:lineRule="auto"/>
        <w:ind w:firstLine="1701"/>
        <w:jc w:val="both"/>
        <w:rPr>
          <w:rFonts w:asciiTheme="minorHAnsi" w:hAnsiTheme="minorHAnsi" w:cstheme="minorHAnsi"/>
          <w:color w:val="auto"/>
        </w:rPr>
      </w:pPr>
      <w:r w:rsidRPr="006405CE">
        <w:rPr>
          <w:rFonts w:asciiTheme="minorHAnsi" w:hAnsiTheme="minorHAnsi" w:cstheme="minorHAnsi"/>
          <w:color w:val="auto"/>
        </w:rPr>
        <w:t>Considerando-se o</w:t>
      </w:r>
      <w:r w:rsidRPr="006405CE" w:rsidR="00F154E2">
        <w:rPr>
          <w:rFonts w:asciiTheme="minorHAnsi" w:hAnsiTheme="minorHAnsi" w:cstheme="minorHAnsi"/>
          <w:color w:val="auto"/>
        </w:rPr>
        <w:t>s</w:t>
      </w:r>
      <w:r w:rsidRPr="006405CE" w:rsidR="00A32BE6">
        <w:rPr>
          <w:rFonts w:asciiTheme="minorHAnsi" w:hAnsiTheme="minorHAnsi" w:cstheme="minorHAnsi"/>
          <w:color w:val="auto"/>
        </w:rPr>
        <w:t xml:space="preserve"> aspecto</w:t>
      </w:r>
      <w:r w:rsidRPr="006405CE" w:rsidR="00F154E2">
        <w:rPr>
          <w:rFonts w:asciiTheme="minorHAnsi" w:hAnsiTheme="minorHAnsi" w:cstheme="minorHAnsi"/>
          <w:color w:val="auto"/>
        </w:rPr>
        <w:t>s</w:t>
      </w:r>
      <w:r w:rsidRPr="006405CE" w:rsidR="00A32BE6">
        <w:rPr>
          <w:rFonts w:asciiTheme="minorHAnsi" w:hAnsiTheme="minorHAnsi" w:cstheme="minorHAnsi"/>
          <w:color w:val="auto"/>
        </w:rPr>
        <w:t xml:space="preserve"> constitucional, legal e</w:t>
      </w:r>
      <w:r w:rsidRPr="006405CE">
        <w:rPr>
          <w:rFonts w:asciiTheme="minorHAnsi" w:hAnsiTheme="minorHAnsi" w:cstheme="minorHAnsi"/>
          <w:color w:val="auto"/>
        </w:rPr>
        <w:t xml:space="preserve"> jurídico, passa-se </w:t>
      </w:r>
      <w:r w:rsidRPr="006405CE" w:rsidR="002D1F88">
        <w:rPr>
          <w:rFonts w:asciiTheme="minorHAnsi" w:hAnsiTheme="minorHAnsi" w:cstheme="minorHAnsi"/>
          <w:color w:val="auto"/>
        </w:rPr>
        <w:t>a</w:t>
      </w:r>
      <w:r w:rsidR="00175485">
        <w:rPr>
          <w:rFonts w:asciiTheme="minorHAnsi" w:hAnsiTheme="minorHAnsi" w:cstheme="minorHAnsi"/>
          <w:color w:val="auto"/>
        </w:rPr>
        <w:t xml:space="preserve"> </w:t>
      </w:r>
      <w:r w:rsidRPr="006405CE">
        <w:rPr>
          <w:rFonts w:asciiTheme="minorHAnsi" w:hAnsiTheme="minorHAnsi" w:cstheme="minorHAnsi"/>
          <w:b/>
          <w:color w:val="auto"/>
        </w:rPr>
        <w:t>análise técnica</w:t>
      </w:r>
      <w:r w:rsidRPr="006405CE">
        <w:rPr>
          <w:rFonts w:asciiTheme="minorHAnsi" w:hAnsiTheme="minorHAnsi" w:cstheme="minorHAnsi"/>
          <w:color w:val="auto"/>
        </w:rPr>
        <w:t xml:space="preserve"> do projeto. </w:t>
      </w:r>
    </w:p>
    <w:p w:rsidR="00AE0CD8" w:rsidRPr="00AE0CD8" w:rsidP="00AE0CD8">
      <w:pPr>
        <w:pStyle w:val="Default"/>
        <w:spacing w:after="240" w:line="360" w:lineRule="auto"/>
        <w:ind w:firstLine="1701"/>
        <w:jc w:val="both"/>
        <w:rPr>
          <w:rFonts w:asciiTheme="minorHAnsi" w:hAnsiTheme="minorHAnsi" w:cstheme="minorHAnsi"/>
          <w:color w:val="auto"/>
        </w:rPr>
      </w:pPr>
      <w:r w:rsidRPr="00AE0CD8">
        <w:rPr>
          <w:rFonts w:asciiTheme="minorHAnsi" w:hAnsiTheme="minorHAnsi" w:cstheme="minorHAnsi"/>
          <w:color w:val="auto"/>
        </w:rPr>
        <w:t>No que tange aos projetos de emendas o Regimento Interno desta Casa de Leis assim estabelece:</w:t>
      </w:r>
    </w:p>
    <w:p w:rsidR="00AE0CD8" w:rsidRPr="001C49E1" w:rsidP="00AE0CD8">
      <w:pPr>
        <w:autoSpaceDE w:val="0"/>
        <w:autoSpaceDN w:val="0"/>
        <w:adjustRightInd w:val="0"/>
        <w:spacing w:after="120" w:line="240" w:lineRule="auto"/>
        <w:ind w:left="2835"/>
        <w:jc w:val="both"/>
        <w:rPr>
          <w:rFonts w:cstheme="minorHAnsi"/>
          <w:i/>
          <w:u w:val="single"/>
        </w:rPr>
      </w:pPr>
      <w:r w:rsidRPr="001C49E1">
        <w:rPr>
          <w:rFonts w:cstheme="minorHAnsi"/>
          <w:i/>
        </w:rPr>
        <w:t xml:space="preserve">Art. 140. </w:t>
      </w:r>
      <w:r w:rsidRPr="001C49E1">
        <w:rPr>
          <w:rFonts w:cstheme="minorHAnsi"/>
          <w:i/>
          <w:u w:val="single"/>
        </w:rPr>
        <w:t xml:space="preserve">Emenda é a correção apresentada a um dispositivo de projeto de lei ou de resolução. </w:t>
      </w:r>
    </w:p>
    <w:p w:rsidR="00AE0CD8" w:rsidRPr="0086490C" w:rsidP="00AE0CD8">
      <w:pPr>
        <w:autoSpaceDE w:val="0"/>
        <w:autoSpaceDN w:val="0"/>
        <w:adjustRightInd w:val="0"/>
        <w:spacing w:after="120" w:line="240" w:lineRule="auto"/>
        <w:ind w:left="2835"/>
        <w:jc w:val="both"/>
        <w:rPr>
          <w:rFonts w:cstheme="minorHAnsi"/>
          <w:b/>
          <w:i/>
        </w:rPr>
      </w:pPr>
      <w:r w:rsidRPr="008D5AFC">
        <w:rPr>
          <w:rFonts w:cstheme="minorHAnsi"/>
          <w:i/>
        </w:rPr>
        <w:t>§ 1º. Emenda supressiva é a que manda suprimir, em parte ou no todo, o artigo do projeto</w:t>
      </w:r>
      <w:r w:rsidRPr="0086490C">
        <w:rPr>
          <w:rFonts w:cstheme="minorHAnsi"/>
          <w:b/>
          <w:i/>
        </w:rPr>
        <w:t xml:space="preserve">. </w:t>
      </w:r>
    </w:p>
    <w:p w:rsidR="00AE0CD8" w:rsidRPr="001C49E1" w:rsidP="00AE0CD8">
      <w:pPr>
        <w:autoSpaceDE w:val="0"/>
        <w:autoSpaceDN w:val="0"/>
        <w:adjustRightInd w:val="0"/>
        <w:spacing w:after="120" w:line="240" w:lineRule="auto"/>
        <w:ind w:left="2835"/>
        <w:jc w:val="both"/>
        <w:rPr>
          <w:rFonts w:cstheme="minorHAnsi"/>
          <w:i/>
        </w:rPr>
      </w:pPr>
      <w:r w:rsidRPr="001C49E1">
        <w:rPr>
          <w:rFonts w:cstheme="minorHAnsi"/>
          <w:i/>
        </w:rPr>
        <w:t xml:space="preserve">§ 2º. Emenda substitutiva é a que deve ser colocada no lugar do artigo. </w:t>
      </w:r>
    </w:p>
    <w:p w:rsidR="00AE0CD8" w:rsidRPr="00B24A7E" w:rsidP="00AE0CD8">
      <w:pPr>
        <w:autoSpaceDE w:val="0"/>
        <w:autoSpaceDN w:val="0"/>
        <w:adjustRightInd w:val="0"/>
        <w:spacing w:after="120" w:line="240" w:lineRule="auto"/>
        <w:ind w:left="2835"/>
        <w:jc w:val="both"/>
        <w:rPr>
          <w:rFonts w:cstheme="minorHAnsi"/>
          <w:b/>
          <w:i/>
        </w:rPr>
      </w:pPr>
      <w:r w:rsidRPr="00B24A7E">
        <w:rPr>
          <w:rFonts w:cstheme="minorHAnsi"/>
          <w:b/>
          <w:i/>
        </w:rPr>
        <w:t xml:space="preserve">§ 3º. Emenda aditiva é a que deve ser acrescentada aos termos do artigo. </w:t>
      </w:r>
    </w:p>
    <w:p w:rsidR="00AE0CD8" w:rsidRPr="0019790A" w:rsidP="00AE0CD8">
      <w:pPr>
        <w:autoSpaceDE w:val="0"/>
        <w:autoSpaceDN w:val="0"/>
        <w:adjustRightInd w:val="0"/>
        <w:spacing w:after="120" w:line="240" w:lineRule="auto"/>
        <w:ind w:left="2835"/>
        <w:jc w:val="both"/>
        <w:rPr>
          <w:rFonts w:cstheme="minorHAnsi"/>
          <w:b/>
          <w:i/>
        </w:rPr>
      </w:pPr>
      <w:r w:rsidRPr="0019790A">
        <w:rPr>
          <w:rFonts w:cstheme="minorHAnsi"/>
          <w:b/>
          <w:i/>
        </w:rPr>
        <w:t xml:space="preserve">§ 4º. Emenda modificativa é a que se refere apenas à redação do artigo, sem alterar a sua substância. </w:t>
      </w:r>
    </w:p>
    <w:p w:rsidR="00AE0CD8" w:rsidRPr="001C49E1" w:rsidP="00AE0CD8">
      <w:pPr>
        <w:autoSpaceDE w:val="0"/>
        <w:autoSpaceDN w:val="0"/>
        <w:adjustRightInd w:val="0"/>
        <w:spacing w:after="120" w:line="240" w:lineRule="auto"/>
        <w:ind w:left="2835"/>
        <w:jc w:val="both"/>
        <w:rPr>
          <w:rFonts w:cstheme="minorHAnsi"/>
          <w:i/>
        </w:rPr>
      </w:pPr>
      <w:r w:rsidRPr="001C49E1">
        <w:rPr>
          <w:rFonts w:cstheme="minorHAnsi"/>
          <w:i/>
        </w:rPr>
        <w:t xml:space="preserve">§ 5º. A emenda apresentada à outra emenda denomina-se subemenda. </w:t>
      </w:r>
    </w:p>
    <w:p w:rsidR="00AE0CD8" w:rsidRPr="001C49E1" w:rsidP="00AE0CD8">
      <w:pPr>
        <w:autoSpaceDE w:val="0"/>
        <w:autoSpaceDN w:val="0"/>
        <w:adjustRightInd w:val="0"/>
        <w:spacing w:after="120" w:line="240" w:lineRule="auto"/>
        <w:ind w:left="2835"/>
        <w:jc w:val="both"/>
        <w:rPr>
          <w:rFonts w:cstheme="minorHAnsi"/>
          <w:b/>
          <w:i/>
        </w:rPr>
      </w:pPr>
      <w:r w:rsidRPr="001C49E1">
        <w:rPr>
          <w:rFonts w:cstheme="minorHAnsi"/>
          <w:i/>
        </w:rPr>
        <w:t xml:space="preserve">Art. 141. </w:t>
      </w:r>
      <w:r w:rsidRPr="001C49E1">
        <w:rPr>
          <w:rFonts w:cstheme="minorHAnsi"/>
          <w:b/>
          <w:i/>
        </w:rPr>
        <w:t xml:space="preserve">Não serão aceitos substitutivos, emendas ou subemendas que não tenham relação direta ou imediata com a matéria da proposição principal. </w:t>
      </w:r>
    </w:p>
    <w:p w:rsidR="00AE0CD8" w:rsidRPr="001C49E1" w:rsidP="00AE0CD8">
      <w:pPr>
        <w:autoSpaceDE w:val="0"/>
        <w:autoSpaceDN w:val="0"/>
        <w:adjustRightInd w:val="0"/>
        <w:spacing w:after="120" w:line="240" w:lineRule="auto"/>
        <w:ind w:left="2835"/>
        <w:jc w:val="both"/>
        <w:rPr>
          <w:rFonts w:cstheme="minorHAnsi"/>
          <w:i/>
        </w:rPr>
      </w:pPr>
      <w:r w:rsidRPr="001C49E1">
        <w:rPr>
          <w:rFonts w:cstheme="minorHAnsi"/>
          <w:i/>
        </w:rPr>
        <w:t xml:space="preserve">§ 1º. O autor do projeto que receber substitutivo ou emenda estranhos ao seu objetivo terá o direito de reclamar contra a sua admissão, competindo ao Presidente decidir sobre a reclamação. </w:t>
      </w:r>
    </w:p>
    <w:p w:rsidR="00AE0CD8" w:rsidRPr="001C49E1" w:rsidP="00AE0CD8">
      <w:pPr>
        <w:autoSpaceDE w:val="0"/>
        <w:autoSpaceDN w:val="0"/>
        <w:adjustRightInd w:val="0"/>
        <w:spacing w:after="120" w:line="240" w:lineRule="auto"/>
        <w:ind w:left="2835"/>
        <w:jc w:val="both"/>
        <w:rPr>
          <w:rFonts w:cstheme="minorHAnsi"/>
          <w:i/>
        </w:rPr>
      </w:pPr>
      <w:r w:rsidRPr="001C49E1">
        <w:rPr>
          <w:rFonts w:cstheme="minorHAnsi"/>
          <w:i/>
        </w:rPr>
        <w:t>§ 2º. Da decisão do Presidente caberá recurso ao Plenário, a ser proposto pelo autor do projeto ou do substitutivo ou emenda.</w:t>
      </w:r>
    </w:p>
    <w:p w:rsidR="00AE0CD8" w:rsidRPr="00196AA5" w:rsidP="00AE0CD8">
      <w:pPr>
        <w:autoSpaceDE w:val="0"/>
        <w:autoSpaceDN w:val="0"/>
        <w:adjustRightInd w:val="0"/>
        <w:spacing w:before="240" w:after="240" w:line="360" w:lineRule="auto"/>
        <w:ind w:firstLine="2268"/>
        <w:jc w:val="both"/>
        <w:rPr>
          <w:rFonts w:cstheme="minorHAnsi"/>
          <w:sz w:val="4"/>
          <w:szCs w:val="4"/>
        </w:rPr>
      </w:pPr>
    </w:p>
    <w:p w:rsidR="00B01745" w:rsidP="00B01745">
      <w:pPr>
        <w:pStyle w:val="Default"/>
        <w:spacing w:after="240" w:line="360" w:lineRule="auto"/>
        <w:ind w:firstLine="1701"/>
        <w:jc w:val="both"/>
        <w:rPr>
          <w:rFonts w:asciiTheme="minorHAnsi" w:hAnsiTheme="minorHAnsi" w:cstheme="minorHAnsi"/>
        </w:rPr>
      </w:pPr>
      <w:r>
        <w:rPr>
          <w:rFonts w:asciiTheme="minorHAnsi" w:hAnsiTheme="minorHAnsi" w:cstheme="minorHAnsi"/>
        </w:rPr>
        <w:t xml:space="preserve">Destarte, verifica-se que o projeto de emenda atende aos dispositivos do Regimento Interno da Câmara, não havendo óbice regimental na sua tramitação e </w:t>
      </w:r>
      <w:r>
        <w:rPr>
          <w:rFonts w:asciiTheme="minorHAnsi" w:hAnsiTheme="minorHAnsi" w:cstheme="minorHAnsi"/>
          <w:color w:val="auto"/>
        </w:rPr>
        <w:t xml:space="preserve">quanto à matéria </w:t>
      </w:r>
      <w:r w:rsidRPr="008C1D87">
        <w:rPr>
          <w:rFonts w:asciiTheme="minorHAnsi" w:hAnsiTheme="minorHAnsi" w:cstheme="minorHAnsi"/>
          <w:color w:val="auto"/>
        </w:rPr>
        <w:t xml:space="preserve">reiteramos Parecer Jurídico nº </w:t>
      </w:r>
      <w:r w:rsidRPr="008C1D87" w:rsidR="008C1D87">
        <w:rPr>
          <w:rFonts w:asciiTheme="minorHAnsi" w:hAnsiTheme="minorHAnsi" w:cstheme="minorHAnsi"/>
          <w:color w:val="auto"/>
        </w:rPr>
        <w:t>234</w:t>
      </w:r>
      <w:r w:rsidRPr="008C1D87">
        <w:rPr>
          <w:rFonts w:asciiTheme="minorHAnsi" w:hAnsiTheme="minorHAnsi" w:cstheme="minorHAnsi"/>
          <w:color w:val="auto"/>
        </w:rPr>
        <w:t xml:space="preserve">/2023, </w:t>
      </w:r>
      <w:r>
        <w:rPr>
          <w:rFonts w:asciiTheme="minorHAnsi" w:hAnsiTheme="minorHAnsi" w:cstheme="minorHAnsi"/>
          <w:color w:val="auto"/>
        </w:rPr>
        <w:t>atinente ao projeto principal.</w:t>
      </w:r>
      <w:r>
        <w:rPr>
          <w:rFonts w:ascii="Calibri" w:hAnsi="Calibri" w:cs="Calibri"/>
          <w:color w:val="auto"/>
        </w:rPr>
        <w:t xml:space="preserve"> </w:t>
      </w:r>
      <w:r>
        <w:rPr>
          <w:rFonts w:asciiTheme="minorHAnsi" w:hAnsiTheme="minorHAnsi" w:cstheme="minorHAnsi"/>
        </w:rPr>
        <w:t>Sobre o mérito, manifestar-se-á o Plenário de forma soberana.</w:t>
      </w:r>
    </w:p>
    <w:p w:rsidR="001900C3" w:rsidRPr="006405CE" w:rsidP="001900C3">
      <w:pPr>
        <w:spacing w:after="240" w:line="360" w:lineRule="auto"/>
        <w:ind w:firstLine="1701"/>
        <w:jc w:val="both"/>
        <w:rPr>
          <w:rFonts w:cstheme="minorHAnsi"/>
          <w:sz w:val="24"/>
          <w:szCs w:val="24"/>
        </w:rPr>
      </w:pPr>
      <w:r w:rsidRPr="006405CE">
        <w:rPr>
          <w:rFonts w:cstheme="minorHAnsi"/>
          <w:sz w:val="24"/>
          <w:szCs w:val="24"/>
        </w:rPr>
        <w:t>É o parecer</w:t>
      </w:r>
      <w:r w:rsidRPr="006405CE" w:rsidR="00C911DC">
        <w:rPr>
          <w:rFonts w:cstheme="minorHAnsi"/>
          <w:sz w:val="24"/>
          <w:szCs w:val="24"/>
        </w:rPr>
        <w:t>.</w:t>
      </w:r>
    </w:p>
    <w:p w:rsidR="00623AD7" w:rsidP="001900C3">
      <w:pPr>
        <w:spacing w:after="240" w:line="360" w:lineRule="auto"/>
        <w:ind w:firstLine="1701"/>
        <w:jc w:val="both"/>
        <w:rPr>
          <w:rFonts w:cstheme="minorHAnsi"/>
          <w:sz w:val="24"/>
          <w:szCs w:val="24"/>
        </w:rPr>
      </w:pPr>
      <w:r w:rsidRPr="006405CE">
        <w:rPr>
          <w:rFonts w:cstheme="minorHAnsi"/>
          <w:sz w:val="24"/>
          <w:szCs w:val="24"/>
        </w:rPr>
        <w:t>Procuradoria</w:t>
      </w:r>
      <w:r w:rsidRPr="006405CE">
        <w:rPr>
          <w:rFonts w:cstheme="minorHAnsi"/>
          <w:sz w:val="24"/>
          <w:szCs w:val="24"/>
        </w:rPr>
        <w:t xml:space="preserve">, aos </w:t>
      </w:r>
      <w:r w:rsidR="007C059D">
        <w:rPr>
          <w:rFonts w:cstheme="minorHAnsi"/>
          <w:sz w:val="24"/>
          <w:szCs w:val="24"/>
        </w:rPr>
        <w:t>2</w:t>
      </w:r>
      <w:r w:rsidR="008C1D87">
        <w:rPr>
          <w:rFonts w:cstheme="minorHAnsi"/>
          <w:sz w:val="24"/>
          <w:szCs w:val="24"/>
        </w:rPr>
        <w:t>2</w:t>
      </w:r>
      <w:bookmarkStart w:id="0" w:name="_GoBack"/>
      <w:bookmarkEnd w:id="0"/>
      <w:r w:rsidR="00AB285F">
        <w:rPr>
          <w:rFonts w:cstheme="minorHAnsi"/>
          <w:sz w:val="24"/>
          <w:szCs w:val="24"/>
        </w:rPr>
        <w:t xml:space="preserve"> </w:t>
      </w:r>
      <w:r w:rsidRPr="006405CE">
        <w:rPr>
          <w:rFonts w:cstheme="minorHAnsi"/>
          <w:sz w:val="24"/>
          <w:szCs w:val="24"/>
        </w:rPr>
        <w:t xml:space="preserve">de </w:t>
      </w:r>
      <w:r w:rsidR="00D25C04">
        <w:rPr>
          <w:rFonts w:cstheme="minorHAnsi"/>
          <w:sz w:val="24"/>
          <w:szCs w:val="24"/>
        </w:rPr>
        <w:t>junho</w:t>
      </w:r>
      <w:r w:rsidRPr="006405CE">
        <w:rPr>
          <w:rFonts w:cstheme="minorHAnsi"/>
          <w:sz w:val="24"/>
          <w:szCs w:val="24"/>
        </w:rPr>
        <w:t xml:space="preserve"> de 20</w:t>
      </w:r>
      <w:r w:rsidRPr="006405CE" w:rsidR="00F66849">
        <w:rPr>
          <w:rFonts w:cstheme="minorHAnsi"/>
          <w:sz w:val="24"/>
          <w:szCs w:val="24"/>
        </w:rPr>
        <w:t>2</w:t>
      </w:r>
      <w:r w:rsidR="00597DBB">
        <w:rPr>
          <w:rFonts w:cstheme="minorHAnsi"/>
          <w:sz w:val="24"/>
          <w:szCs w:val="24"/>
        </w:rPr>
        <w:t>3</w:t>
      </w:r>
      <w:r w:rsidRPr="006405CE">
        <w:rPr>
          <w:rFonts w:cstheme="minorHAnsi"/>
          <w:sz w:val="24"/>
          <w:szCs w:val="24"/>
        </w:rPr>
        <w:t>.</w:t>
      </w:r>
    </w:p>
    <w:p w:rsidR="00862797" w:rsidRPr="006405CE" w:rsidP="001900C3">
      <w:pPr>
        <w:spacing w:after="240" w:line="360" w:lineRule="auto"/>
        <w:ind w:firstLine="1701"/>
        <w:jc w:val="both"/>
        <w:rPr>
          <w:rFonts w:cstheme="minorHAnsi"/>
          <w:sz w:val="24"/>
          <w:szCs w:val="24"/>
        </w:rPr>
      </w:pPr>
    </w:p>
    <w:p w:rsidR="001A36BC" w:rsidRPr="005939BC" w:rsidP="001A36BC">
      <w:pPr>
        <w:tabs>
          <w:tab w:val="left" w:pos="2880"/>
        </w:tabs>
        <w:spacing w:after="0" w:line="240" w:lineRule="auto"/>
        <w:rPr>
          <w:rFonts w:cstheme="minorHAnsi"/>
          <w:b/>
          <w:sz w:val="24"/>
          <w:szCs w:val="24"/>
        </w:rPr>
      </w:pPr>
      <w:r w:rsidRPr="005939BC">
        <w:rPr>
          <w:rFonts w:cstheme="minorHAnsi"/>
          <w:b/>
          <w:sz w:val="24"/>
          <w:szCs w:val="24"/>
        </w:rPr>
        <w:t>Rosemeire de Souza Cardoso Barbosa</w:t>
      </w:r>
      <w:r>
        <w:rPr>
          <w:rFonts w:cstheme="minorHAnsi"/>
          <w:b/>
          <w:sz w:val="24"/>
          <w:szCs w:val="24"/>
        </w:rPr>
        <w:t xml:space="preserve">                                 Tiago Fadel Malghosian</w:t>
      </w:r>
    </w:p>
    <w:p w:rsidR="001A36BC" w:rsidRPr="005939BC" w:rsidP="001A36BC">
      <w:pPr>
        <w:tabs>
          <w:tab w:val="left" w:pos="2880"/>
        </w:tabs>
        <w:spacing w:after="0" w:line="240" w:lineRule="auto"/>
        <w:jc w:val="center"/>
        <w:rPr>
          <w:rFonts w:cstheme="minorHAnsi"/>
          <w:b/>
          <w:sz w:val="24"/>
          <w:szCs w:val="24"/>
        </w:rPr>
      </w:pPr>
      <w:r w:rsidRPr="005939BC">
        <w:rPr>
          <w:rFonts w:cstheme="minorHAnsi"/>
          <w:b/>
          <w:sz w:val="24"/>
          <w:szCs w:val="24"/>
        </w:rPr>
        <w:t>Procuradora – OAB/SP 308.298</w:t>
      </w:r>
      <w:r>
        <w:rPr>
          <w:rFonts w:cstheme="minorHAnsi"/>
          <w:b/>
          <w:sz w:val="24"/>
          <w:szCs w:val="24"/>
        </w:rPr>
        <w:t xml:space="preserve">                               Procurador- OAB/SP 319.159</w:t>
      </w:r>
    </w:p>
    <w:p w:rsidR="001A36BC" w:rsidRPr="005939BC" w:rsidP="001A36BC">
      <w:pPr>
        <w:spacing w:after="0" w:line="240" w:lineRule="auto"/>
        <w:jc w:val="center"/>
      </w:pPr>
      <w:r>
        <w:rPr>
          <w:rFonts w:cstheme="minorHAnsi"/>
          <w:sz w:val="24"/>
          <w:szCs w:val="24"/>
        </w:rPr>
        <w:t xml:space="preserve">Assinatura eletrônica                                                 </w:t>
      </w:r>
      <w:r w:rsidRPr="005939BC">
        <w:rPr>
          <w:rFonts w:cstheme="minorHAnsi"/>
          <w:sz w:val="24"/>
          <w:szCs w:val="24"/>
        </w:rPr>
        <w:t xml:space="preserve">Assinatura </w:t>
      </w:r>
      <w:r>
        <w:rPr>
          <w:rFonts w:cstheme="minorHAnsi"/>
          <w:sz w:val="24"/>
          <w:szCs w:val="24"/>
        </w:rPr>
        <w:t>e</w:t>
      </w:r>
      <w:r w:rsidRPr="005939BC">
        <w:rPr>
          <w:rFonts w:cstheme="minorHAnsi"/>
          <w:sz w:val="24"/>
          <w:szCs w:val="24"/>
        </w:rPr>
        <w:t>letrônica</w:t>
      </w:r>
    </w:p>
    <w:p w:rsidR="001A36BC" w:rsidRPr="006405CE" w:rsidP="001A36BC">
      <w:pPr>
        <w:pStyle w:val="BodyText"/>
        <w:spacing w:after="0" w:line="360" w:lineRule="auto"/>
        <w:ind w:firstLine="1701"/>
        <w:rPr>
          <w:rFonts w:asciiTheme="minorHAnsi" w:hAnsiTheme="minorHAnsi" w:cstheme="minorHAnsi"/>
          <w:szCs w:val="24"/>
        </w:rPr>
      </w:pP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03012" w:rsidP="00CF4A3C">
            <w:pPr>
              <w:pStyle w:val="Footer"/>
              <w:jc w:val="right"/>
              <w:rPr>
                <w:sz w:val="18"/>
                <w:lang w:val="pt-PT"/>
              </w:rPr>
            </w:pPr>
            <w:r>
              <w:rPr>
                <w:sz w:val="18"/>
                <w:lang w:val="pt-PT"/>
              </w:rPr>
              <w:t>________________________________________________________________________________________</w:t>
            </w:r>
          </w:p>
          <w:p w:rsidR="00D03012" w:rsidP="003C2F5F">
            <w:pPr>
              <w:pStyle w:val="Footer"/>
              <w:ind w:right="-313"/>
              <w:jc w:val="center"/>
              <w:rPr>
                <w:sz w:val="18"/>
                <w:lang w:val="pt-PT"/>
              </w:rPr>
            </w:pPr>
            <w:r>
              <w:rPr>
                <w:sz w:val="18"/>
                <w:lang w:val="pt-PT"/>
              </w:rPr>
              <w:t>Rua Ângelo Antônio Schiavinato, 59, Residencial São Luis - Tel: (19) 3829.5310 - CEP: 13270-470</w:t>
            </w:r>
          </w:p>
          <w:p w:rsidR="00D03012" w:rsidP="003C2F5F">
            <w:pPr>
              <w:pStyle w:val="Footer"/>
              <w:ind w:left="-1985" w:right="-313"/>
              <w:jc w:val="center"/>
              <w:rPr>
                <w:sz w:val="18"/>
                <w:lang w:val="pt-PT"/>
              </w:rPr>
            </w:pPr>
            <w:r>
              <w:rPr>
                <w:sz w:val="18"/>
                <w:lang w:val="pt-PT"/>
              </w:rPr>
              <w:t>site: www.camaravalinhos.sp.gov.br</w:t>
            </w:r>
          </w:p>
          <w:p w:rsidR="00D03012" w:rsidP="003C2F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8C1D87">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8C1D87">
              <w:rPr>
                <w:b/>
                <w:bCs/>
                <w:noProof/>
                <w:sz w:val="18"/>
                <w:szCs w:val="18"/>
              </w:rPr>
              <w:t>4</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3012">
      <w:pPr>
        <w:spacing w:after="0" w:line="240" w:lineRule="auto"/>
      </w:pPr>
      <w:r>
        <w:separator/>
      </w:r>
    </w:p>
  </w:footnote>
  <w:footnote w:type="continuationSeparator" w:id="1">
    <w:p w:rsidR="00D03012">
      <w:pPr>
        <w:spacing w:after="0" w:line="240" w:lineRule="auto"/>
      </w:pPr>
      <w:r>
        <w:continuationSeparator/>
      </w:r>
    </w:p>
  </w:footnote>
  <w:footnote w:id="2">
    <w:p w:rsidR="00D03012" w:rsidRPr="00F154E2" w:rsidP="001B2556">
      <w:pPr>
        <w:pStyle w:val="FootnoteText"/>
        <w:jc w:val="both"/>
        <w:rPr>
          <w:sz w:val="18"/>
          <w:szCs w:val="18"/>
        </w:rPr>
      </w:pPr>
      <w:r w:rsidRPr="00F154E2">
        <w:rPr>
          <w:rStyle w:val="FootnoteReference"/>
          <w:sz w:val="18"/>
          <w:szCs w:val="18"/>
        </w:rPr>
        <w:footnoteRef/>
      </w:r>
      <w:r w:rsidRPr="00F154E2">
        <w:rPr>
          <w:sz w:val="18"/>
          <w:szCs w:val="18"/>
        </w:rPr>
        <w:t xml:space="preserve"> “</w:t>
      </w:r>
      <w:r w:rsidRPr="00F154E2">
        <w:rPr>
          <w:i/>
          <w:iCs/>
          <w:sz w:val="18"/>
          <w:szCs w:val="18"/>
        </w:rPr>
        <w:t>Art. 38. Compete à Comissão de Justiça e Redação manifestar-se sobre todos os assuntos entregues</w:t>
      </w:r>
      <w:r w:rsidR="00763CE3">
        <w:rPr>
          <w:i/>
          <w:iCs/>
          <w:sz w:val="18"/>
          <w:szCs w:val="18"/>
        </w:rPr>
        <w:t xml:space="preserve"> </w:t>
      </w:r>
      <w:r w:rsidRPr="00F154E2">
        <w:rPr>
          <w:i/>
          <w:iCs/>
          <w:sz w:val="18"/>
          <w:szCs w:val="18"/>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F154E2">
        <w:rPr>
          <w:sz w:val="18"/>
          <w:szCs w:val="18"/>
        </w:rPr>
        <w:t>.”</w:t>
      </w:r>
    </w:p>
  </w:footnote>
  <w:footnote w:id="3">
    <w:p w:rsidR="00724045" w:rsidRPr="006405CE" w:rsidP="00724045">
      <w:pPr>
        <w:pStyle w:val="Default"/>
        <w:spacing w:after="240"/>
        <w:jc w:val="both"/>
        <w:rPr>
          <w:rFonts w:asciiTheme="minorHAnsi" w:hAnsiTheme="minorHAnsi" w:cstheme="minorHAnsi"/>
          <w:i/>
          <w:color w:val="auto"/>
          <w:sz w:val="20"/>
          <w:szCs w:val="20"/>
        </w:rPr>
      </w:pPr>
      <w:r>
        <w:rPr>
          <w:rStyle w:val="FootnoteReference"/>
        </w:rPr>
        <w:footnoteRef/>
      </w:r>
      <w:r>
        <w:t xml:space="preserve"> </w:t>
      </w:r>
      <w:r w:rsidRPr="00724045">
        <w:rPr>
          <w:rFonts w:asciiTheme="minorHAnsi" w:eastAsiaTheme="minorHAnsi" w:hAnsiTheme="minorHAnsi" w:cstheme="minorBidi"/>
          <w:i/>
          <w:iCs/>
          <w:color w:val="auto"/>
          <w:sz w:val="18"/>
          <w:szCs w:val="18"/>
          <w:lang w:eastAsia="en-US"/>
        </w:rPr>
        <w:t>Nesse sentido é o entendimento do Supremo Tribunal Federal: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exoficio da lei. Na oportunidade do julgamento, porquanto envolvido na espécie simples parecer, ou seja, ato opinativo que poderia ser, ou não, considerado pelo administrador.” (Mandado de Segurança n° 24.584-1 - Distrito Federal - Relator: Min. Marco Aurélio de Mello – STF.)</w:t>
      </w:r>
      <w:r w:rsidRPr="006405CE">
        <w:rPr>
          <w:rFonts w:asciiTheme="minorHAnsi" w:hAnsiTheme="minorHAnsi" w:cstheme="minorHAnsi"/>
          <w:i/>
          <w:color w:val="auto"/>
          <w:sz w:val="20"/>
          <w:szCs w:val="20"/>
        </w:rPr>
        <w:t xml:space="preserve"> </w:t>
      </w:r>
    </w:p>
    <w:p w:rsidR="007240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012" w:rsidP="003C2F5F">
    <w:pPr>
      <w:pStyle w:val="Header"/>
      <w:jc w:val="center"/>
      <w:rPr>
        <w:b/>
        <w:sz w:val="26"/>
        <w:lang w:val="pt-PT"/>
      </w:rPr>
    </w:pPr>
  </w:p>
  <w:p w:rsidR="00D03012" w:rsidP="003C2F5F">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3012" w:rsidP="003C2F5F">
                          <w:r>
                            <w:rPr>
                              <w:noProof/>
                              <w:lang w:eastAsia="pt-BR"/>
                            </w:rPr>
                            <w:drawing>
                              <wp:inline distT="0" distB="0" distL="0" distR="0">
                                <wp:extent cx="876300" cy="850900"/>
                                <wp:effectExtent l="19050" t="0" r="0" b="0"/>
                                <wp:docPr id="151688000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1191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895298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03012" w:rsidP="003C2F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7043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8767497" r:id="rId4"/>
                    </w:object>
                  </w:p>
                </w:txbxContent>
              </v:textbox>
              <w10:wrap type="square"/>
            </v:shape>
          </w:pict>
        </mc:Fallback>
      </mc:AlternateContent>
    </w:r>
  </w:p>
  <w:p w:rsidR="00D03012" w:rsidP="003C2F5F">
    <w:pPr>
      <w:pStyle w:val="Header"/>
      <w:jc w:val="center"/>
      <w:rPr>
        <w:b/>
        <w:sz w:val="28"/>
        <w:lang w:val="pt-PT"/>
      </w:rPr>
    </w:pPr>
    <w:r>
      <w:rPr>
        <w:b/>
        <w:sz w:val="28"/>
        <w:lang w:val="pt-PT"/>
      </w:rPr>
      <w:t>CÂMARA MUNICIPAL DE VALINHOS</w:t>
    </w:r>
  </w:p>
  <w:p w:rsidR="00D03012" w:rsidP="003C2F5F">
    <w:pPr>
      <w:pStyle w:val="Header"/>
      <w:jc w:val="center"/>
      <w:rPr>
        <w:sz w:val="20"/>
        <w:lang w:val="pt-PT"/>
      </w:rPr>
    </w:pPr>
    <w:r>
      <w:rPr>
        <w:sz w:val="20"/>
        <w:lang w:val="pt-PT"/>
      </w:rPr>
      <w:t>ESTADO DE SÃO PAULO</w:t>
    </w:r>
  </w:p>
  <w:p w:rsidR="00D03012" w:rsidP="003C2F5F">
    <w:pPr>
      <w:pStyle w:val="Header"/>
    </w:pPr>
  </w:p>
  <w:p w:rsidR="00D03012" w:rsidP="003C2F5F">
    <w:pPr>
      <w:pStyle w:val="Header"/>
    </w:pPr>
  </w:p>
  <w:p w:rsidR="00D03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A541183"/>
    <w:multiLevelType w:val="hybridMultilevel"/>
    <w:tmpl w:val="353E09F0"/>
    <w:lvl w:ilvl="0">
      <w:start w:val="1"/>
      <w:numFmt w:val="bullet"/>
      <w:lvlText w:val=""/>
      <w:lvlJc w:val="left"/>
      <w:pPr>
        <w:ind w:left="2629"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DD6"/>
    <w:rsid w:val="00004354"/>
    <w:rsid w:val="00047E2E"/>
    <w:rsid w:val="00053466"/>
    <w:rsid w:val="00054297"/>
    <w:rsid w:val="00055A36"/>
    <w:rsid w:val="00055CC4"/>
    <w:rsid w:val="00055D2C"/>
    <w:rsid w:val="00057AD0"/>
    <w:rsid w:val="00060B2C"/>
    <w:rsid w:val="0006637E"/>
    <w:rsid w:val="000854D9"/>
    <w:rsid w:val="000863AF"/>
    <w:rsid w:val="00093998"/>
    <w:rsid w:val="000A1978"/>
    <w:rsid w:val="000A2B7F"/>
    <w:rsid w:val="000A7266"/>
    <w:rsid w:val="000B17B5"/>
    <w:rsid w:val="000B34F9"/>
    <w:rsid w:val="000C070B"/>
    <w:rsid w:val="000C28C9"/>
    <w:rsid w:val="000C4719"/>
    <w:rsid w:val="000D5873"/>
    <w:rsid w:val="000D62E2"/>
    <w:rsid w:val="000E0541"/>
    <w:rsid w:val="000E0DF9"/>
    <w:rsid w:val="000E24FC"/>
    <w:rsid w:val="000F53FD"/>
    <w:rsid w:val="000F7DF6"/>
    <w:rsid w:val="00100254"/>
    <w:rsid w:val="0010042C"/>
    <w:rsid w:val="00102110"/>
    <w:rsid w:val="00106ADB"/>
    <w:rsid w:val="001150B0"/>
    <w:rsid w:val="00116058"/>
    <w:rsid w:val="001166FA"/>
    <w:rsid w:val="0012397D"/>
    <w:rsid w:val="00130A14"/>
    <w:rsid w:val="00133B04"/>
    <w:rsid w:val="00133C76"/>
    <w:rsid w:val="00146235"/>
    <w:rsid w:val="00146B32"/>
    <w:rsid w:val="00150E74"/>
    <w:rsid w:val="00166B9A"/>
    <w:rsid w:val="00171311"/>
    <w:rsid w:val="00175485"/>
    <w:rsid w:val="001774F7"/>
    <w:rsid w:val="00186563"/>
    <w:rsid w:val="00186BFA"/>
    <w:rsid w:val="001900C3"/>
    <w:rsid w:val="00196AA5"/>
    <w:rsid w:val="0019790A"/>
    <w:rsid w:val="001A36BC"/>
    <w:rsid w:val="001B2556"/>
    <w:rsid w:val="001B380C"/>
    <w:rsid w:val="001B39B0"/>
    <w:rsid w:val="001C4948"/>
    <w:rsid w:val="001C49E1"/>
    <w:rsid w:val="001D010E"/>
    <w:rsid w:val="0020730E"/>
    <w:rsid w:val="0021594C"/>
    <w:rsid w:val="00253D01"/>
    <w:rsid w:val="00264F4E"/>
    <w:rsid w:val="00277FC6"/>
    <w:rsid w:val="00290799"/>
    <w:rsid w:val="0029742D"/>
    <w:rsid w:val="002A0294"/>
    <w:rsid w:val="002A06C5"/>
    <w:rsid w:val="002A0BF9"/>
    <w:rsid w:val="002B1B24"/>
    <w:rsid w:val="002B3EF9"/>
    <w:rsid w:val="002B6DD7"/>
    <w:rsid w:val="002C174B"/>
    <w:rsid w:val="002C4D6D"/>
    <w:rsid w:val="002D0400"/>
    <w:rsid w:val="002D1F88"/>
    <w:rsid w:val="002D6487"/>
    <w:rsid w:val="002E06DC"/>
    <w:rsid w:val="002E0B93"/>
    <w:rsid w:val="002F1549"/>
    <w:rsid w:val="002F5795"/>
    <w:rsid w:val="003128C1"/>
    <w:rsid w:val="003132A3"/>
    <w:rsid w:val="003210F0"/>
    <w:rsid w:val="00350F60"/>
    <w:rsid w:val="0037518E"/>
    <w:rsid w:val="00380583"/>
    <w:rsid w:val="003856D7"/>
    <w:rsid w:val="00391CD8"/>
    <w:rsid w:val="003A5BDC"/>
    <w:rsid w:val="003A6461"/>
    <w:rsid w:val="003B4ED0"/>
    <w:rsid w:val="003B55E5"/>
    <w:rsid w:val="003C2F5F"/>
    <w:rsid w:val="003C4DB0"/>
    <w:rsid w:val="003C6555"/>
    <w:rsid w:val="003D3D50"/>
    <w:rsid w:val="003D6EE3"/>
    <w:rsid w:val="003E371A"/>
    <w:rsid w:val="003F0920"/>
    <w:rsid w:val="003F610A"/>
    <w:rsid w:val="003F6ED2"/>
    <w:rsid w:val="0040409A"/>
    <w:rsid w:val="00407A33"/>
    <w:rsid w:val="00415C7A"/>
    <w:rsid w:val="00417261"/>
    <w:rsid w:val="00417BC0"/>
    <w:rsid w:val="00427BE6"/>
    <w:rsid w:val="0043016F"/>
    <w:rsid w:val="00433A4C"/>
    <w:rsid w:val="0045236F"/>
    <w:rsid w:val="00465FE0"/>
    <w:rsid w:val="004738DA"/>
    <w:rsid w:val="00483544"/>
    <w:rsid w:val="004A287A"/>
    <w:rsid w:val="004D6EED"/>
    <w:rsid w:val="00501000"/>
    <w:rsid w:val="005056F7"/>
    <w:rsid w:val="005101D9"/>
    <w:rsid w:val="00531B48"/>
    <w:rsid w:val="0054429B"/>
    <w:rsid w:val="00551B9D"/>
    <w:rsid w:val="00553C12"/>
    <w:rsid w:val="005649C7"/>
    <w:rsid w:val="005660DC"/>
    <w:rsid w:val="00572C26"/>
    <w:rsid w:val="0058062A"/>
    <w:rsid w:val="00582F11"/>
    <w:rsid w:val="00585C59"/>
    <w:rsid w:val="00591032"/>
    <w:rsid w:val="00593369"/>
    <w:rsid w:val="005939BC"/>
    <w:rsid w:val="00596241"/>
    <w:rsid w:val="00597DBB"/>
    <w:rsid w:val="005A1CB4"/>
    <w:rsid w:val="005B66AE"/>
    <w:rsid w:val="005C097C"/>
    <w:rsid w:val="005C3000"/>
    <w:rsid w:val="005E0BB6"/>
    <w:rsid w:val="005E2A7A"/>
    <w:rsid w:val="005F696D"/>
    <w:rsid w:val="00613C31"/>
    <w:rsid w:val="0061442B"/>
    <w:rsid w:val="00622D40"/>
    <w:rsid w:val="00623AD7"/>
    <w:rsid w:val="00625539"/>
    <w:rsid w:val="0063663D"/>
    <w:rsid w:val="006405CE"/>
    <w:rsid w:val="00644ED3"/>
    <w:rsid w:val="006464A4"/>
    <w:rsid w:val="006504F4"/>
    <w:rsid w:val="00650EA3"/>
    <w:rsid w:val="0065692D"/>
    <w:rsid w:val="00673842"/>
    <w:rsid w:val="0067562F"/>
    <w:rsid w:val="00686242"/>
    <w:rsid w:val="00687B41"/>
    <w:rsid w:val="006A10A0"/>
    <w:rsid w:val="006A1A17"/>
    <w:rsid w:val="006A5B5D"/>
    <w:rsid w:val="006B0996"/>
    <w:rsid w:val="006B1DD9"/>
    <w:rsid w:val="006D1203"/>
    <w:rsid w:val="006D2F36"/>
    <w:rsid w:val="006E00C4"/>
    <w:rsid w:val="006E069F"/>
    <w:rsid w:val="006E3BE4"/>
    <w:rsid w:val="006E43B0"/>
    <w:rsid w:val="006E4468"/>
    <w:rsid w:val="006E4F1C"/>
    <w:rsid w:val="006F0642"/>
    <w:rsid w:val="006F5D83"/>
    <w:rsid w:val="006F6EBB"/>
    <w:rsid w:val="0070570A"/>
    <w:rsid w:val="007111F6"/>
    <w:rsid w:val="0071405C"/>
    <w:rsid w:val="00724045"/>
    <w:rsid w:val="007277F2"/>
    <w:rsid w:val="0073426E"/>
    <w:rsid w:val="00742CBA"/>
    <w:rsid w:val="00743338"/>
    <w:rsid w:val="007445E7"/>
    <w:rsid w:val="007479A7"/>
    <w:rsid w:val="00753377"/>
    <w:rsid w:val="00763CE3"/>
    <w:rsid w:val="007711FB"/>
    <w:rsid w:val="00776B8E"/>
    <w:rsid w:val="0079319A"/>
    <w:rsid w:val="007A3E43"/>
    <w:rsid w:val="007C059D"/>
    <w:rsid w:val="007C7735"/>
    <w:rsid w:val="007D24E4"/>
    <w:rsid w:val="007D6467"/>
    <w:rsid w:val="007E1938"/>
    <w:rsid w:val="007E1F99"/>
    <w:rsid w:val="007E3525"/>
    <w:rsid w:val="007E684E"/>
    <w:rsid w:val="007E6D19"/>
    <w:rsid w:val="007E6E69"/>
    <w:rsid w:val="007F74E9"/>
    <w:rsid w:val="00805484"/>
    <w:rsid w:val="00815A68"/>
    <w:rsid w:val="00833548"/>
    <w:rsid w:val="00840756"/>
    <w:rsid w:val="00843AF6"/>
    <w:rsid w:val="00844F2A"/>
    <w:rsid w:val="0085120B"/>
    <w:rsid w:val="008549DB"/>
    <w:rsid w:val="00862797"/>
    <w:rsid w:val="0086490C"/>
    <w:rsid w:val="00866252"/>
    <w:rsid w:val="00867EC0"/>
    <w:rsid w:val="008706BC"/>
    <w:rsid w:val="008743BF"/>
    <w:rsid w:val="00880E5C"/>
    <w:rsid w:val="008973C1"/>
    <w:rsid w:val="008A49B2"/>
    <w:rsid w:val="008B446B"/>
    <w:rsid w:val="008B6D80"/>
    <w:rsid w:val="008C1D87"/>
    <w:rsid w:val="008C29F0"/>
    <w:rsid w:val="008C6F6B"/>
    <w:rsid w:val="008D48C2"/>
    <w:rsid w:val="008D545A"/>
    <w:rsid w:val="008D5AFC"/>
    <w:rsid w:val="008D67BD"/>
    <w:rsid w:val="008E20DD"/>
    <w:rsid w:val="008E7C91"/>
    <w:rsid w:val="008F1AFA"/>
    <w:rsid w:val="008F5FCA"/>
    <w:rsid w:val="00907BC1"/>
    <w:rsid w:val="0092151D"/>
    <w:rsid w:val="00924DE9"/>
    <w:rsid w:val="0094325E"/>
    <w:rsid w:val="009513F9"/>
    <w:rsid w:val="00955AD1"/>
    <w:rsid w:val="0097085A"/>
    <w:rsid w:val="0097182D"/>
    <w:rsid w:val="00973E66"/>
    <w:rsid w:val="00985CD8"/>
    <w:rsid w:val="00987EDC"/>
    <w:rsid w:val="00990D8F"/>
    <w:rsid w:val="00991BA0"/>
    <w:rsid w:val="00995E87"/>
    <w:rsid w:val="009A6ACD"/>
    <w:rsid w:val="009C736C"/>
    <w:rsid w:val="009D276A"/>
    <w:rsid w:val="009F0F77"/>
    <w:rsid w:val="009F1FC7"/>
    <w:rsid w:val="00A21575"/>
    <w:rsid w:val="00A32BE6"/>
    <w:rsid w:val="00A33922"/>
    <w:rsid w:val="00A369D9"/>
    <w:rsid w:val="00A44636"/>
    <w:rsid w:val="00A455A2"/>
    <w:rsid w:val="00A65EAF"/>
    <w:rsid w:val="00A7003F"/>
    <w:rsid w:val="00A731C0"/>
    <w:rsid w:val="00A816F6"/>
    <w:rsid w:val="00A84A80"/>
    <w:rsid w:val="00A975C6"/>
    <w:rsid w:val="00AA19F5"/>
    <w:rsid w:val="00AB02F8"/>
    <w:rsid w:val="00AB0338"/>
    <w:rsid w:val="00AB285F"/>
    <w:rsid w:val="00AB426C"/>
    <w:rsid w:val="00AC632E"/>
    <w:rsid w:val="00AC6375"/>
    <w:rsid w:val="00AD2EF4"/>
    <w:rsid w:val="00AD41DD"/>
    <w:rsid w:val="00AE0392"/>
    <w:rsid w:val="00AE0CD8"/>
    <w:rsid w:val="00AE459A"/>
    <w:rsid w:val="00AF0F9C"/>
    <w:rsid w:val="00B01745"/>
    <w:rsid w:val="00B20851"/>
    <w:rsid w:val="00B21513"/>
    <w:rsid w:val="00B24A7E"/>
    <w:rsid w:val="00B36919"/>
    <w:rsid w:val="00B40ABD"/>
    <w:rsid w:val="00B4272B"/>
    <w:rsid w:val="00B51914"/>
    <w:rsid w:val="00B6446F"/>
    <w:rsid w:val="00B77DD5"/>
    <w:rsid w:val="00B82BF4"/>
    <w:rsid w:val="00B9191A"/>
    <w:rsid w:val="00BA60E8"/>
    <w:rsid w:val="00BA71BB"/>
    <w:rsid w:val="00BB2737"/>
    <w:rsid w:val="00BB304E"/>
    <w:rsid w:val="00BB4A3C"/>
    <w:rsid w:val="00BB699B"/>
    <w:rsid w:val="00BC1CA3"/>
    <w:rsid w:val="00BD7376"/>
    <w:rsid w:val="00BE272B"/>
    <w:rsid w:val="00BF1E38"/>
    <w:rsid w:val="00BF6582"/>
    <w:rsid w:val="00C037D3"/>
    <w:rsid w:val="00C16375"/>
    <w:rsid w:val="00C50F96"/>
    <w:rsid w:val="00C54AEF"/>
    <w:rsid w:val="00C60F3F"/>
    <w:rsid w:val="00C65153"/>
    <w:rsid w:val="00C772FB"/>
    <w:rsid w:val="00C911DC"/>
    <w:rsid w:val="00C96BE2"/>
    <w:rsid w:val="00CA36F2"/>
    <w:rsid w:val="00CB55DD"/>
    <w:rsid w:val="00CC3BFA"/>
    <w:rsid w:val="00CD2341"/>
    <w:rsid w:val="00CF4A3C"/>
    <w:rsid w:val="00D03012"/>
    <w:rsid w:val="00D25C04"/>
    <w:rsid w:val="00D36612"/>
    <w:rsid w:val="00D3794D"/>
    <w:rsid w:val="00D43148"/>
    <w:rsid w:val="00D50B43"/>
    <w:rsid w:val="00D56ED0"/>
    <w:rsid w:val="00D57968"/>
    <w:rsid w:val="00D7028D"/>
    <w:rsid w:val="00D8253A"/>
    <w:rsid w:val="00D90938"/>
    <w:rsid w:val="00DA067C"/>
    <w:rsid w:val="00DA24D4"/>
    <w:rsid w:val="00DA6666"/>
    <w:rsid w:val="00DC44C8"/>
    <w:rsid w:val="00DF2599"/>
    <w:rsid w:val="00DF2C1A"/>
    <w:rsid w:val="00DF3DFD"/>
    <w:rsid w:val="00E010C5"/>
    <w:rsid w:val="00E07310"/>
    <w:rsid w:val="00E106FD"/>
    <w:rsid w:val="00E17B92"/>
    <w:rsid w:val="00E3389E"/>
    <w:rsid w:val="00E3474E"/>
    <w:rsid w:val="00E405EE"/>
    <w:rsid w:val="00E41EA1"/>
    <w:rsid w:val="00E503EA"/>
    <w:rsid w:val="00E6171D"/>
    <w:rsid w:val="00E66F59"/>
    <w:rsid w:val="00E7038C"/>
    <w:rsid w:val="00E7573E"/>
    <w:rsid w:val="00E77219"/>
    <w:rsid w:val="00E77D24"/>
    <w:rsid w:val="00E813C9"/>
    <w:rsid w:val="00E816BA"/>
    <w:rsid w:val="00E91634"/>
    <w:rsid w:val="00E9745E"/>
    <w:rsid w:val="00EA0024"/>
    <w:rsid w:val="00EA669D"/>
    <w:rsid w:val="00EB49A2"/>
    <w:rsid w:val="00EB4F80"/>
    <w:rsid w:val="00EC6150"/>
    <w:rsid w:val="00EE2FE4"/>
    <w:rsid w:val="00EE6021"/>
    <w:rsid w:val="00F154E2"/>
    <w:rsid w:val="00F1565F"/>
    <w:rsid w:val="00F253CD"/>
    <w:rsid w:val="00F3073D"/>
    <w:rsid w:val="00F36FF8"/>
    <w:rsid w:val="00F40D80"/>
    <w:rsid w:val="00F47288"/>
    <w:rsid w:val="00F505B3"/>
    <w:rsid w:val="00F53BEF"/>
    <w:rsid w:val="00F564CF"/>
    <w:rsid w:val="00F66849"/>
    <w:rsid w:val="00F726DD"/>
    <w:rsid w:val="00F740A6"/>
    <w:rsid w:val="00F847EE"/>
    <w:rsid w:val="00F96CC6"/>
    <w:rsid w:val="00FA1D5B"/>
    <w:rsid w:val="00FB0318"/>
    <w:rsid w:val="00FB7CDD"/>
    <w:rsid w:val="00FC59A5"/>
    <w:rsid w:val="00FD744D"/>
    <w:rsid w:val="00FE2247"/>
    <w:rsid w:val="00FE410F"/>
    <w:rsid w:val="00FE4464"/>
    <w:rsid w:val="00FF0189"/>
    <w:rsid w:val="00FF16C9"/>
    <w:rsid w:val="00FF303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ptexto">
    <w:name w:val="tptexto"/>
    <w:basedOn w:val="Normal"/>
    <w:rsid w:val="00E77D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E77D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0A72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rsid w:val="0020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88761-0F71-46F2-9CAC-48AED12F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1011</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9</cp:revision>
  <cp:lastPrinted>2021-05-27T14:59:00Z</cp:lastPrinted>
  <dcterms:created xsi:type="dcterms:W3CDTF">2023-06-19T16:51:00Z</dcterms:created>
  <dcterms:modified xsi:type="dcterms:W3CDTF">2023-06-22T18:29:00Z</dcterms:modified>
</cp:coreProperties>
</file>