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864B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864B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9032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864B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9032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9032E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864B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864B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F864B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864B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142/2023 - </w:t>
      </w:r>
      <w:r w:rsidRPr="00322C9F">
        <w:rPr>
          <w:rFonts w:ascii="Times New Roman" w:hAnsi="Times New Roman"/>
          <w:b/>
          <w:szCs w:val="24"/>
        </w:rPr>
        <w:t>Proc. leg. nº 4055/2023</w:t>
      </w:r>
    </w:p>
    <w:p w:rsidR="00322C9F" w:rsidRPr="00BB1EEA" w:rsidRDefault="00F864B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</w:t>
      </w:r>
    </w:p>
    <w:p w:rsidR="00330085" w:rsidRDefault="00F864B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</w:t>
      </w:r>
      <w:r>
        <w:rPr>
          <w:rFonts w:ascii="Times New Roman" w:hAnsi="Times New Roman"/>
          <w:bCs/>
          <w:i/>
          <w:szCs w:val="24"/>
        </w:rPr>
        <w:t>Municipal para qur retorne a Farmácia Popular e de Alto Custo para o CEV.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032E" w:rsidRDefault="0079032E" w:rsidP="0079032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032E" w:rsidRDefault="0079032E" w:rsidP="0079032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032E" w:rsidRDefault="0079032E" w:rsidP="0079032E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9032E" w:rsidRDefault="0079032E" w:rsidP="0079032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Senhora</w:t>
      </w:r>
    </w:p>
    <w:p w:rsidR="0079032E" w:rsidRDefault="0079032E" w:rsidP="0079032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ROSSI DE GODOY</w:t>
      </w:r>
    </w:p>
    <w:p w:rsidR="0079032E" w:rsidRDefault="0079032E" w:rsidP="0079032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79032E" w:rsidRDefault="0079032E" w:rsidP="007903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79032E" w:rsidP="0079032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B8" w:rsidRDefault="00F864B8">
      <w:r>
        <w:separator/>
      </w:r>
    </w:p>
  </w:endnote>
  <w:endnote w:type="continuationSeparator" w:id="0">
    <w:p w:rsidR="00F864B8" w:rsidRDefault="00F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864B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864B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B8" w:rsidRDefault="00F864B8">
      <w:r>
        <w:separator/>
      </w:r>
    </w:p>
  </w:footnote>
  <w:footnote w:type="continuationSeparator" w:id="0">
    <w:p w:rsidR="00F864B8" w:rsidRDefault="00F8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864B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69532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864B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864B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864B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864B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6185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032E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864B8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B97B2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B97B2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97B2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41FB-F6B7-4AA1-AB14-4715DC1E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2023-06-21T19:46:00Z</dcterms:modified>
</cp:coreProperties>
</file>