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20730E" w:rsidP="00FB031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0730E">
        <w:rPr>
          <w:rFonts w:asciiTheme="minorHAnsi" w:hAnsiTheme="minorHAnsi" w:cstheme="minorHAnsi"/>
          <w:b/>
          <w:color w:val="auto"/>
        </w:rPr>
        <w:t>Parecer J</w:t>
      </w:r>
      <w:r w:rsidRPr="0020730E" w:rsidR="00E503EA">
        <w:rPr>
          <w:rFonts w:asciiTheme="minorHAnsi" w:hAnsiTheme="minorHAnsi" w:cstheme="minorHAnsi"/>
          <w:b/>
          <w:color w:val="auto"/>
        </w:rPr>
        <w:t>urídico</w:t>
      </w:r>
      <w:r w:rsidRPr="0020730E">
        <w:rPr>
          <w:rFonts w:asciiTheme="minorHAnsi" w:hAnsiTheme="minorHAnsi" w:cstheme="minorHAnsi"/>
          <w:b/>
          <w:color w:val="auto"/>
        </w:rPr>
        <w:t xml:space="preserve"> nº </w:t>
      </w:r>
      <w:r w:rsidRPr="0020730E" w:rsidR="0020730E">
        <w:rPr>
          <w:rFonts w:asciiTheme="minorHAnsi" w:hAnsiTheme="minorHAnsi" w:cstheme="minorHAnsi"/>
          <w:b/>
          <w:color w:val="auto"/>
        </w:rPr>
        <w:t>224</w:t>
      </w:r>
      <w:r w:rsidRPr="0020730E" w:rsidR="00582F11">
        <w:rPr>
          <w:rFonts w:asciiTheme="minorHAnsi" w:hAnsiTheme="minorHAnsi" w:cstheme="minorHAnsi"/>
          <w:b/>
          <w:color w:val="auto"/>
        </w:rPr>
        <w:t>/</w:t>
      </w:r>
      <w:r w:rsidRPr="0020730E">
        <w:rPr>
          <w:rFonts w:asciiTheme="minorHAnsi" w:hAnsiTheme="minorHAnsi" w:cstheme="minorHAnsi"/>
          <w:b/>
          <w:color w:val="auto"/>
        </w:rPr>
        <w:t>20</w:t>
      </w:r>
      <w:r w:rsidRPr="0020730E" w:rsidR="00C65153">
        <w:rPr>
          <w:rFonts w:asciiTheme="minorHAnsi" w:hAnsiTheme="minorHAnsi" w:cstheme="minorHAnsi"/>
          <w:b/>
          <w:color w:val="auto"/>
        </w:rPr>
        <w:t>2</w:t>
      </w:r>
      <w:r w:rsidRPr="0020730E" w:rsidR="007E3525">
        <w:rPr>
          <w:rFonts w:asciiTheme="minorHAnsi" w:hAnsiTheme="minorHAnsi" w:cstheme="minorHAnsi"/>
          <w:b/>
          <w:color w:val="auto"/>
        </w:rPr>
        <w:t>3</w:t>
      </w:r>
    </w:p>
    <w:p w:rsidR="005101D9" w:rsidRPr="006405CE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405CE">
        <w:rPr>
          <w:rFonts w:cstheme="minorHAnsi"/>
          <w:b/>
          <w:bCs/>
          <w:sz w:val="24"/>
          <w:szCs w:val="24"/>
        </w:rPr>
        <w:t xml:space="preserve">Assunto: </w:t>
      </w:r>
      <w:r w:rsidR="00724045">
        <w:rPr>
          <w:rFonts w:cstheme="minorHAnsi"/>
          <w:b/>
          <w:bCs/>
          <w:sz w:val="24"/>
          <w:szCs w:val="24"/>
        </w:rPr>
        <w:t xml:space="preserve">Emenda nº 01 ao </w:t>
      </w:r>
      <w:r w:rsidRPr="006405CE">
        <w:rPr>
          <w:rFonts w:cstheme="minorHAnsi"/>
          <w:b/>
          <w:bCs/>
          <w:sz w:val="24"/>
          <w:szCs w:val="24"/>
        </w:rPr>
        <w:t xml:space="preserve">Projeto de Lei nº </w:t>
      </w:r>
      <w:r w:rsidR="00551B9D">
        <w:rPr>
          <w:rFonts w:cstheme="minorHAnsi"/>
          <w:b/>
          <w:bCs/>
          <w:sz w:val="24"/>
          <w:szCs w:val="24"/>
        </w:rPr>
        <w:t>7</w:t>
      </w:r>
      <w:r w:rsidR="007E3525">
        <w:rPr>
          <w:rFonts w:cstheme="minorHAnsi"/>
          <w:b/>
          <w:bCs/>
          <w:sz w:val="24"/>
          <w:szCs w:val="24"/>
        </w:rPr>
        <w:t>2</w:t>
      </w:r>
      <w:r w:rsidRPr="006405CE">
        <w:rPr>
          <w:rFonts w:cstheme="minorHAnsi"/>
          <w:b/>
          <w:bCs/>
          <w:sz w:val="24"/>
          <w:szCs w:val="24"/>
        </w:rPr>
        <w:t>/20</w:t>
      </w:r>
      <w:r w:rsidRPr="006405CE" w:rsidR="00C65153">
        <w:rPr>
          <w:rFonts w:cstheme="minorHAnsi"/>
          <w:b/>
          <w:bCs/>
          <w:sz w:val="24"/>
          <w:szCs w:val="24"/>
        </w:rPr>
        <w:t>2</w:t>
      </w:r>
      <w:r w:rsidR="007E3525">
        <w:rPr>
          <w:rFonts w:cstheme="minorHAnsi"/>
          <w:b/>
          <w:bCs/>
          <w:sz w:val="24"/>
          <w:szCs w:val="24"/>
        </w:rPr>
        <w:t>3</w:t>
      </w:r>
      <w:r w:rsidRPr="006405CE" w:rsidR="00055A36">
        <w:rPr>
          <w:rFonts w:cstheme="minorHAnsi"/>
          <w:b/>
          <w:bCs/>
          <w:sz w:val="24"/>
          <w:szCs w:val="24"/>
        </w:rPr>
        <w:t xml:space="preserve"> </w:t>
      </w:r>
      <w:r w:rsidR="0020730E">
        <w:rPr>
          <w:rFonts w:cstheme="minorHAnsi"/>
          <w:bCs/>
          <w:sz w:val="24"/>
          <w:szCs w:val="24"/>
        </w:rPr>
        <w:t>que</w:t>
      </w:r>
      <w:r w:rsidR="00AB285F">
        <w:rPr>
          <w:rFonts w:cstheme="minorHAnsi"/>
          <w:b/>
          <w:bCs/>
          <w:sz w:val="24"/>
          <w:szCs w:val="24"/>
        </w:rPr>
        <w:t xml:space="preserve"> </w:t>
      </w:r>
      <w:r w:rsidR="0020730E">
        <w:rPr>
          <w:rFonts w:cstheme="minorHAnsi"/>
          <w:b/>
          <w:bCs/>
          <w:sz w:val="24"/>
          <w:szCs w:val="24"/>
        </w:rPr>
        <w:t>“</w:t>
      </w:r>
      <w:r w:rsidRPr="007E3525" w:rsidR="007E3525">
        <w:rPr>
          <w:rFonts w:cstheme="minorHAnsi"/>
          <w:bCs/>
          <w:sz w:val="24"/>
          <w:szCs w:val="24"/>
        </w:rPr>
        <w:t>Altera a Lei nº 6.206, de 23 de dezembro de 2021 (Estrutura Administrativa e de Cargos da Prefeitura do Município de Valinhos), cria opções de carga horária dos profissionais médicos da Rede Municipal de Saúde e dá outras providências</w:t>
      </w:r>
      <w:r w:rsidR="0020730E">
        <w:rPr>
          <w:rFonts w:cstheme="minorHAnsi"/>
          <w:bCs/>
          <w:sz w:val="24"/>
          <w:szCs w:val="24"/>
        </w:rPr>
        <w:t>”</w:t>
      </w:r>
      <w:r w:rsidRPr="007E3525" w:rsidR="007E3525">
        <w:rPr>
          <w:rFonts w:cstheme="minorHAnsi"/>
          <w:bCs/>
          <w:sz w:val="24"/>
          <w:szCs w:val="24"/>
        </w:rPr>
        <w:t>.</w:t>
      </w:r>
      <w:r w:rsidR="00B82BF4">
        <w:rPr>
          <w:rFonts w:cstheme="minorHAnsi"/>
          <w:bCs/>
          <w:sz w:val="24"/>
          <w:szCs w:val="24"/>
        </w:rPr>
        <w:t xml:space="preserve"> </w:t>
      </w:r>
      <w:r w:rsidRPr="006405CE" w:rsidR="00055A36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6405CE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7E3525">
        <w:rPr>
          <w:rFonts w:cstheme="minorHAnsi"/>
          <w:b/>
          <w:bCs/>
          <w:sz w:val="24"/>
          <w:szCs w:val="24"/>
        </w:rPr>
        <w:t>22/2023</w:t>
      </w:r>
      <w:r w:rsidRPr="006405CE">
        <w:rPr>
          <w:rFonts w:cstheme="minorHAnsi"/>
          <w:b/>
          <w:bCs/>
          <w:sz w:val="24"/>
          <w:szCs w:val="24"/>
        </w:rPr>
        <w:t>.</w:t>
      </w:r>
    </w:p>
    <w:p w:rsidR="005101D9" w:rsidP="00995E8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724045" w:rsidRPr="00724045" w:rsidP="00995E87">
      <w:pPr>
        <w:tabs>
          <w:tab w:val="left" w:pos="1134"/>
        </w:tabs>
        <w:jc w:val="both"/>
        <w:rPr>
          <w:rFonts w:eastAsia="Times New Roman" w:cstheme="minorHAnsi"/>
          <w:sz w:val="12"/>
          <w:szCs w:val="12"/>
          <w:shd w:val="clear" w:color="auto" w:fill="FFFFFF"/>
          <w:lang w:eastAsia="pt-BR"/>
        </w:rPr>
      </w:pPr>
    </w:p>
    <w:p w:rsidR="00C65153" w:rsidRPr="006405CE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>À</w:t>
      </w:r>
      <w:r w:rsidR="00175485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6405CE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724045" w:rsidP="00724045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 xml:space="preserve">Exmo. </w:t>
      </w:r>
      <w:r w:rsidR="007E3525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6405CE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="007E3525">
        <w:rPr>
          <w:rFonts w:asciiTheme="minorHAnsi" w:hAnsiTheme="minorHAnsi" w:cstheme="minorHAnsi"/>
          <w:b/>
          <w:i/>
          <w:color w:val="auto"/>
        </w:rPr>
        <w:t>Gabriel Bueno</w:t>
      </w:r>
      <w:r w:rsidRPr="006405CE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724045" w:rsidP="00724045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6405CE" w:rsidP="00724045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6405CE">
        <w:rPr>
          <w:rFonts w:asciiTheme="minorHAnsi" w:hAnsiTheme="minorHAnsi" w:cstheme="minorHAnsi"/>
          <w:b/>
          <w:i/>
          <w:color w:val="auto"/>
        </w:rPr>
        <w:tab/>
      </w:r>
    </w:p>
    <w:p w:rsidR="00742CBA" w:rsidP="00724045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t-BR"/>
        </w:rPr>
        <w:t>Trata-se de parecer jurídico</w:t>
      </w:r>
      <w:r w:rsidR="008E20D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29742D">
        <w:rPr>
          <w:rFonts w:eastAsia="Times New Roman" w:cstheme="minorHAnsi"/>
          <w:sz w:val="24"/>
          <w:szCs w:val="24"/>
          <w:lang w:eastAsia="pt-BR"/>
        </w:rPr>
        <w:t xml:space="preserve">relativo </w:t>
      </w:r>
      <w:r w:rsidR="00724045">
        <w:rPr>
          <w:rFonts w:eastAsia="Times New Roman" w:cstheme="minorHAnsi"/>
          <w:sz w:val="24"/>
          <w:szCs w:val="24"/>
          <w:lang w:eastAsia="pt-BR"/>
        </w:rPr>
        <w:t>à emenda</w:t>
      </w:r>
      <w:r w:rsidRPr="006405CE" w:rsidR="0029742D">
        <w:rPr>
          <w:rFonts w:eastAsia="Times New Roman" w:cstheme="minorHAnsi"/>
          <w:sz w:val="24"/>
          <w:szCs w:val="24"/>
          <w:lang w:eastAsia="pt-BR"/>
        </w:rPr>
        <w:t xml:space="preserve"> em epígrafe</w:t>
      </w:r>
      <w:r w:rsidR="00AB285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405CE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724045" w:rsidR="00724045">
        <w:rPr>
          <w:rFonts w:eastAsia="Times New Roman" w:cstheme="minorHAnsi"/>
          <w:sz w:val="24"/>
          <w:szCs w:val="24"/>
          <w:u w:val="single"/>
          <w:lang w:eastAsia="pt-BR"/>
        </w:rPr>
        <w:t>tenciona alterar o anexo IV do art. 3º do Projeto de Lei nº 72/2023</w:t>
      </w:r>
      <w:r w:rsidR="00724045">
        <w:rPr>
          <w:rFonts w:eastAsia="Times New Roman" w:cstheme="minorHAnsi"/>
          <w:sz w:val="24"/>
          <w:szCs w:val="24"/>
          <w:lang w:eastAsia="pt-BR"/>
        </w:rPr>
        <w:t xml:space="preserve"> que </w:t>
      </w:r>
      <w:r w:rsidRPr="007E3525" w:rsidR="00F154E2">
        <w:rPr>
          <w:rFonts w:cstheme="minorHAnsi"/>
          <w:i/>
          <w:sz w:val="24"/>
          <w:szCs w:val="24"/>
        </w:rPr>
        <w:t>“</w:t>
      </w:r>
      <w:r w:rsidRPr="007E3525" w:rsidR="007E3525">
        <w:rPr>
          <w:rFonts w:cstheme="minorHAnsi"/>
          <w:i/>
          <w:sz w:val="24"/>
          <w:szCs w:val="24"/>
        </w:rPr>
        <w:t>Altera a Lei nº 6.206, de 23 de dezembro de 2021 (Estrutura Administrativa e de Cargos da Prefeitura do Município de Valinhos), cria opções de carga horária dos profissionais médicos da Rede Municipal de Saúde e dá outras providências</w:t>
      </w:r>
      <w:r w:rsidR="0020730E">
        <w:rPr>
          <w:rFonts w:cstheme="minorHAnsi"/>
          <w:i/>
          <w:sz w:val="24"/>
          <w:szCs w:val="24"/>
        </w:rPr>
        <w:t xml:space="preserve">”, </w:t>
      </w:r>
      <w:r w:rsidR="0020730E">
        <w:rPr>
          <w:rFonts w:cstheme="minorHAnsi"/>
          <w:sz w:val="24"/>
          <w:szCs w:val="24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146B32">
        <w:tblPrEx>
          <w:tblW w:w="0" w:type="auto"/>
          <w:tblLook w:val="04A0"/>
        </w:tblPrEx>
        <w:trPr>
          <w:trHeight w:val="544"/>
        </w:trPr>
        <w:tc>
          <w:tcPr>
            <w:tcW w:w="4322" w:type="dxa"/>
            <w:vAlign w:val="center"/>
          </w:tcPr>
          <w:p w:rsidR="0020730E" w:rsidRPr="00AB0338" w:rsidP="0020730E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AB0338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Projeto de Lei nº </w:t>
            </w:r>
            <w:r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72</w:t>
            </w:r>
            <w:r w:rsidRPr="00AB0338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/20</w:t>
            </w:r>
            <w:r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23</w:t>
            </w:r>
          </w:p>
        </w:tc>
        <w:tc>
          <w:tcPr>
            <w:tcW w:w="4322" w:type="dxa"/>
            <w:vAlign w:val="center"/>
          </w:tcPr>
          <w:p w:rsidR="0020730E" w:rsidP="00146B32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AB0338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Emenda 01 ao Projeto de </w:t>
            </w:r>
          </w:p>
          <w:p w:rsidR="0020730E" w:rsidRPr="00AB0338" w:rsidP="0020730E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Lei</w:t>
            </w:r>
            <w:r w:rsidRPr="00AB0338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nº </w:t>
            </w:r>
            <w:r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72/2023</w:t>
            </w:r>
          </w:p>
        </w:tc>
      </w:tr>
      <w:tr w:rsidTr="00146B32">
        <w:tblPrEx>
          <w:tblW w:w="0" w:type="auto"/>
          <w:tblLook w:val="04A0"/>
        </w:tblPrEx>
        <w:tc>
          <w:tcPr>
            <w:tcW w:w="4322" w:type="dxa"/>
          </w:tcPr>
          <w:p w:rsidR="0020730E" w:rsidRPr="0020730E" w:rsidP="0020730E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“</w:t>
            </w:r>
            <w:r w:rsidRPr="00763CE3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Art. </w:t>
            </w:r>
            <w:r w:rsidRPr="00763CE3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3º</w:t>
            </w: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…</w:t>
            </w: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</w:t>
            </w:r>
          </w:p>
          <w:p w:rsidR="0020730E" w:rsidRPr="0020730E" w:rsidP="0020730E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(…) </w:t>
            </w:r>
          </w:p>
          <w:p w:rsidR="0020730E" w:rsidRPr="00763CE3" w:rsidP="0020730E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763CE3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ANEXO IV - TABELA DE REFERÊNCIA MENSALISTAS E HORISTAS</w:t>
            </w:r>
          </w:p>
          <w:p w:rsidR="0020730E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</w:p>
          <w:p w:rsidR="0020730E" w:rsidRPr="00AB0338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183.75pt" o:oleicon="f" o:ole="">
                  <v:imagedata r:id="rId6" o:title=""/>
                </v:shape>
                <o:OLEObject Type="Embed" ProgID="PBrush" ShapeID="_x0000_i1025" DrawAspect="Content" ObjectID="_1748255436" r:id="rId7"/>
              </w:object>
            </w:r>
          </w:p>
        </w:tc>
        <w:tc>
          <w:tcPr>
            <w:tcW w:w="4322" w:type="dxa"/>
          </w:tcPr>
          <w:p w:rsidR="0020730E" w:rsidRPr="0020730E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“</w:t>
            </w:r>
            <w:r w:rsidRPr="00763CE3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Art. 3º</w:t>
            </w: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… </w:t>
            </w:r>
          </w:p>
          <w:p w:rsidR="0020730E" w:rsidRPr="0020730E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 w:rsidRPr="0020730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(…) </w:t>
            </w:r>
          </w:p>
          <w:p w:rsidR="0020730E" w:rsidRPr="00763CE3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763CE3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ANEXO IV - TABELA DE REFERÊNCIA MENSALISTAS E HORISTAS</w:t>
            </w:r>
          </w:p>
          <w:p w:rsidR="0020730E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</w:p>
          <w:p w:rsidR="0020730E" w:rsidRPr="00AB0338" w:rsidP="00146B32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>
              <w:object>
                <v:shape id="_x0000_i1026" type="#_x0000_t75" style="width:153.75pt;height:180pt" o:oleicon="f" o:ole="">
                  <v:imagedata r:id="rId8" o:title=""/>
                </v:shape>
                <o:OLEObject Type="Embed" ProgID="PBrush" ShapeID="_x0000_i1026" DrawAspect="Content" ObjectID="_1748255437" r:id="rId9"/>
              </w:object>
            </w:r>
          </w:p>
        </w:tc>
      </w:tr>
    </w:tbl>
    <w:p w:rsidR="00C65153" w:rsidRPr="006405CE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i/>
          <w:sz w:val="24"/>
          <w:szCs w:val="24"/>
        </w:rPr>
        <w:t>Ab initio</w:t>
      </w:r>
      <w:r w:rsidRPr="006405CE">
        <w:rPr>
          <w:rFonts w:cstheme="minorHAnsi"/>
          <w:sz w:val="24"/>
          <w:szCs w:val="24"/>
        </w:rPr>
        <w:t>, cumpre destacar a competência regimental</w:t>
      </w:r>
      <w:r w:rsidRPr="006405CE" w:rsidR="00973E66">
        <w:rPr>
          <w:rFonts w:cstheme="minorHAnsi"/>
          <w:sz w:val="24"/>
          <w:szCs w:val="24"/>
        </w:rPr>
        <w:t xml:space="preserve"> da </w:t>
      </w:r>
      <w:r w:rsidRPr="006405CE">
        <w:rPr>
          <w:rFonts w:cstheme="minorHAnsi"/>
          <w:sz w:val="24"/>
          <w:szCs w:val="24"/>
        </w:rPr>
        <w:t>Comissão de Justiça e Redação</w:t>
      </w:r>
      <w:r w:rsidR="004738DA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4738DA" w:rsidP="00055A3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4738DA">
        <w:rPr>
          <w:rFonts w:cstheme="minorHAnsi"/>
          <w:sz w:val="24"/>
          <w:szCs w:val="24"/>
        </w:rPr>
        <w:t>Outrossim, ressalta-se que a opinião jurídica exarada nes</w:t>
      </w:r>
      <w:r w:rsidRPr="004738DA" w:rsidR="00B20851">
        <w:rPr>
          <w:rFonts w:cstheme="minorHAnsi"/>
          <w:sz w:val="24"/>
          <w:szCs w:val="24"/>
        </w:rPr>
        <w:t>s</w:t>
      </w:r>
      <w:r w:rsidRPr="004738DA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4738DA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4738DA" w:rsidR="004738DA">
        <w:rPr>
          <w:rFonts w:cstheme="minorHAnsi"/>
          <w:sz w:val="24"/>
          <w:szCs w:val="24"/>
        </w:rPr>
        <w:t xml:space="preserve"> </w:t>
      </w:r>
    </w:p>
    <w:p w:rsidR="00AE0CD8" w:rsidP="00AE0CD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5CE">
        <w:rPr>
          <w:rFonts w:asciiTheme="minorHAnsi" w:hAnsiTheme="minorHAnsi" w:cstheme="minorHAnsi"/>
          <w:color w:val="auto"/>
        </w:rPr>
        <w:t>Considerando-se o</w:t>
      </w:r>
      <w:r w:rsidRPr="006405CE" w:rsidR="00F154E2">
        <w:rPr>
          <w:rFonts w:asciiTheme="minorHAnsi" w:hAnsiTheme="minorHAnsi" w:cstheme="minorHAnsi"/>
          <w:color w:val="auto"/>
        </w:rPr>
        <w:t>s</w:t>
      </w:r>
      <w:r w:rsidRPr="006405CE" w:rsidR="00A32BE6">
        <w:rPr>
          <w:rFonts w:asciiTheme="minorHAnsi" w:hAnsiTheme="minorHAnsi" w:cstheme="minorHAnsi"/>
          <w:color w:val="auto"/>
        </w:rPr>
        <w:t xml:space="preserve"> aspecto</w:t>
      </w:r>
      <w:r w:rsidRPr="006405CE" w:rsidR="00F154E2">
        <w:rPr>
          <w:rFonts w:asciiTheme="minorHAnsi" w:hAnsiTheme="minorHAnsi" w:cstheme="minorHAnsi"/>
          <w:color w:val="auto"/>
        </w:rPr>
        <w:t>s</w:t>
      </w:r>
      <w:r w:rsidRPr="006405CE" w:rsidR="00A32BE6">
        <w:rPr>
          <w:rFonts w:asciiTheme="minorHAnsi" w:hAnsiTheme="minorHAnsi" w:cstheme="minorHAnsi"/>
          <w:color w:val="auto"/>
        </w:rPr>
        <w:t xml:space="preserve"> constitucional, legal e</w:t>
      </w:r>
      <w:r w:rsidRPr="006405CE">
        <w:rPr>
          <w:rFonts w:asciiTheme="minorHAnsi" w:hAnsiTheme="minorHAnsi" w:cstheme="minorHAnsi"/>
          <w:color w:val="auto"/>
        </w:rPr>
        <w:t xml:space="preserve"> jurídico, passa-se </w:t>
      </w:r>
      <w:r w:rsidRPr="006405CE" w:rsidR="002D1F88">
        <w:rPr>
          <w:rFonts w:asciiTheme="minorHAnsi" w:hAnsiTheme="minorHAnsi" w:cstheme="minorHAnsi"/>
          <w:color w:val="auto"/>
        </w:rPr>
        <w:t>a</w:t>
      </w:r>
      <w:r w:rsidR="00175485">
        <w:rPr>
          <w:rFonts w:asciiTheme="minorHAnsi" w:hAnsiTheme="minorHAnsi" w:cstheme="minorHAnsi"/>
          <w:color w:val="auto"/>
        </w:rPr>
        <w:t xml:space="preserve"> </w:t>
      </w:r>
      <w:r w:rsidRPr="006405CE">
        <w:rPr>
          <w:rFonts w:asciiTheme="minorHAnsi" w:hAnsiTheme="minorHAnsi" w:cstheme="minorHAnsi"/>
          <w:b/>
          <w:color w:val="auto"/>
        </w:rPr>
        <w:t>análise técnica</w:t>
      </w:r>
      <w:r w:rsidRPr="006405CE">
        <w:rPr>
          <w:rFonts w:asciiTheme="minorHAnsi" w:hAnsiTheme="minorHAnsi" w:cstheme="minorHAnsi"/>
          <w:color w:val="auto"/>
        </w:rPr>
        <w:t xml:space="preserve"> do projeto. </w:t>
      </w:r>
    </w:p>
    <w:p w:rsidR="00AE0CD8" w:rsidRPr="00AE0CD8" w:rsidP="00AE0CD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AE0CD8">
        <w:rPr>
          <w:rFonts w:asciiTheme="minorHAnsi" w:hAnsiTheme="minorHAnsi" w:cstheme="minorHAnsi"/>
          <w:color w:val="auto"/>
        </w:rPr>
        <w:t>No que tange aos projetos de emendas o Regimento Interno desta Casa de Leis assim estabelece:</w:t>
      </w:r>
    </w:p>
    <w:p w:rsidR="00AE0CD8" w:rsidRPr="001C49E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  <w:u w:val="single"/>
        </w:rPr>
      </w:pPr>
      <w:r w:rsidRPr="001C49E1">
        <w:rPr>
          <w:rFonts w:cstheme="minorHAnsi"/>
          <w:i/>
        </w:rPr>
        <w:t xml:space="preserve">Art. 140. </w:t>
      </w:r>
      <w:r w:rsidRPr="001C49E1">
        <w:rPr>
          <w:rFonts w:cstheme="minorHAnsi"/>
          <w:i/>
          <w:u w:val="single"/>
        </w:rPr>
        <w:t xml:space="preserve">Emenda é a correção apresentada a um dispositivo de projeto de lei ou de resolução. </w:t>
      </w:r>
    </w:p>
    <w:p w:rsidR="00AE0CD8" w:rsidRPr="0086490C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8D5AFC">
        <w:rPr>
          <w:rFonts w:cstheme="minorHAnsi"/>
          <w:i/>
        </w:rPr>
        <w:t>§ 1º. Emenda supressiva é a que manda suprimir, em parte ou no todo, o artigo do projeto</w:t>
      </w:r>
      <w:r w:rsidRPr="0086490C">
        <w:rPr>
          <w:rFonts w:cstheme="minorHAnsi"/>
          <w:b/>
          <w:i/>
        </w:rPr>
        <w:t xml:space="preserve">. </w:t>
      </w:r>
    </w:p>
    <w:p w:rsidR="00AE0CD8" w:rsidRPr="001C49E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1C49E1">
        <w:rPr>
          <w:rFonts w:cstheme="minorHAnsi"/>
          <w:i/>
        </w:rPr>
        <w:t xml:space="preserve">§ 2º. Emenda substitutiva é a que deve ser colocada no lugar do artigo. </w:t>
      </w:r>
    </w:p>
    <w:p w:rsidR="00AE0CD8" w:rsidRPr="000406A9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0406A9">
        <w:rPr>
          <w:rFonts w:cstheme="minorHAnsi"/>
          <w:b/>
          <w:i/>
        </w:rPr>
        <w:t xml:space="preserve">§ 3º. Emenda aditiva é a que deve ser acrescentada aos termos do artigo. </w:t>
      </w:r>
    </w:p>
    <w:p w:rsidR="00AE0CD8" w:rsidRPr="0019790A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19790A">
        <w:rPr>
          <w:rFonts w:cstheme="minorHAnsi"/>
          <w:b/>
          <w:i/>
        </w:rPr>
        <w:t xml:space="preserve">§ 4º. Emenda modificativa é a que se refere apenas à redação do artigo, sem alterar a sua substância. </w:t>
      </w:r>
    </w:p>
    <w:p w:rsidR="00AE0CD8" w:rsidRPr="001C49E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1C49E1">
        <w:rPr>
          <w:rFonts w:cstheme="minorHAnsi"/>
          <w:i/>
        </w:rPr>
        <w:t xml:space="preserve">§ 5º. A emenda apresentada à outra emenda denomina-se subemenda. </w:t>
      </w:r>
    </w:p>
    <w:p w:rsidR="00AE0CD8" w:rsidRPr="001C49E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1C49E1">
        <w:rPr>
          <w:rFonts w:cstheme="minorHAnsi"/>
          <w:i/>
        </w:rPr>
        <w:t xml:space="preserve">Art. 141. </w:t>
      </w:r>
      <w:r w:rsidRPr="001C49E1">
        <w:rPr>
          <w:rFonts w:cstheme="minorHAnsi"/>
          <w:b/>
          <w:i/>
        </w:rPr>
        <w:t xml:space="preserve">Não serão aceitos substitutivos, emendas ou subemendas que não tenham relação direta ou imediata com a matéria da proposição principal. </w:t>
      </w:r>
    </w:p>
    <w:p w:rsidR="00AE0CD8" w:rsidRPr="001C49E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1C49E1">
        <w:rPr>
          <w:rFonts w:cstheme="minorHAnsi"/>
          <w:i/>
        </w:rPr>
        <w:t xml:space="preserve">§ 1º. O autor do projeto que receber substitutivo ou emenda estranhos ao seu objetivo terá o direito de reclamar contra a sua admissão, competindo ao Presidente decidir sobre a reclamação. </w:t>
      </w:r>
    </w:p>
    <w:p w:rsidR="00AE0CD8" w:rsidRPr="001C49E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1C49E1">
        <w:rPr>
          <w:rFonts w:cstheme="minorHAnsi"/>
          <w:i/>
        </w:rPr>
        <w:t>§ 2º. Da decisão do Presidente caberá recurso ao Plenário, a ser proposto pelo autor do projeto ou do substitutivo ou emenda.</w:t>
      </w:r>
    </w:p>
    <w:p w:rsidR="00AE0CD8" w:rsidRPr="00196AA5" w:rsidP="00AE0CD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cstheme="minorHAnsi"/>
          <w:sz w:val="4"/>
          <w:szCs w:val="4"/>
        </w:rPr>
      </w:pPr>
    </w:p>
    <w:p w:rsidR="00AE0CD8" w:rsidP="00AE0CD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1C49E1">
        <w:rPr>
          <w:rFonts w:asciiTheme="minorHAnsi" w:hAnsiTheme="minorHAnsi" w:cstheme="minorHAnsi"/>
        </w:rPr>
        <w:t>Destarte, verifica-se que o projeto de emenda atende aos dispositivos do Regimento Interno da Câmara, não havendo óbice regimental na s</w:t>
      </w:r>
      <w:r>
        <w:rPr>
          <w:rFonts w:asciiTheme="minorHAnsi" w:hAnsiTheme="minorHAnsi" w:cstheme="minorHAnsi"/>
        </w:rPr>
        <w:t>ua tramitação.</w:t>
      </w:r>
    </w:p>
    <w:p w:rsidR="007445E7" w:rsidP="00AE0CD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9D276A">
        <w:rPr>
          <w:rFonts w:asciiTheme="minorHAnsi" w:hAnsiTheme="minorHAnsi" w:cstheme="minorHAnsi"/>
        </w:rPr>
        <w:t xml:space="preserve">Quanto </w:t>
      </w:r>
      <w:r>
        <w:rPr>
          <w:rFonts w:asciiTheme="minorHAnsi" w:hAnsiTheme="minorHAnsi" w:cstheme="minorHAnsi"/>
        </w:rPr>
        <w:t>à</w:t>
      </w:r>
      <w:r w:rsidR="00AE0CD8">
        <w:rPr>
          <w:rFonts w:asciiTheme="minorHAnsi" w:hAnsiTheme="minorHAnsi" w:cstheme="minorHAnsi"/>
        </w:rPr>
        <w:t xml:space="preserve"> matéria </w:t>
      </w:r>
      <w:r w:rsidRPr="009D276A">
        <w:rPr>
          <w:rFonts w:asciiTheme="minorHAnsi" w:hAnsiTheme="minorHAnsi" w:cstheme="minorHAnsi"/>
        </w:rPr>
        <w:t>o art. 39, § 1º da Constituição Federal estabelece</w:t>
      </w:r>
      <w:r>
        <w:rPr>
          <w:rFonts w:asciiTheme="minorHAnsi" w:hAnsiTheme="minorHAnsi" w:cstheme="minorHAnsi"/>
        </w:rPr>
        <w:t xml:space="preserve"> a competência dos entes federados e os parâmetros a serem observados</w:t>
      </w:r>
      <w:r w:rsidR="00AE0CD8">
        <w:rPr>
          <w:rFonts w:asciiTheme="minorHAnsi" w:hAnsiTheme="minorHAnsi" w:cstheme="minorHAnsi"/>
        </w:rPr>
        <w:t xml:space="preserve"> na fixação dos padrões de</w:t>
      </w:r>
      <w:r w:rsidRPr="009D276A" w:rsidR="00AE0CD8">
        <w:rPr>
          <w:rFonts w:asciiTheme="minorHAnsi" w:hAnsiTheme="minorHAnsi" w:cstheme="minorHAnsi"/>
        </w:rPr>
        <w:t xml:space="preserve"> vencimento</w:t>
      </w:r>
      <w:r w:rsidR="00AE0CD8">
        <w:rPr>
          <w:rFonts w:asciiTheme="minorHAnsi" w:hAnsiTheme="minorHAnsi" w:cstheme="minorHAnsi"/>
        </w:rPr>
        <w:t>s</w:t>
      </w:r>
      <w:r w:rsidRPr="009D276A" w:rsidR="00AE0CD8">
        <w:rPr>
          <w:rFonts w:asciiTheme="minorHAnsi" w:hAnsiTheme="minorHAnsi" w:cstheme="minorHAnsi"/>
        </w:rPr>
        <w:t xml:space="preserve"> dos servidores</w:t>
      </w:r>
      <w:r>
        <w:rPr>
          <w:rFonts w:asciiTheme="minorHAnsi" w:hAnsiTheme="minorHAnsi" w:cstheme="minorHAnsi"/>
        </w:rPr>
        <w:t>, vejamos</w:t>
      </w:r>
      <w:r w:rsidRPr="009D276A">
        <w:rPr>
          <w:rFonts w:asciiTheme="minorHAnsi" w:hAnsiTheme="minorHAnsi" w:cstheme="minorHAnsi"/>
        </w:rPr>
        <w:t xml:space="preserve">: </w:t>
      </w:r>
    </w:p>
    <w:p w:rsidR="009D276A" w:rsidP="009D276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63CE3">
        <w:rPr>
          <w:rFonts w:asciiTheme="minorHAnsi" w:hAnsiTheme="minorHAnsi" w:cstheme="minorHAnsi"/>
          <w:b/>
          <w:i/>
          <w:sz w:val="22"/>
          <w:szCs w:val="22"/>
        </w:rPr>
        <w:t>Art. 39.</w:t>
      </w:r>
      <w:r w:rsidRPr="009D276A">
        <w:rPr>
          <w:rFonts w:asciiTheme="minorHAnsi" w:hAnsiTheme="minorHAnsi" w:cstheme="minorHAnsi"/>
          <w:i/>
          <w:sz w:val="22"/>
          <w:szCs w:val="22"/>
        </w:rPr>
        <w:t xml:space="preserve"> A União, os Estados, o Distrito Federal e os </w:t>
      </w:r>
      <w:r w:rsidRPr="00763CE3">
        <w:rPr>
          <w:rFonts w:asciiTheme="minorHAnsi" w:hAnsiTheme="minorHAnsi" w:cstheme="minorHAnsi"/>
          <w:b/>
          <w:i/>
          <w:sz w:val="22"/>
          <w:szCs w:val="22"/>
        </w:rPr>
        <w:t xml:space="preserve">Municípios </w:t>
      </w:r>
      <w:r w:rsidRPr="009D276A">
        <w:rPr>
          <w:rFonts w:asciiTheme="minorHAnsi" w:hAnsiTheme="minorHAnsi" w:cstheme="minorHAnsi"/>
          <w:i/>
          <w:sz w:val="22"/>
          <w:szCs w:val="22"/>
        </w:rPr>
        <w:t xml:space="preserve">instituirão conselho de política de administração e remuneração de pessoal, integrado por servidores designados pelos respectivos Poderes. </w:t>
      </w:r>
    </w:p>
    <w:p w:rsidR="009D276A" w:rsidP="009D276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276A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763CE3">
        <w:rPr>
          <w:rFonts w:asciiTheme="minorHAnsi" w:hAnsiTheme="minorHAnsi" w:cstheme="minorHAnsi"/>
          <w:b/>
          <w:i/>
          <w:sz w:val="22"/>
          <w:szCs w:val="22"/>
        </w:rPr>
        <w:t>A fixação dos padrões de vencimento e dos demais componentes do sistema remuneratório observará:</w:t>
      </w:r>
    </w:p>
    <w:p w:rsidR="009D276A" w:rsidP="009D276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276A">
        <w:rPr>
          <w:rFonts w:asciiTheme="minorHAnsi" w:hAnsiTheme="minorHAnsi" w:cstheme="minorHAnsi"/>
          <w:i/>
          <w:sz w:val="22"/>
          <w:szCs w:val="22"/>
        </w:rPr>
        <w:t>I - a natureza, o grau de responsabilidade e a complexidade dos cargos componentes de cada carreira;</w:t>
      </w:r>
    </w:p>
    <w:p w:rsidR="009D276A" w:rsidP="009D276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276A">
        <w:rPr>
          <w:rFonts w:asciiTheme="minorHAnsi" w:hAnsiTheme="minorHAnsi" w:cstheme="minorHAnsi"/>
          <w:i/>
          <w:sz w:val="22"/>
          <w:szCs w:val="22"/>
        </w:rPr>
        <w:t>II - os requisitos para a investidura;</w:t>
      </w:r>
    </w:p>
    <w:p w:rsidR="00AB285F" w:rsidP="009D276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276A">
        <w:rPr>
          <w:rFonts w:asciiTheme="minorHAnsi" w:hAnsiTheme="minorHAnsi" w:cstheme="minorHAnsi"/>
          <w:i/>
          <w:sz w:val="22"/>
          <w:szCs w:val="22"/>
        </w:rPr>
        <w:t>III - as peculiaridades dos cargos.</w:t>
      </w:r>
    </w:p>
    <w:p w:rsidR="009D276A" w:rsidP="009D276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A24D4" w:rsidRPr="00D36612" w:rsidP="00DA24D4">
      <w:pPr>
        <w:spacing w:after="120" w:line="360" w:lineRule="auto"/>
        <w:ind w:right="57" w:firstLine="1701"/>
        <w:jc w:val="both"/>
        <w:rPr>
          <w:rFonts w:cstheme="minorHAnsi"/>
          <w:i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Noutro giro, verifica-se que o projeto em baila acarreta aumento de despesa obrigatória de caráter continuado devendo observar o disposto no art. 16 da Lei de Responsabilidade Fiscal (LRF), </w:t>
      </w:r>
      <w:r w:rsidRPr="00D36612">
        <w:rPr>
          <w:rFonts w:cstheme="minorHAnsi"/>
          <w:i/>
          <w:sz w:val="24"/>
          <w:szCs w:val="24"/>
        </w:rPr>
        <w:t>in verbis: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Art. 16.</w:t>
      </w:r>
      <w:r w:rsidRPr="00C430C7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 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A criação, expansão ou aperfeiçoamento de ação governamental que acarrete aumento da despesa será acompanhado de:        </w:t>
      </w:r>
      <w:hyperlink r:id="rId10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ADI 6357)</w:t>
        </w:r>
      </w:hyperlink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art16i"/>
      <w:bookmarkEnd w:id="0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-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estimativa do impacto orçamentário-financeiro no exercício em que deva entrar em vigor e nos dois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subseqüentes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;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" w:name="art16ii"/>
      <w:bookmarkEnd w:id="1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II -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declaração do ordenador da despesa de que o aumento tem adequação orçamentária e financeira com a lei orçamentária anual e compatibilidade com o plano plurianual e com a lei de diretrizes orçamentárias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" w:name="art16§1"/>
      <w:bookmarkEnd w:id="2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Para os fins desta Lei Complementar, considera-se: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art16§1i"/>
      <w:bookmarkEnd w:id="3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 - adequada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4" w:name="art16§1ii"/>
      <w:bookmarkEnd w:id="4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II - compatível com o plano plurianual e a lei de diretrizes orçamentárias, a despesa que se conforme com as diretrizes, objetivos, prioridades e metas previstos nesses instrumentos e não infrinja qualquer de suas disposições.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5" w:name="art16§2"/>
      <w:bookmarkEnd w:id="5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 estimativa de que trata o inciso I do </w:t>
      </w:r>
      <w:r w:rsidRPr="00C43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caput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será acompanhada das premissas e metodologia de cálculo utilizadas.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6" w:name="art16§3"/>
      <w:bookmarkEnd w:id="6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3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Ressalva-se do disposto neste artigo a despesa considerada irrelevante, nos termos em que dispuser a lei de diretrizes orçamentárias.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7" w:name="art16§4"/>
      <w:bookmarkEnd w:id="7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4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As normas do </w:t>
      </w:r>
      <w:r w:rsidRPr="00C43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caput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constituem condição prévia para: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8" w:name="art16§4i"/>
      <w:bookmarkEnd w:id="8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 - empenho e licitação de serviços, fornecimento de bens ou execução de obras;</w:t>
      </w:r>
    </w:p>
    <w:p w:rsidR="00DA24D4" w:rsidRPr="00C430C7" w:rsidP="00DA24D4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9" w:name="art16§4ii"/>
      <w:bookmarkEnd w:id="9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II - desapropriação de imóveis urbanos a que se refere o </w:t>
      </w:r>
      <w:hyperlink r:id="rId11" w:anchor="art182%C2%A73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§ 3</w:t>
        </w:r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  <w:vertAlign w:val="superscript"/>
          </w:rPr>
          <w:t>o </w:t>
        </w:r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do art. 182 da Constituição</w:t>
        </w:r>
      </w:hyperlink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DA24D4" w:rsidRPr="00C430C7" w:rsidP="00DA24D4">
      <w:pPr>
        <w:spacing w:after="120" w:line="360" w:lineRule="auto"/>
        <w:ind w:right="57" w:firstLine="1701"/>
        <w:jc w:val="both"/>
        <w:rPr>
          <w:rFonts w:cstheme="minorHAnsi"/>
          <w:szCs w:val="24"/>
        </w:rPr>
      </w:pPr>
    </w:p>
    <w:p w:rsidR="00DA24D4" w:rsidRPr="00D36612" w:rsidP="00DA24D4">
      <w:pPr>
        <w:spacing w:after="120" w:line="360" w:lineRule="auto"/>
        <w:ind w:right="57"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Quanto </w:t>
      </w:r>
      <w:r w:rsidR="00763CE3">
        <w:rPr>
          <w:rFonts w:cstheme="minorHAnsi"/>
          <w:sz w:val="24"/>
          <w:szCs w:val="24"/>
        </w:rPr>
        <w:t>a</w:t>
      </w:r>
      <w:r w:rsidRPr="00D36612">
        <w:rPr>
          <w:rFonts w:cstheme="minorHAnsi"/>
          <w:sz w:val="24"/>
          <w:szCs w:val="24"/>
        </w:rPr>
        <w:t xml:space="preserve"> definição de despesa obrigatória de caráter continuado o art. 17 da LRF estabelece:</w:t>
      </w:r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Art. 17.</w:t>
      </w:r>
      <w:r w:rsidRPr="00C430C7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 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Considera-se obrigatória de caráter continuado a despesa corrente derivada de lei, medida provisória ou ato administrativo normativo que fixem para o ente a obrigação legal de sua execução por um período superior a dois exercícios.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       </w:t>
      </w:r>
      <w:hyperlink r:id="rId10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ADI 6357)</w:t>
        </w:r>
      </w:hyperlink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0" w:name="art17§1"/>
      <w:bookmarkEnd w:id="10"/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§ 1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 Os atos que criarem ou aumentarem despesa de que trata o </w:t>
      </w:r>
      <w:r w:rsidRPr="00C430C7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caput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 deverão ser instruídos com a estimativa prevista no inciso I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do art. 16 e demonstrar a origem dos recursos para seu custeio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     </w:t>
      </w:r>
      <w:hyperlink r:id="rId12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1" w:name="art17§2"/>
      <w:bookmarkEnd w:id="11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Para efeito do atendimento do 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o ato será acompanhado de comprovação de que a despesa criada ou aumentada não afetará as metas de resultados fiscais previstas no anexo referido no 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do art. 4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devendo seus efeitos financeiros, nos períodos seguintes, ser compensados pelo aumento permanente de receita ou pela redução permanente de despesa.        </w:t>
      </w:r>
      <w:hyperlink r:id="rId12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2" w:name="art17§3"/>
      <w:bookmarkEnd w:id="12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3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Para efeito do 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considera-se aumento permanente de receita o proveniente da elevação de alíquotas, ampliação da base de cálculo, majoração ou criação de tributo ou contribuição.      </w:t>
      </w:r>
      <w:hyperlink r:id="rId12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3" w:name="art17§4"/>
      <w:bookmarkEnd w:id="13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4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 comprovação referida no 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apresentada pelo proponente, conterá as premissas e metodologia de cálculo utilizadas, sem prejuízo do exame de compatibilidade da despesa com as demais normas do plano plurianual e da lei de diretrizes orçamentárias.       </w:t>
      </w:r>
      <w:hyperlink r:id="rId12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4" w:name="art17§5"/>
      <w:bookmarkEnd w:id="14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5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 despesa de que trata este artigo não será executada antes da implementação das medidas referidas no 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as quais integrarão o instrumento que a criar ou aumentar.      </w:t>
      </w:r>
      <w:hyperlink r:id="rId12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DA24D4" w:rsidRPr="00C430C7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5" w:name="art17§6"/>
      <w:bookmarkEnd w:id="15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6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O disposto no 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não se aplica às despesas destinadas ao serviço da dívida nem ao reajustamento de remuneração de pessoal de que trata o inciso X do art. 37 da Constituição.</w:t>
      </w:r>
    </w:p>
    <w:p w:rsidR="00DA24D4" w:rsidP="00FF3035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6" w:name="art17§7"/>
      <w:bookmarkEnd w:id="16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7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Considera-se aumento de despesa a prorrogação daquela criada por prazo determinado.</w:t>
      </w:r>
    </w:p>
    <w:p w:rsidR="00DA24D4" w:rsidRPr="00F078B3" w:rsidP="00DA24D4">
      <w:pPr>
        <w:pStyle w:val="NormalWeb"/>
        <w:spacing w:before="240" w:beforeAutospacing="0" w:after="240" w:afterAutospacing="0"/>
        <w:ind w:left="2268"/>
        <w:jc w:val="both"/>
        <w:rPr>
          <w:rFonts w:asciiTheme="minorHAnsi" w:hAnsiTheme="minorHAnsi" w:cstheme="minorHAnsi"/>
          <w:i/>
          <w:color w:val="000000"/>
          <w:sz w:val="4"/>
          <w:szCs w:val="4"/>
        </w:rPr>
      </w:pPr>
    </w:p>
    <w:p w:rsidR="00DA24D4" w:rsidRPr="00D36612" w:rsidP="00DA24D4">
      <w:pPr>
        <w:spacing w:before="120" w:after="120" w:line="360" w:lineRule="auto"/>
        <w:ind w:right="57" w:firstLine="170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36612">
        <w:rPr>
          <w:rFonts w:cstheme="minorHAnsi"/>
          <w:color w:val="000000"/>
          <w:sz w:val="24"/>
          <w:szCs w:val="24"/>
          <w:shd w:val="clear" w:color="auto" w:fill="FFFFFF"/>
        </w:rPr>
        <w:t xml:space="preserve">Outrossim, cumpre atentar para o disposto no art. 15 da LRF, </w:t>
      </w:r>
      <w:r w:rsidRPr="00D36612">
        <w:rPr>
          <w:rFonts w:cstheme="minorHAnsi"/>
          <w:i/>
          <w:color w:val="000000"/>
          <w:sz w:val="24"/>
          <w:szCs w:val="24"/>
          <w:shd w:val="clear" w:color="auto" w:fill="FFFFFF"/>
        </w:rPr>
        <w:t>in verbis</w:t>
      </w:r>
      <w:r w:rsidRPr="00D36612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DA24D4" w:rsidRPr="00C430C7" w:rsidP="00763CE3">
      <w:pPr>
        <w:spacing w:before="120" w:after="120" w:line="300" w:lineRule="auto"/>
        <w:ind w:left="2268" w:right="57"/>
        <w:jc w:val="both"/>
        <w:rPr>
          <w:rFonts w:cstheme="minorHAnsi"/>
          <w:i/>
        </w:rPr>
      </w:pPr>
      <w:r w:rsidRPr="00C430C7">
        <w:rPr>
          <w:rFonts w:cstheme="minorHAnsi"/>
          <w:i/>
          <w:color w:val="000000"/>
          <w:shd w:val="clear" w:color="auto" w:fill="FFFFFF"/>
        </w:rPr>
        <w:t>Art. 15.</w:t>
      </w:r>
      <w:r w:rsidRPr="00C430C7">
        <w:rPr>
          <w:rFonts w:cstheme="minorHAnsi"/>
          <w:b/>
          <w:bCs/>
          <w:i/>
          <w:color w:val="000000"/>
          <w:shd w:val="clear" w:color="auto" w:fill="FFFFFF"/>
        </w:rPr>
        <w:t> </w:t>
      </w:r>
      <w:r w:rsidRPr="00C430C7">
        <w:rPr>
          <w:rFonts w:cstheme="minorHAnsi"/>
          <w:i/>
          <w:color w:val="000000"/>
          <w:shd w:val="clear" w:color="auto" w:fill="FFFFFF"/>
        </w:rPr>
        <w:t>Serão consideradas não autorizadas, irregulares e lesivas ao patrimônio público a geração de despesa ou assunção de obrigação que não atendam o disposto nos arts. 16 e 17.</w:t>
      </w:r>
    </w:p>
    <w:p w:rsidR="00DA24D4" w:rsidRPr="00D36612" w:rsidP="00DA24D4">
      <w:pPr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Do mesmo modo, impende ressaltar recente posicionamento do Supremo Tribunal Federal acerca da extensão da aplicação do art. 113, do Ato das Disposições Constitucionais Transitórias (ADCT) aos Estados e Municípios, estabelecendo a necessidade de apresentação de estimativa do impacto orçamentário e financeiro nas proposições legislativas que criem ou alterem despesa obrigatória ou renúncia de receita, </w:t>
      </w:r>
      <w:r w:rsidRPr="00D36612">
        <w:rPr>
          <w:rFonts w:cstheme="minorHAnsi"/>
          <w:i/>
          <w:sz w:val="24"/>
          <w:szCs w:val="24"/>
        </w:rPr>
        <w:t>in verbis:</w:t>
      </w:r>
    </w:p>
    <w:p w:rsidR="00DA24D4" w:rsidP="00DA24D4">
      <w:pPr>
        <w:spacing w:after="0"/>
        <w:ind w:left="2268"/>
        <w:jc w:val="both"/>
        <w:rPr>
          <w:rFonts w:cstheme="minorHAnsi"/>
        </w:rPr>
      </w:pPr>
      <w:r w:rsidRPr="00E10409">
        <w:rPr>
          <w:rFonts w:cstheme="minorHAnsi"/>
          <w:i/>
          <w:iCs/>
        </w:rPr>
        <w:t xml:space="preserve">Art. 113. </w:t>
      </w:r>
      <w:r w:rsidRPr="00E10409">
        <w:rPr>
          <w:rFonts w:cstheme="minorHAnsi"/>
          <w:b/>
          <w:bCs/>
          <w:i/>
          <w:iCs/>
        </w:rPr>
        <w:t>A proposição legislativa</w:t>
      </w:r>
      <w:r w:rsidR="00763CE3">
        <w:rPr>
          <w:rFonts w:cstheme="minorHAnsi"/>
          <w:b/>
          <w:bCs/>
          <w:i/>
          <w:iCs/>
        </w:rPr>
        <w:t xml:space="preserve"> </w:t>
      </w:r>
      <w:r w:rsidRPr="00E10409">
        <w:rPr>
          <w:rFonts w:cstheme="minorHAnsi"/>
          <w:b/>
          <w:i/>
          <w:iCs/>
        </w:rPr>
        <w:t>que crie ou altere despesa obrigatória</w:t>
      </w:r>
      <w:r w:rsidRPr="00E10409">
        <w:rPr>
          <w:rFonts w:cstheme="minorHAnsi"/>
          <w:i/>
          <w:iCs/>
        </w:rPr>
        <w:t xml:space="preserve"> ou </w:t>
      </w:r>
      <w:r w:rsidRPr="00E10409">
        <w:rPr>
          <w:rFonts w:cstheme="minorHAnsi"/>
          <w:bCs/>
          <w:i/>
          <w:iCs/>
        </w:rPr>
        <w:t>renúncia de receita</w:t>
      </w:r>
      <w:r w:rsidRPr="00E10409">
        <w:rPr>
          <w:rFonts w:cstheme="minorHAnsi"/>
          <w:b/>
          <w:bCs/>
          <w:i/>
          <w:iCs/>
        </w:rPr>
        <w:t xml:space="preserve"> deverá ser acompanhada da estimativa do seu impacto orçamentário e financeiro</w:t>
      </w:r>
      <w:r w:rsidRPr="00E10409">
        <w:rPr>
          <w:rFonts w:cstheme="minorHAnsi"/>
          <w:i/>
          <w:iCs/>
        </w:rPr>
        <w:t>. (Incluído pela Emenda Constitucional nº 95, de 2016</w:t>
      </w:r>
      <w:r w:rsidRPr="00E10409">
        <w:rPr>
          <w:rFonts w:cstheme="minorHAnsi"/>
        </w:rPr>
        <w:t>)</w:t>
      </w:r>
    </w:p>
    <w:p w:rsidR="00DA24D4" w:rsidRPr="00E10409" w:rsidP="00DA24D4">
      <w:pPr>
        <w:spacing w:after="0" w:line="240" w:lineRule="auto"/>
        <w:ind w:left="2268"/>
        <w:jc w:val="both"/>
        <w:rPr>
          <w:rFonts w:cstheme="minorHAnsi"/>
        </w:rPr>
      </w:pPr>
    </w:p>
    <w:p w:rsidR="00DA24D4" w:rsidRPr="00D36612" w:rsidP="00DA24D4">
      <w:pPr>
        <w:spacing w:after="240" w:line="360" w:lineRule="auto"/>
        <w:ind w:firstLine="1701"/>
        <w:jc w:val="both"/>
        <w:rPr>
          <w:rStyle w:val="Hyperlink"/>
          <w:rFonts w:cstheme="minorHAnsi"/>
          <w:i/>
          <w:color w:val="auto"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Vejamos algumas decisões da Suprema Corte acerca do tema: </w:t>
      </w:r>
      <w:r w:rsidRPr="00D36612" w:rsidR="00955AD1">
        <w:rPr>
          <w:rFonts w:cstheme="minorHAnsi"/>
          <w:i/>
          <w:sz w:val="24"/>
          <w:szCs w:val="24"/>
        </w:rPr>
        <w:fldChar w:fldCharType="begin"/>
      </w:r>
      <w:r w:rsidRPr="00D36612">
        <w:rPr>
          <w:rFonts w:cstheme="minorHAnsi"/>
          <w:i/>
          <w:sz w:val="24"/>
          <w:szCs w:val="24"/>
        </w:rPr>
        <w:instrText xml:space="preserve"> HYPERLINK "https://jurisprudencia.stf.jus.br/pages/search/sjur454022/false" </w:instrText>
      </w:r>
      <w:r w:rsidRPr="00D36612" w:rsidR="00955AD1">
        <w:rPr>
          <w:rFonts w:cstheme="minorHAnsi"/>
          <w:i/>
          <w:sz w:val="24"/>
          <w:szCs w:val="24"/>
        </w:rPr>
        <w:fldChar w:fldCharType="separate"/>
      </w:r>
    </w:p>
    <w:p w:rsidR="00DA24D4" w:rsidRPr="00D36612" w:rsidP="00DA24D4">
      <w:pPr>
        <w:pStyle w:val="Heading4"/>
        <w:spacing w:before="0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  <w:u w:val="single"/>
        </w:rPr>
        <w:t>ADI 6118</w:t>
      </w:r>
    </w:p>
    <w:p w:rsidR="00DA24D4" w:rsidRPr="00763CE3" w:rsidP="00DA24D4">
      <w:pPr>
        <w:spacing w:after="0" w:line="240" w:lineRule="auto"/>
        <w:ind w:left="2268"/>
        <w:jc w:val="both"/>
        <w:rPr>
          <w:rFonts w:cstheme="minorHAnsi"/>
          <w:i/>
          <w:sz w:val="12"/>
          <w:szCs w:val="12"/>
        </w:rPr>
      </w:pPr>
      <w:r w:rsidRPr="00D36612">
        <w:rPr>
          <w:rFonts w:cstheme="minorHAnsi"/>
          <w:i/>
        </w:rPr>
        <w:fldChar w:fldCharType="end"/>
      </w:r>
    </w:p>
    <w:p w:rsidR="00DA24D4" w:rsidRPr="00D36612" w:rsidP="00DA24D4">
      <w:pPr>
        <w:spacing w:after="0" w:line="240" w:lineRule="auto"/>
        <w:ind w:left="2268"/>
        <w:jc w:val="both"/>
        <w:rPr>
          <w:rFonts w:cstheme="minorHAnsi"/>
          <w:i/>
        </w:rPr>
      </w:pPr>
      <w:r w:rsidRPr="00D36612">
        <w:rPr>
          <w:rFonts w:cstheme="minorHAnsi"/>
        </w:rPr>
        <w:t>Órgão julgador: </w:t>
      </w:r>
      <w:r w:rsidRPr="00D36612">
        <w:rPr>
          <w:rFonts w:cstheme="minorHAnsi"/>
          <w:b/>
          <w:bCs/>
        </w:rPr>
        <w:t>Tribunal Pleno</w:t>
      </w:r>
    </w:p>
    <w:p w:rsidR="00DA24D4" w:rsidRPr="00D36612" w:rsidP="00DA24D4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Relator(a):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Min. EDSON FACHIN</w:t>
      </w:r>
    </w:p>
    <w:p w:rsidR="00DA24D4" w:rsidRPr="00D36612" w:rsidP="00DA24D4">
      <w:pPr>
        <w:pStyle w:val="Heading4"/>
        <w:spacing w:before="0" w:line="240" w:lineRule="auto"/>
        <w:ind w:left="2268" w:right="300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Julgamento: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28/06/2021</w:t>
      </w:r>
    </w:p>
    <w:p w:rsidR="00DA24D4" w:rsidRPr="00D36612" w:rsidP="00DA24D4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Publicação: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06/10/2021</w:t>
      </w:r>
    </w:p>
    <w:p w:rsidR="00763CE3" w:rsidP="00763CE3">
      <w:pPr>
        <w:pStyle w:val="jud-text"/>
        <w:spacing w:before="12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>Ementa: AÇÃO DIRETA DE INCONSTITUCIONALIDADE. DIREITO FINANCEIRO. LEI N.º 1.238, DE 22 DE JANEIRO DE 2018, DO ESTADO DE RORAIMA. PLANO DE CARGOS, CARREIRAS E REMUNERAÇÕES DOS SERVIDORES DA AGÊNCIA DE DEFESA AGROPECUÁRIA. ALEGAÇÃO DE OFENSA AOS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ARTIGOS</w:t>
      </w:r>
      <w:r w:rsidRPr="00C430C7">
        <w:rPr>
          <w:rFonts w:asciiTheme="minorHAnsi" w:hAnsiTheme="minorHAnsi" w:cstheme="minorHAnsi"/>
          <w:i/>
          <w:sz w:val="22"/>
          <w:szCs w:val="22"/>
        </w:rPr>
        <w:t> 169, § 1º, DA CONSTITUIÇÃO FEDERAL, E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113 DO</w:t>
      </w:r>
      <w:r w:rsidRPr="00C430C7">
        <w:rPr>
          <w:rFonts w:asciiTheme="minorHAnsi" w:hAnsiTheme="minorHAnsi" w:cstheme="minorHAnsi"/>
          <w:i/>
          <w:sz w:val="22"/>
          <w:szCs w:val="22"/>
        </w:rPr>
        <w:t> ATO DAS DISPOSIÇÕES CONSTITUCIONAIS TRANSITÓRIAS –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C430C7">
        <w:rPr>
          <w:rFonts w:asciiTheme="minorHAnsi" w:hAnsiTheme="minorHAnsi" w:cstheme="minorHAnsi"/>
          <w:i/>
          <w:sz w:val="22"/>
          <w:szCs w:val="22"/>
        </w:rPr>
        <w:t>. A AUSÊNCIA DE PRÉVIA DOTAÇÃO ORÇAMENTÁRIA NÃO IMPLICA INCONSTITUCIONALIDADE. IMPEDIMENTO DE APLICAÇÃO DA LEI CONCESSIVA DE VANTAGEM OU AUMENTO DE REMUNERAÇÃO A SERVIDORES PÚBLICOS NO RESPECTIVO EXERCÍCIO FINANCEIRO. NÃO CONHECIMENTO DA AÇÃO DIRETA QUANTO À SUPOSTA VIOLAÇÃO DO ARTIGO 169, § 1º, DA CRFB. 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 DO ADCT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DIRIGE-SE A TODOS OS ENTES FEDERATIVOS. AUSÊNCIA DE ESTIMATIVA DE IMPACTO ORÇAMENTÁRIO E FINANCEIRO DA LEI IMPUGNADA. INCONSTITUCIONALIDADE FORMAL. CONHECIMENTO PARCIAL DA AÇÃO E, NA PARTE CONHECIDA, JULGADO PROCEDENTE O PEDIDO. MODULAÇÃO DOS EFEITOS DA DECISÃO. </w:t>
      </w:r>
    </w:p>
    <w:p w:rsidR="00DA24D4" w:rsidRPr="00763CE3" w:rsidP="00763CE3">
      <w:pPr>
        <w:tabs>
          <w:tab w:val="left" w:pos="3015"/>
        </w:tabs>
        <w:spacing w:line="240" w:lineRule="auto"/>
        <w:rPr>
          <w:lang w:eastAsia="pt-BR"/>
        </w:rPr>
      </w:pPr>
      <w:r>
        <w:rPr>
          <w:lang w:eastAsia="pt-BR"/>
        </w:rPr>
        <w:tab/>
      </w:r>
    </w:p>
    <w:p w:rsidR="00DA24D4" w:rsidP="00763CE3">
      <w:pPr>
        <w:pStyle w:val="jud-text"/>
        <w:spacing w:before="12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1. A jurisprudência desta Casa firmou-se no sentido de que a ausência de dotação orçamentária prévia apenas impede a aplicação da 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legislação que implique aumento de despesa no respectivo exercício financeiro, sem que disso decorra a declaração de sua inconstitucionalidade. Precedentes. Ação direta não conhecida quanto à suposta violação do artigo 169, § 1º, da Constituição Federal. </w:t>
      </w:r>
    </w:p>
    <w:p w:rsidR="00DA24D4" w:rsidP="00763CE3">
      <w:pPr>
        <w:pStyle w:val="jud-text"/>
        <w:spacing w:before="12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2.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 do ADCT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 estende-se a todos os entes federativos. Precedentes.</w:t>
      </w:r>
    </w:p>
    <w:p w:rsidR="00DA24D4" w:rsidP="00763CE3">
      <w:pPr>
        <w:pStyle w:val="jud-text"/>
        <w:spacing w:before="12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 3. A normas impugnadas tratam de Plano de Cargos, Carreiras e Remuneração dos Servidores da Agência de Defesa Agropecuária do Estado de Roraima”, instituindo mobilidade na carreira, prevendo cargos de provimento efetivo e em comissão, remuneração para o regime de plantão, progressão horizontal e vertical, concessão de adicionais de interiorização, de qualificação, de fiscalização e de </w:t>
      </w:r>
      <w:r w:rsidRPr="00C430C7">
        <w:rPr>
          <w:rFonts w:asciiTheme="minorHAnsi" w:hAnsiTheme="minorHAnsi" w:cstheme="minorHAnsi"/>
          <w:i/>
          <w:sz w:val="22"/>
          <w:szCs w:val="22"/>
        </w:rPr>
        <w:t>penosidade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, além de fixar o vencimento básico, e normas conexas à sua efetivação.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A lei, porém, não foi instruída com a devida estimativa do seu impacto financeiro e orçamentário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DA24D4" w:rsidP="00763CE3">
      <w:pPr>
        <w:pStyle w:val="jud-text"/>
        <w:spacing w:before="12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4. Considerando que a norma produziu efeitos e permitiu o pagamento de verbas de natureza alimentar e considerando a dúvida inicial quanto ao alcance da norma da Constituição Federal, presentes os requisitos do art. 27 da Lei n.º 9.868/99, de modo que, a fim de preservar a segurança jurídica, propõe-se a modulação dos efeitos da declaração de inconstitucionalidade a partir da data da publicação da ata do presente julgamento. </w:t>
      </w:r>
    </w:p>
    <w:p w:rsidR="00DA24D4" w:rsidP="00763CE3">
      <w:pPr>
        <w:pStyle w:val="jud-text"/>
        <w:spacing w:before="12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5. Ação direta parcialmente conhecida e, na parte conhecida, pedido julgado procedente, a fim de declarar inconstitucionais os artigos 4º, incisos II e IV; 6º, parágrafo único; 8º; 10 a 13; 19 a 21; 26; 28 a 30; 32 a 34; 36; 37; 39 a 49; 55 a 57; e os Anexos I a III, todos da Lei nº 1.238, de 22 de janeiro de 2018, do Estado de Roraima, com efeitos </w:t>
      </w:r>
      <w:r w:rsidRPr="00C430C7">
        <w:rPr>
          <w:rFonts w:asciiTheme="minorHAnsi" w:hAnsiTheme="minorHAnsi" w:cstheme="minorHAnsi"/>
          <w:i/>
          <w:sz w:val="22"/>
          <w:szCs w:val="22"/>
        </w:rPr>
        <w:t>ex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nunc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DA24D4" w:rsidRPr="007E6D19" w:rsidP="00DA24D4">
      <w:pPr>
        <w:pStyle w:val="jud-text"/>
        <w:pBdr>
          <w:bottom w:val="single" w:sz="12" w:space="1" w:color="auto"/>
        </w:pBdr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DA24D4" w:rsidP="00DA24D4">
      <w:pPr>
        <w:ind w:left="2268"/>
        <w:jc w:val="both"/>
        <w:rPr>
          <w:rFonts w:cstheme="minorHAnsi"/>
          <w:b/>
          <w:i/>
          <w:u w:val="single"/>
        </w:rPr>
      </w:pPr>
      <w:r w:rsidRPr="00E10409">
        <w:rPr>
          <w:rFonts w:cstheme="minorHAnsi"/>
          <w:b/>
          <w:i/>
          <w:u w:val="single"/>
        </w:rPr>
        <w:t>ADI 6102</w:t>
      </w:r>
    </w:p>
    <w:p w:rsidR="00DA24D4" w:rsidRPr="00D36612" w:rsidP="00DA24D4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Órgão julgador: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Tribunal Pleno</w:t>
      </w:r>
    </w:p>
    <w:p w:rsidR="00DA24D4" w:rsidRPr="00D36612" w:rsidP="00DA24D4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Relator(a):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Min. ROSA WEBER</w:t>
      </w:r>
    </w:p>
    <w:p w:rsidR="00DA24D4" w:rsidRPr="00D36612" w:rsidP="00DA24D4">
      <w:pPr>
        <w:pStyle w:val="Heading4"/>
        <w:spacing w:before="0" w:line="240" w:lineRule="auto"/>
        <w:ind w:left="2268" w:right="300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Julgamento: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21/12/2020</w:t>
      </w:r>
    </w:p>
    <w:p w:rsidR="00DA24D4" w:rsidRPr="00D36612" w:rsidP="00DA24D4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Publicação: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10/02/2021</w:t>
      </w:r>
    </w:p>
    <w:p w:rsidR="00763CE3" w:rsidRPr="00763CE3" w:rsidP="00DA24D4">
      <w:pPr>
        <w:pStyle w:val="jud-text"/>
        <w:pBdr>
          <w:bottom w:val="single" w:sz="12" w:space="1" w:color="auto"/>
        </w:pBdr>
        <w:spacing w:before="75" w:beforeAutospacing="0" w:after="75" w:afterAutospacing="0" w:line="276" w:lineRule="auto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DA24D4" w:rsidRPr="00C430C7" w:rsidP="00763CE3">
      <w:pPr>
        <w:pStyle w:val="jud-text"/>
        <w:pBdr>
          <w:bottom w:val="single" w:sz="12" w:space="1" w:color="auto"/>
        </w:pBdr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63CE3">
        <w:rPr>
          <w:rFonts w:asciiTheme="minorHAnsi" w:hAnsiTheme="minorHAnsi" w:cstheme="minorHAnsi"/>
          <w:b/>
          <w:i/>
          <w:sz w:val="22"/>
          <w:szCs w:val="22"/>
        </w:rPr>
        <w:t>EMENTA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AÇÃO DIRETA DE INCONSTITUCIONALIDADE. DIREITO FINANCEIRO. LEI Nº 1.237, DE 22 DE JANEIRO DE 2018, DO ESTADO DE RORAIMA.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PLANO DE CARGOS, CARREIRAS E REMUNERAÇÕES DOS SERVIDORES PÚBLICOS EFETIVOS DA ÁREA ADMINISTRATIVA DA UNIVERSIDADE ESTADUAL DE RORAIMA – UERR.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ALEGAÇÃO DE OFENSA AOS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ARTIGOS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FEDERAL, E  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113</w:t>
      </w:r>
      <w:r w:rsidRPr="00C430C7">
        <w:rPr>
          <w:rFonts w:asciiTheme="minorHAnsi" w:hAnsiTheme="minorHAnsi" w:cstheme="minorHAnsi"/>
          <w:i/>
          <w:sz w:val="22"/>
          <w:szCs w:val="22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ATO DAS DISPOSIÇÕES CONSTITUCIONAIS 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TRANSITÓRIAS</w:t>
      </w:r>
      <w:r w:rsidRPr="00C430C7">
        <w:rPr>
          <w:rFonts w:asciiTheme="minorHAnsi" w:hAnsiTheme="minorHAnsi" w:cstheme="minorHAnsi"/>
          <w:i/>
          <w:sz w:val="22"/>
          <w:szCs w:val="22"/>
        </w:rPr>
        <w:t> –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C430C7">
        <w:rPr>
          <w:rFonts w:asciiTheme="minorHAnsi" w:hAnsiTheme="minorHAnsi" w:cstheme="minorHAnsi"/>
          <w:i/>
          <w:sz w:val="22"/>
          <w:szCs w:val="22"/>
        </w:rPr>
        <w:t>. A AUSÊNCIA DE PRÉVIA DOTAÇÃO ORÇAMENTÁRIA NÃO IMPLICA INCONSTITUCIONALIDADE. IMPEDIMENTO DE APLICAÇÃO DA LEI CONCESSIVA DE VANTAGEM OU AUMENTO DE REMUNERAÇÃO A SERVIDORES PÚBLICOS NO RESPECTIVO EXERCÍCIO FINANCEIRO. NÃO CONHECIMENTO DA AÇÃO DIRETA QUANTO À SUPOSTA VIOLAÇÃO DO </w:t>
      </w:r>
      <w:r w:rsidRPr="00C430C7">
        <w:rPr>
          <w:rStyle w:val="Emphasis"/>
          <w:rFonts w:asciiTheme="minorHAnsi" w:hAnsiTheme="minorHAnsi" w:cstheme="minorHAnsi"/>
          <w:bCs/>
          <w:sz w:val="22"/>
          <w:szCs w:val="22"/>
        </w:rPr>
        <w:t>ARTIGO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 xml:space="preserve"> DIRIGE-SE A TODOS OS ENTES FEDERATIVOS. AUSÊNCIA DE ESTIMATIVA DE IMPACTO ORÇAMENTÁRIO E FINANCEIRO DA LEI IMPUGNADA. INCONSTITUCIONALIDADE FORMAL. </w:t>
      </w:r>
      <w:r w:rsidRPr="00C430C7">
        <w:rPr>
          <w:rFonts w:asciiTheme="minorHAnsi" w:hAnsiTheme="minorHAnsi" w:cstheme="minorHAnsi"/>
          <w:i/>
          <w:sz w:val="22"/>
          <w:szCs w:val="22"/>
        </w:rPr>
        <w:t>CONHECIMENTO PARCIAL DA AÇÃO E, NA PARTE CONHECIDA, JULGADO PROCEDENTE O PEDIDO. MODULAÇÃO DOS EFEITOS DA DECISÃO. 1. A jurisprudência desta Casa firmou-se no sentido de que a ausência de dotação orçamentária prévia apenas impede a aplicação da legislação que implique aumento de despesa no respectivo exercício financeiro, sem que disso decorra a declaração de sua inconstitucionalidade. Precedentes. Ação direta não conhecida quanto à suposta violação do </w:t>
      </w:r>
      <w:r w:rsidRPr="00C430C7">
        <w:rPr>
          <w:rStyle w:val="Emphasis"/>
          <w:rFonts w:asciiTheme="minorHAnsi" w:hAnsiTheme="minorHAnsi" w:cstheme="minorHAnsi"/>
          <w:bCs/>
          <w:sz w:val="22"/>
          <w:szCs w:val="22"/>
        </w:rPr>
        <w:t>artigo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Federal. 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2. 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artigo 113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ADCT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 tem caráter nacional e irradia obrigações a todos os entes federativos. Precedentes. 3. A Lei nº 1.237/2018 do Estado de Roraima cria e altera despesas obrigatórias de forma a gerar impacto orçamentário. A ausência de prévia instrução da proposta legislativa com a estimativa do impacto financeiro e orçamentário, nos termos 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art. 113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ADCT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, aplicável a todos os entes federativos, implica inconstitucionalidade formal.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4. O ato normativo, não obstante viciado na sua origem, acarretou o pagamento a servidores. O caráter alimentício das verbas auferidas demonstra a inviabilidade de ressarcimento dos valores. Modulação dos efeitos da decisão para proteger a confiança legítima que resultou na aplicação da lei e preservar a boa-fé objetiva. 5. Conhecimento parcial da ação direta e, na parte conhecida, julgado procedente o pedido para declarar a inconstitucionalidade formal da Lei nº 1.237, de 22 de janeiro de 2018, do Estado de Roraima.</w:t>
      </w:r>
    </w:p>
    <w:p w:rsidR="00DA24D4" w:rsidRPr="00D36612" w:rsidP="00DA24D4">
      <w:pPr>
        <w:spacing w:after="120" w:line="360" w:lineRule="auto"/>
        <w:ind w:firstLine="1701"/>
        <w:jc w:val="both"/>
        <w:rPr>
          <w:rFonts w:cstheme="minorHAnsi"/>
          <w:sz w:val="12"/>
          <w:szCs w:val="12"/>
        </w:rPr>
      </w:pPr>
    </w:p>
    <w:p w:rsidR="00DA24D4" w:rsidRPr="00D36612" w:rsidP="00DA24D4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>No mesmo sentido, colacionamos decisão da Corte Paulista:</w:t>
      </w:r>
    </w:p>
    <w:p w:rsidR="00DA24D4" w:rsidP="00DA24D4">
      <w:pPr>
        <w:spacing w:after="120"/>
        <w:ind w:left="2268"/>
        <w:jc w:val="both"/>
        <w:rPr>
          <w:rFonts w:cstheme="minorHAnsi"/>
          <w:i/>
        </w:rPr>
      </w:pPr>
      <w:r w:rsidRPr="00C430C7">
        <w:rPr>
          <w:rFonts w:cstheme="minorHAnsi"/>
          <w:i/>
        </w:rPr>
        <w:t xml:space="preserve">AÇÃO DIRETA DE INCONSTITUCIONALIDADE Lei Municipal nº 5.398, de 28 de abril de 2020, do Município de Mogi Guaçu, de iniciativa parlamentar, autorizando o Poder Executivo a parcelar o recolhimento do Imposto de Transmissão de Bens Imóveis ITBI , a qualquer título, sem incidência de juros e correção monetária. Observância ao art. 113 do ADCT. Inocorrência. Inconstitucionalidade. Ação objetiva. Causa de pedido aberta. </w:t>
      </w:r>
      <w:r w:rsidRPr="00FF3035">
        <w:rPr>
          <w:rFonts w:cstheme="minorHAnsi"/>
          <w:i/>
        </w:rPr>
        <w:t xml:space="preserve">Obrigação de estimativa de impacto orçamentário e financeiro nos casos em que a lei implique </w:t>
      </w:r>
      <w:r w:rsidRPr="00FF3035">
        <w:rPr>
          <w:rFonts w:cstheme="minorHAnsi"/>
          <w:i/>
        </w:rPr>
        <w:t>renúncia de receita.</w:t>
      </w:r>
      <w:r w:rsidRPr="00C430C7">
        <w:rPr>
          <w:rFonts w:cstheme="minorHAnsi"/>
          <w:b/>
          <w:i/>
        </w:rPr>
        <w:t xml:space="preserve"> Recente orientação do </w:t>
      </w:r>
      <w:r w:rsidRPr="00C430C7">
        <w:rPr>
          <w:rFonts w:cstheme="minorHAnsi"/>
          <w:b/>
          <w:i/>
        </w:rPr>
        <w:t>Eg</w:t>
      </w:r>
      <w:r w:rsidRPr="00C430C7">
        <w:rPr>
          <w:rFonts w:cstheme="minorHAnsi"/>
          <w:b/>
          <w:i/>
        </w:rPr>
        <w:t xml:space="preserve">. Supremo Tribunal Federal, aplicando o art. 113, do ADCT, a todos os entes federativos. Revisão do posicionamento deste C. Órgão Especial adotando a linha superiormente fixada. </w:t>
      </w:r>
      <w:r w:rsidRPr="00C430C7">
        <w:rPr>
          <w:rFonts w:cstheme="minorHAnsi"/>
          <w:i/>
        </w:rPr>
        <w:t>Ação procedente.(TJSP. ADI nº 2.197.983-75.2020.8.26.0000. Relator Des. Evaristo dos Santos. Data do julgamento: 17/11/2021)</w:t>
      </w:r>
    </w:p>
    <w:p w:rsidR="00DA24D4" w:rsidRPr="00E10409" w:rsidP="00DA24D4">
      <w:pPr>
        <w:spacing w:after="120"/>
        <w:ind w:left="2268"/>
        <w:jc w:val="both"/>
        <w:rPr>
          <w:rFonts w:cstheme="minorHAnsi"/>
          <w:i/>
          <w:sz w:val="12"/>
          <w:szCs w:val="12"/>
        </w:rPr>
      </w:pPr>
    </w:p>
    <w:p w:rsidR="00DA24D4" w:rsidRPr="00D36612" w:rsidP="00DA24D4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>Destarte, consoante entendimento jurisprudencial o art. 113 do ADCT aplica-se a todos os entes da federação, sendo requisito de validade formal de leis que criem despesa ou concedam benefícios fiscais à instrução da proposta legislativa com a estimativa do impacto financeiro e orçamentário.</w:t>
      </w:r>
    </w:p>
    <w:p w:rsidR="00DA24D4" w:rsidRPr="0037518E" w:rsidP="00DA24D4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u w:val="single"/>
        </w:rPr>
      </w:pPr>
      <w:r w:rsidRPr="0037518E">
        <w:rPr>
          <w:rFonts w:asciiTheme="minorHAnsi" w:hAnsiTheme="minorHAnsi" w:cstheme="minorHAnsi"/>
          <w:szCs w:val="24"/>
          <w:u w:val="single"/>
        </w:rPr>
        <w:t xml:space="preserve">Neste aspecto, observamos que a proposição encontra-se instruída </w:t>
      </w:r>
      <w:r w:rsidRPr="00724045">
        <w:rPr>
          <w:rFonts w:asciiTheme="minorHAnsi" w:hAnsiTheme="minorHAnsi" w:cstheme="minorHAnsi"/>
          <w:szCs w:val="24"/>
          <w:u w:val="single"/>
        </w:rPr>
        <w:t xml:space="preserve">com </w:t>
      </w:r>
      <w:r w:rsidRPr="00724045" w:rsidR="00B40ABD">
        <w:rPr>
          <w:rFonts w:asciiTheme="minorHAnsi" w:hAnsiTheme="minorHAnsi" w:cstheme="minorHAnsi"/>
          <w:szCs w:val="24"/>
          <w:u w:val="single"/>
        </w:rPr>
        <w:t xml:space="preserve">declaração da ordenadora de despesas e </w:t>
      </w:r>
      <w:r w:rsidRPr="0037518E">
        <w:rPr>
          <w:rFonts w:asciiTheme="minorHAnsi" w:hAnsiTheme="minorHAnsi" w:cstheme="minorHAnsi"/>
          <w:szCs w:val="24"/>
          <w:u w:val="single"/>
        </w:rPr>
        <w:t xml:space="preserve">a estimativa de </w:t>
      </w:r>
      <w:r w:rsidRPr="0037518E" w:rsidR="00B40ABD">
        <w:rPr>
          <w:rFonts w:asciiTheme="minorHAnsi" w:hAnsiTheme="minorHAnsi" w:cstheme="minorHAnsi"/>
          <w:szCs w:val="24"/>
          <w:u w:val="single"/>
        </w:rPr>
        <w:t xml:space="preserve">impacto orçamentário-financeiro elaborado pelo </w:t>
      </w:r>
      <w:r w:rsidRPr="0037518E">
        <w:rPr>
          <w:rFonts w:asciiTheme="minorHAnsi" w:hAnsiTheme="minorHAnsi" w:cstheme="minorHAnsi"/>
          <w:szCs w:val="24"/>
          <w:u w:val="single"/>
        </w:rPr>
        <w:t>Departam</w:t>
      </w:r>
      <w:r w:rsidRPr="0037518E" w:rsidR="00862797">
        <w:rPr>
          <w:rFonts w:asciiTheme="minorHAnsi" w:hAnsiTheme="minorHAnsi" w:cstheme="minorHAnsi"/>
          <w:szCs w:val="24"/>
          <w:u w:val="single"/>
        </w:rPr>
        <w:t xml:space="preserve">ento de Finanças </w:t>
      </w:r>
      <w:r w:rsidR="00B40ABD">
        <w:rPr>
          <w:rFonts w:asciiTheme="minorHAnsi" w:hAnsiTheme="minorHAnsi" w:cstheme="minorHAnsi"/>
          <w:szCs w:val="24"/>
          <w:u w:val="single"/>
        </w:rPr>
        <w:t xml:space="preserve">(página </w:t>
      </w:r>
      <w:r w:rsidR="00724045">
        <w:rPr>
          <w:rFonts w:asciiTheme="minorHAnsi" w:hAnsiTheme="minorHAnsi" w:cstheme="minorHAnsi"/>
          <w:szCs w:val="24"/>
          <w:u w:val="single"/>
        </w:rPr>
        <w:t>04</w:t>
      </w:r>
      <w:r w:rsidRPr="0037518E">
        <w:rPr>
          <w:rFonts w:asciiTheme="minorHAnsi" w:hAnsiTheme="minorHAnsi" w:cstheme="minorHAnsi"/>
          <w:szCs w:val="24"/>
          <w:u w:val="single"/>
        </w:rPr>
        <w:t>).</w:t>
      </w:r>
    </w:p>
    <w:p w:rsidR="001900C3" w:rsidRPr="006405CE" w:rsidP="001900C3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5CE">
        <w:rPr>
          <w:rFonts w:asciiTheme="minorHAnsi" w:hAnsiTheme="minorHAnsi" w:cstheme="minorHAnsi"/>
          <w:szCs w:val="24"/>
        </w:rPr>
        <w:t xml:space="preserve">Por fim, quanto ao aspecto gramatical e lógico </w:t>
      </w:r>
      <w:r w:rsidR="00724045">
        <w:rPr>
          <w:rFonts w:asciiTheme="minorHAnsi" w:hAnsiTheme="minorHAnsi" w:cstheme="minorHAnsi"/>
          <w:szCs w:val="24"/>
        </w:rPr>
        <w:t>a emenda</w:t>
      </w:r>
      <w:r w:rsidRPr="006405CE">
        <w:rPr>
          <w:rFonts w:asciiTheme="minorHAnsi" w:hAnsiTheme="minorHAnsi" w:cstheme="minorHAnsi"/>
          <w:szCs w:val="24"/>
        </w:rPr>
        <w:t xml:space="preserve">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AF0F9C" w:rsidP="00100254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AF0F9C">
        <w:rPr>
          <w:rFonts w:ascii="Calibri" w:hAnsi="Calibri" w:cs="Calibri"/>
        </w:rPr>
        <w:t xml:space="preserve">Ante todo o exposto, </w:t>
      </w:r>
      <w:r w:rsidRPr="00AF0F9C" w:rsidR="00D36612">
        <w:rPr>
          <w:rFonts w:ascii="Calibri" w:hAnsi="Calibri" w:cs="Calibri"/>
        </w:rPr>
        <w:t>opinamos pela constitucionalidade e legalidade do projeto</w:t>
      </w:r>
      <w:r w:rsidR="00724045">
        <w:rPr>
          <w:rFonts w:ascii="Calibri" w:hAnsi="Calibri" w:cs="Calibri"/>
        </w:rPr>
        <w:t xml:space="preserve"> de emenda</w:t>
      </w:r>
      <w:r w:rsidRPr="00AF0F9C" w:rsidR="00D36612">
        <w:rPr>
          <w:rFonts w:ascii="Calibri" w:hAnsi="Calibri" w:cs="Calibri"/>
        </w:rPr>
        <w:t xml:space="preserve">. </w:t>
      </w:r>
      <w:r w:rsidRPr="00AF0F9C" w:rsidR="0061442B">
        <w:rPr>
          <w:rFonts w:eastAsia="Calibri" w:asciiTheme="minorHAnsi" w:hAnsiTheme="minorHAnsi" w:cstheme="minorHAnsi"/>
        </w:rPr>
        <w:t>Sobre o mérito, manifestar-se-á o Plenário de forma soberana.</w:t>
      </w:r>
    </w:p>
    <w:p w:rsidR="001900C3" w:rsidRPr="006405CE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É o parecer</w:t>
      </w:r>
      <w:r w:rsidRPr="006405CE" w:rsidR="00C911DC">
        <w:rPr>
          <w:rFonts w:cstheme="minorHAnsi"/>
          <w:sz w:val="24"/>
          <w:szCs w:val="24"/>
        </w:rPr>
        <w:t>.</w:t>
      </w:r>
    </w:p>
    <w:p w:rsidR="00623AD7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6405CE">
        <w:rPr>
          <w:rFonts w:cstheme="minorHAnsi"/>
          <w:sz w:val="24"/>
          <w:szCs w:val="24"/>
        </w:rPr>
        <w:t>Procuradoria</w:t>
      </w:r>
      <w:r w:rsidRPr="006405CE">
        <w:rPr>
          <w:rFonts w:cstheme="minorHAnsi"/>
          <w:sz w:val="24"/>
          <w:szCs w:val="24"/>
        </w:rPr>
        <w:t xml:space="preserve">, aos </w:t>
      </w:r>
      <w:r w:rsidR="00D25C04">
        <w:rPr>
          <w:rFonts w:cstheme="minorHAnsi"/>
          <w:sz w:val="24"/>
          <w:szCs w:val="24"/>
        </w:rPr>
        <w:t>1</w:t>
      </w:r>
      <w:r w:rsidR="00724045">
        <w:rPr>
          <w:rFonts w:cstheme="minorHAnsi"/>
          <w:sz w:val="24"/>
          <w:szCs w:val="24"/>
        </w:rPr>
        <w:t>4</w:t>
      </w:r>
      <w:r w:rsidR="00AB285F">
        <w:rPr>
          <w:rFonts w:cstheme="minorHAnsi"/>
          <w:sz w:val="24"/>
          <w:szCs w:val="24"/>
        </w:rPr>
        <w:t xml:space="preserve"> </w:t>
      </w:r>
      <w:r w:rsidRPr="006405CE">
        <w:rPr>
          <w:rFonts w:cstheme="minorHAnsi"/>
          <w:sz w:val="24"/>
          <w:szCs w:val="24"/>
        </w:rPr>
        <w:t xml:space="preserve">de </w:t>
      </w:r>
      <w:r w:rsidR="00D25C04">
        <w:rPr>
          <w:rFonts w:cstheme="minorHAnsi"/>
          <w:sz w:val="24"/>
          <w:szCs w:val="24"/>
        </w:rPr>
        <w:t>junho</w:t>
      </w:r>
      <w:r w:rsidRPr="006405CE">
        <w:rPr>
          <w:rFonts w:cstheme="minorHAnsi"/>
          <w:sz w:val="24"/>
          <w:szCs w:val="24"/>
        </w:rPr>
        <w:t xml:space="preserve"> de 20</w:t>
      </w:r>
      <w:r w:rsidRPr="006405CE" w:rsidR="00F66849">
        <w:rPr>
          <w:rFonts w:cstheme="minorHAnsi"/>
          <w:sz w:val="24"/>
          <w:szCs w:val="24"/>
        </w:rPr>
        <w:t>2</w:t>
      </w:r>
      <w:r w:rsidR="00597DBB">
        <w:rPr>
          <w:rFonts w:cstheme="minorHAnsi"/>
          <w:sz w:val="24"/>
          <w:szCs w:val="24"/>
        </w:rPr>
        <w:t>3</w:t>
      </w:r>
      <w:bookmarkStart w:id="17" w:name="_GoBack"/>
      <w:bookmarkEnd w:id="17"/>
      <w:r w:rsidRPr="006405CE">
        <w:rPr>
          <w:rFonts w:cstheme="minorHAnsi"/>
          <w:sz w:val="24"/>
          <w:szCs w:val="24"/>
        </w:rPr>
        <w:t>.</w:t>
      </w:r>
    </w:p>
    <w:p w:rsidR="00862797" w:rsidRPr="006405CE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</w:p>
    <w:p w:rsidR="00D36612" w:rsidRPr="006405CE" w:rsidP="001900C3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b/>
          <w:szCs w:val="24"/>
        </w:rPr>
      </w:pPr>
    </w:p>
    <w:p w:rsidR="00623AD7" w:rsidRPr="006405CE" w:rsidP="00F505B3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405C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RPr="006405CE" w:rsidP="00F505B3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405CE">
        <w:rPr>
          <w:rFonts w:asciiTheme="minorHAnsi" w:hAnsiTheme="minorHAnsi" w:cstheme="minorHAnsi"/>
          <w:b/>
          <w:szCs w:val="24"/>
        </w:rPr>
        <w:t>Procuradora - OAB/SP 308.298</w:t>
      </w:r>
    </w:p>
    <w:p w:rsidR="00055A36" w:rsidRPr="006405CE" w:rsidP="00F505B3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  <w:r w:rsidRPr="006405CE">
        <w:rPr>
          <w:rFonts w:asciiTheme="minorHAnsi" w:hAnsiTheme="minorHAnsi" w:cstheme="minorHAnsi"/>
          <w:szCs w:val="24"/>
        </w:rPr>
        <w:t>Assinatura Eletrônica</w:t>
      </w:r>
    </w:p>
    <w:sectPr w:rsidSect="00106ADB">
      <w:headerReference w:type="default" r:id="rId13"/>
      <w:foot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03012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03012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03012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D03012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97DBB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97DBB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03012">
      <w:pPr>
        <w:spacing w:after="0" w:line="240" w:lineRule="auto"/>
      </w:pPr>
      <w:r>
        <w:separator/>
      </w:r>
    </w:p>
  </w:footnote>
  <w:footnote w:type="continuationSeparator" w:id="1">
    <w:p w:rsidR="00D03012">
      <w:pPr>
        <w:spacing w:after="0" w:line="240" w:lineRule="auto"/>
      </w:pPr>
      <w:r>
        <w:continuationSeparator/>
      </w:r>
    </w:p>
  </w:footnote>
  <w:footnote w:id="2">
    <w:p w:rsidR="00D03012" w:rsidRPr="00F154E2" w:rsidP="001B2556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 w:rsidR="00763CE3">
        <w:rPr>
          <w:i/>
          <w:iCs/>
          <w:sz w:val="18"/>
          <w:szCs w:val="18"/>
        </w:rPr>
        <w:t xml:space="preserve">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724045" w:rsidRPr="006405CE" w:rsidP="00724045">
      <w:pPr>
        <w:pStyle w:val="Default"/>
        <w:spacing w:after="240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exoficio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)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7240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012" w:rsidP="003C2F5F">
    <w:pPr>
      <w:pStyle w:val="Header"/>
      <w:jc w:val="center"/>
      <w:rPr>
        <w:b/>
        <w:sz w:val="26"/>
        <w:lang w:val="pt-PT"/>
      </w:rPr>
    </w:pPr>
  </w:p>
  <w:p w:rsidR="00D03012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012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0647240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409931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825543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03012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356480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825537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03012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03012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03012" w:rsidP="003C2F5F">
    <w:pPr>
      <w:pStyle w:val="Header"/>
    </w:pPr>
  </w:p>
  <w:p w:rsidR="00D03012" w:rsidP="003C2F5F">
    <w:pPr>
      <w:pStyle w:val="Header"/>
    </w:pPr>
  </w:p>
  <w:p w:rsidR="00D03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353E09F0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406A9"/>
    <w:rsid w:val="00047E2E"/>
    <w:rsid w:val="00053466"/>
    <w:rsid w:val="00054297"/>
    <w:rsid w:val="00055A36"/>
    <w:rsid w:val="00055CC4"/>
    <w:rsid w:val="00055D2C"/>
    <w:rsid w:val="00057AD0"/>
    <w:rsid w:val="00060B2C"/>
    <w:rsid w:val="0006637E"/>
    <w:rsid w:val="000854D9"/>
    <w:rsid w:val="000863AF"/>
    <w:rsid w:val="00093998"/>
    <w:rsid w:val="000A1978"/>
    <w:rsid w:val="000A2B7F"/>
    <w:rsid w:val="000A7266"/>
    <w:rsid w:val="000B17B5"/>
    <w:rsid w:val="000B34F9"/>
    <w:rsid w:val="000C070B"/>
    <w:rsid w:val="000C4719"/>
    <w:rsid w:val="000D62E2"/>
    <w:rsid w:val="000E0541"/>
    <w:rsid w:val="000E0DF9"/>
    <w:rsid w:val="000E24FC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46B32"/>
    <w:rsid w:val="00150E74"/>
    <w:rsid w:val="00166B9A"/>
    <w:rsid w:val="00171311"/>
    <w:rsid w:val="00175485"/>
    <w:rsid w:val="001774F7"/>
    <w:rsid w:val="00186563"/>
    <w:rsid w:val="00186BFA"/>
    <w:rsid w:val="001900C3"/>
    <w:rsid w:val="00196AA5"/>
    <w:rsid w:val="0019790A"/>
    <w:rsid w:val="001B2556"/>
    <w:rsid w:val="001B380C"/>
    <w:rsid w:val="001B39B0"/>
    <w:rsid w:val="001C4948"/>
    <w:rsid w:val="001C49E1"/>
    <w:rsid w:val="001D010E"/>
    <w:rsid w:val="0020730E"/>
    <w:rsid w:val="0021594C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D6487"/>
    <w:rsid w:val="002E06DC"/>
    <w:rsid w:val="002E0B93"/>
    <w:rsid w:val="002F1549"/>
    <w:rsid w:val="002F5795"/>
    <w:rsid w:val="003128C1"/>
    <w:rsid w:val="003132A3"/>
    <w:rsid w:val="003210F0"/>
    <w:rsid w:val="00350F60"/>
    <w:rsid w:val="0037518E"/>
    <w:rsid w:val="00380583"/>
    <w:rsid w:val="003856D7"/>
    <w:rsid w:val="00391CD8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610A"/>
    <w:rsid w:val="003F6ED2"/>
    <w:rsid w:val="0040409A"/>
    <w:rsid w:val="00407A33"/>
    <w:rsid w:val="00415C7A"/>
    <w:rsid w:val="00417261"/>
    <w:rsid w:val="00417BC0"/>
    <w:rsid w:val="00427BE6"/>
    <w:rsid w:val="0043016F"/>
    <w:rsid w:val="00433A4C"/>
    <w:rsid w:val="0045236F"/>
    <w:rsid w:val="00465FE0"/>
    <w:rsid w:val="004738DA"/>
    <w:rsid w:val="00483544"/>
    <w:rsid w:val="004A287A"/>
    <w:rsid w:val="004D6EED"/>
    <w:rsid w:val="005056F7"/>
    <w:rsid w:val="005101D9"/>
    <w:rsid w:val="00531B48"/>
    <w:rsid w:val="0054429B"/>
    <w:rsid w:val="00551B9D"/>
    <w:rsid w:val="00553C12"/>
    <w:rsid w:val="005649C7"/>
    <w:rsid w:val="005660DC"/>
    <w:rsid w:val="00572C26"/>
    <w:rsid w:val="0058062A"/>
    <w:rsid w:val="00582F11"/>
    <w:rsid w:val="00585C59"/>
    <w:rsid w:val="00591032"/>
    <w:rsid w:val="00593369"/>
    <w:rsid w:val="00596241"/>
    <w:rsid w:val="00597DBB"/>
    <w:rsid w:val="005A1CB4"/>
    <w:rsid w:val="005B66AE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25539"/>
    <w:rsid w:val="0063663D"/>
    <w:rsid w:val="006405CE"/>
    <w:rsid w:val="00644ED3"/>
    <w:rsid w:val="006504F4"/>
    <w:rsid w:val="00650EA3"/>
    <w:rsid w:val="0065692D"/>
    <w:rsid w:val="00673842"/>
    <w:rsid w:val="0067562F"/>
    <w:rsid w:val="00686242"/>
    <w:rsid w:val="00687B41"/>
    <w:rsid w:val="006A10A0"/>
    <w:rsid w:val="006A1A17"/>
    <w:rsid w:val="006A5B5D"/>
    <w:rsid w:val="006B0996"/>
    <w:rsid w:val="006B1DD9"/>
    <w:rsid w:val="006D1203"/>
    <w:rsid w:val="006D2F36"/>
    <w:rsid w:val="006E00C4"/>
    <w:rsid w:val="006E069F"/>
    <w:rsid w:val="006E3BE4"/>
    <w:rsid w:val="006E43B0"/>
    <w:rsid w:val="006E4468"/>
    <w:rsid w:val="006E4F1C"/>
    <w:rsid w:val="006F0642"/>
    <w:rsid w:val="006F5D83"/>
    <w:rsid w:val="006F6EBB"/>
    <w:rsid w:val="0070570A"/>
    <w:rsid w:val="007111F6"/>
    <w:rsid w:val="0071405C"/>
    <w:rsid w:val="00724045"/>
    <w:rsid w:val="007277F2"/>
    <w:rsid w:val="0073426E"/>
    <w:rsid w:val="00742CBA"/>
    <w:rsid w:val="00743338"/>
    <w:rsid w:val="007445E7"/>
    <w:rsid w:val="007479A7"/>
    <w:rsid w:val="00753377"/>
    <w:rsid w:val="00763CE3"/>
    <w:rsid w:val="007711FB"/>
    <w:rsid w:val="0079319A"/>
    <w:rsid w:val="007A3E43"/>
    <w:rsid w:val="007C7735"/>
    <w:rsid w:val="007D24E4"/>
    <w:rsid w:val="007D6467"/>
    <w:rsid w:val="007E1938"/>
    <w:rsid w:val="007E1F99"/>
    <w:rsid w:val="007E3525"/>
    <w:rsid w:val="007E684E"/>
    <w:rsid w:val="007E6D19"/>
    <w:rsid w:val="007E6E69"/>
    <w:rsid w:val="007F74E9"/>
    <w:rsid w:val="00805484"/>
    <w:rsid w:val="00815A68"/>
    <w:rsid w:val="00833548"/>
    <w:rsid w:val="00840756"/>
    <w:rsid w:val="00843AF6"/>
    <w:rsid w:val="00844F2A"/>
    <w:rsid w:val="0085120B"/>
    <w:rsid w:val="008549DB"/>
    <w:rsid w:val="00862797"/>
    <w:rsid w:val="0086490C"/>
    <w:rsid w:val="00866252"/>
    <w:rsid w:val="00867EC0"/>
    <w:rsid w:val="008706BC"/>
    <w:rsid w:val="008743BF"/>
    <w:rsid w:val="00880E5C"/>
    <w:rsid w:val="008973C1"/>
    <w:rsid w:val="008A49B2"/>
    <w:rsid w:val="008B446B"/>
    <w:rsid w:val="008B6D80"/>
    <w:rsid w:val="008C29F0"/>
    <w:rsid w:val="008C6F6B"/>
    <w:rsid w:val="008D48C2"/>
    <w:rsid w:val="008D545A"/>
    <w:rsid w:val="008D5AFC"/>
    <w:rsid w:val="008D67BD"/>
    <w:rsid w:val="008E20DD"/>
    <w:rsid w:val="008E7C91"/>
    <w:rsid w:val="008F1AFA"/>
    <w:rsid w:val="008F5FCA"/>
    <w:rsid w:val="00907BC1"/>
    <w:rsid w:val="0092151D"/>
    <w:rsid w:val="00924DE9"/>
    <w:rsid w:val="0094325E"/>
    <w:rsid w:val="009513F9"/>
    <w:rsid w:val="00955AD1"/>
    <w:rsid w:val="0097085A"/>
    <w:rsid w:val="0097182D"/>
    <w:rsid w:val="00973E66"/>
    <w:rsid w:val="00985CD8"/>
    <w:rsid w:val="00987EDC"/>
    <w:rsid w:val="00990D8F"/>
    <w:rsid w:val="00991BA0"/>
    <w:rsid w:val="00995E87"/>
    <w:rsid w:val="009A6ACD"/>
    <w:rsid w:val="009C736C"/>
    <w:rsid w:val="009D276A"/>
    <w:rsid w:val="009F0F77"/>
    <w:rsid w:val="009F1FC7"/>
    <w:rsid w:val="00A21575"/>
    <w:rsid w:val="00A32BE6"/>
    <w:rsid w:val="00A33922"/>
    <w:rsid w:val="00A369D9"/>
    <w:rsid w:val="00A44636"/>
    <w:rsid w:val="00A455A2"/>
    <w:rsid w:val="00A65EAF"/>
    <w:rsid w:val="00A7003F"/>
    <w:rsid w:val="00A731C0"/>
    <w:rsid w:val="00A816F6"/>
    <w:rsid w:val="00A84A80"/>
    <w:rsid w:val="00A975C6"/>
    <w:rsid w:val="00AA19F5"/>
    <w:rsid w:val="00AB02F8"/>
    <w:rsid w:val="00AB0338"/>
    <w:rsid w:val="00AB285F"/>
    <w:rsid w:val="00AB426C"/>
    <w:rsid w:val="00AC632E"/>
    <w:rsid w:val="00AC6375"/>
    <w:rsid w:val="00AD2EF4"/>
    <w:rsid w:val="00AD41DD"/>
    <w:rsid w:val="00AE0392"/>
    <w:rsid w:val="00AE0CD8"/>
    <w:rsid w:val="00AE459A"/>
    <w:rsid w:val="00AF0F9C"/>
    <w:rsid w:val="00B20851"/>
    <w:rsid w:val="00B21513"/>
    <w:rsid w:val="00B36919"/>
    <w:rsid w:val="00B40ABD"/>
    <w:rsid w:val="00B4272B"/>
    <w:rsid w:val="00B51914"/>
    <w:rsid w:val="00B6446F"/>
    <w:rsid w:val="00B77DD5"/>
    <w:rsid w:val="00B82BF4"/>
    <w:rsid w:val="00B9191A"/>
    <w:rsid w:val="00BA60E8"/>
    <w:rsid w:val="00BA71BB"/>
    <w:rsid w:val="00BB2737"/>
    <w:rsid w:val="00BB304E"/>
    <w:rsid w:val="00BB4A3C"/>
    <w:rsid w:val="00BB699B"/>
    <w:rsid w:val="00BC1CA3"/>
    <w:rsid w:val="00BD7376"/>
    <w:rsid w:val="00BE272B"/>
    <w:rsid w:val="00BF1E38"/>
    <w:rsid w:val="00BF6582"/>
    <w:rsid w:val="00C037D3"/>
    <w:rsid w:val="00C16375"/>
    <w:rsid w:val="00C430C7"/>
    <w:rsid w:val="00C50F96"/>
    <w:rsid w:val="00C54AEF"/>
    <w:rsid w:val="00C60F3F"/>
    <w:rsid w:val="00C65153"/>
    <w:rsid w:val="00C772FB"/>
    <w:rsid w:val="00C911DC"/>
    <w:rsid w:val="00C96BE2"/>
    <w:rsid w:val="00CA36F2"/>
    <w:rsid w:val="00CB55DD"/>
    <w:rsid w:val="00CC3BFA"/>
    <w:rsid w:val="00CD2341"/>
    <w:rsid w:val="00CF4A3C"/>
    <w:rsid w:val="00D03012"/>
    <w:rsid w:val="00D25C04"/>
    <w:rsid w:val="00D36612"/>
    <w:rsid w:val="00D3794D"/>
    <w:rsid w:val="00D43148"/>
    <w:rsid w:val="00D50B43"/>
    <w:rsid w:val="00D56ED0"/>
    <w:rsid w:val="00D57968"/>
    <w:rsid w:val="00D7028D"/>
    <w:rsid w:val="00D8253A"/>
    <w:rsid w:val="00D90938"/>
    <w:rsid w:val="00DA067C"/>
    <w:rsid w:val="00DA24D4"/>
    <w:rsid w:val="00DA6666"/>
    <w:rsid w:val="00DC44C8"/>
    <w:rsid w:val="00DF2599"/>
    <w:rsid w:val="00DF2C1A"/>
    <w:rsid w:val="00DF3DFD"/>
    <w:rsid w:val="00E010C5"/>
    <w:rsid w:val="00E07310"/>
    <w:rsid w:val="00E10409"/>
    <w:rsid w:val="00E106FD"/>
    <w:rsid w:val="00E17B92"/>
    <w:rsid w:val="00E3389E"/>
    <w:rsid w:val="00E3474E"/>
    <w:rsid w:val="00E405EE"/>
    <w:rsid w:val="00E41EA1"/>
    <w:rsid w:val="00E503EA"/>
    <w:rsid w:val="00E6171D"/>
    <w:rsid w:val="00E66F59"/>
    <w:rsid w:val="00E7573E"/>
    <w:rsid w:val="00E77219"/>
    <w:rsid w:val="00E77D24"/>
    <w:rsid w:val="00E813C9"/>
    <w:rsid w:val="00E816BA"/>
    <w:rsid w:val="00E91634"/>
    <w:rsid w:val="00E9745E"/>
    <w:rsid w:val="00EA0024"/>
    <w:rsid w:val="00EA669D"/>
    <w:rsid w:val="00EB49A2"/>
    <w:rsid w:val="00EB4F80"/>
    <w:rsid w:val="00EC6150"/>
    <w:rsid w:val="00EE2FE4"/>
    <w:rsid w:val="00EE6021"/>
    <w:rsid w:val="00F078B3"/>
    <w:rsid w:val="00F154E2"/>
    <w:rsid w:val="00F1565F"/>
    <w:rsid w:val="00F253CD"/>
    <w:rsid w:val="00F3073D"/>
    <w:rsid w:val="00F36FF8"/>
    <w:rsid w:val="00F40D80"/>
    <w:rsid w:val="00F47288"/>
    <w:rsid w:val="00F505B3"/>
    <w:rsid w:val="00F53BEF"/>
    <w:rsid w:val="00F564CF"/>
    <w:rsid w:val="00F66849"/>
    <w:rsid w:val="00F726DD"/>
    <w:rsid w:val="00F740A6"/>
    <w:rsid w:val="00F847EE"/>
    <w:rsid w:val="00F96CC6"/>
    <w:rsid w:val="00FA1D5B"/>
    <w:rsid w:val="00FB0318"/>
    <w:rsid w:val="00FB7CDD"/>
    <w:rsid w:val="00FC59A5"/>
    <w:rsid w:val="00FD744D"/>
    <w:rsid w:val="00FE2247"/>
    <w:rsid w:val="00FE410F"/>
    <w:rsid w:val="00FE4464"/>
    <w:rsid w:val="00FF0189"/>
    <w:rsid w:val="00FF16C9"/>
    <w:rsid w:val="00FF30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0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portal.stf.jus.br/processos/detalhe.asp?incidente=5883343" TargetMode="External" /><Relationship Id="rId11" Type="http://schemas.openxmlformats.org/officeDocument/2006/relationships/hyperlink" Target="http://www.planalto.gov.br/ccivil_03/Constituicao/Constituicao.htm" TargetMode="External" /><Relationship Id="rId12" Type="http://schemas.openxmlformats.org/officeDocument/2006/relationships/hyperlink" Target="http://www.planalto.gov.br/ccivil_03/leis/lcp/Lcp176.htm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oleObject" Target="embeddings/oleObject1.bin" /><Relationship Id="rId8" Type="http://schemas.openxmlformats.org/officeDocument/2006/relationships/image" Target="media/image2.png" /><Relationship Id="rId9" Type="http://schemas.openxmlformats.org/officeDocument/2006/relationships/oleObject" Target="embeddings/oleObject2.bin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64E6-47E9-4CCD-B49D-FE1DF055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2536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cp:lastPrinted>2021-05-27T14:59:00Z</cp:lastPrinted>
  <dcterms:created xsi:type="dcterms:W3CDTF">2023-06-14T16:19:00Z</dcterms:created>
  <dcterms:modified xsi:type="dcterms:W3CDTF">2023-06-14T16:44:00Z</dcterms:modified>
</cp:coreProperties>
</file>