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7498D" w:rsidRPr="007673E8" w:rsidP="0007498D" w14:paraId="547EEE3A" w14:textId="0F3BCF1B">
      <w:pPr>
        <w:pStyle w:val="Default"/>
        <w:jc w:val="both"/>
        <w:rPr>
          <w:rFonts w:ascii="Calibri" w:hAnsi="Calibri" w:eastAsiaTheme="minorHAnsi" w:cs="Calibri"/>
          <w:b/>
          <w:bCs/>
          <w:color w:val="auto"/>
          <w:lang w:eastAsia="en-US"/>
        </w:rPr>
      </w:pPr>
      <w:r w:rsidRPr="007673E8">
        <w:rPr>
          <w:rFonts w:ascii="Calibri" w:hAnsi="Calibri" w:cs="Calibri"/>
          <w:b/>
          <w:color w:val="auto"/>
        </w:rPr>
        <w:t xml:space="preserve">Parecer Jurídico nº </w:t>
      </w:r>
      <w:r w:rsidRPr="007673E8" w:rsidR="00F0094A">
        <w:rPr>
          <w:rFonts w:ascii="Calibri" w:hAnsi="Calibri" w:cs="Calibri"/>
          <w:b/>
          <w:color w:val="auto"/>
        </w:rPr>
        <w:t>1</w:t>
      </w:r>
      <w:r w:rsidR="008706EB">
        <w:rPr>
          <w:rFonts w:ascii="Calibri" w:hAnsi="Calibri" w:cs="Calibri"/>
          <w:b/>
          <w:color w:val="auto"/>
        </w:rPr>
        <w:t>88</w:t>
      </w:r>
      <w:r w:rsidRPr="007673E8">
        <w:rPr>
          <w:rFonts w:ascii="Calibri" w:hAnsi="Calibri" w:cs="Calibri"/>
          <w:b/>
          <w:color w:val="auto"/>
        </w:rPr>
        <w:t>/202</w:t>
      </w:r>
      <w:r w:rsidR="000B3153">
        <w:rPr>
          <w:rFonts w:ascii="Calibri" w:hAnsi="Calibri" w:cs="Calibri"/>
          <w:b/>
          <w:color w:val="auto"/>
        </w:rPr>
        <w:t>3</w:t>
      </w:r>
    </w:p>
    <w:p w:rsidR="008706EB" w:rsidRPr="008706EB" w:rsidP="000B3153" w14:paraId="2658A505" w14:textId="4687CA30">
      <w:pPr>
        <w:tabs>
          <w:tab w:val="left" w:pos="1134"/>
        </w:tabs>
        <w:spacing w:after="0" w:line="240" w:lineRule="auto"/>
        <w:jc w:val="both"/>
        <w:rPr>
          <w:sz w:val="24"/>
          <w:szCs w:val="24"/>
        </w:rPr>
      </w:pPr>
      <w:r w:rsidRPr="007E1F99">
        <w:rPr>
          <w:rFonts w:ascii="Calibri" w:hAnsi="Calibri" w:cs="Calibri"/>
          <w:b/>
          <w:bCs/>
          <w:sz w:val="24"/>
          <w:szCs w:val="24"/>
        </w:rPr>
        <w:t xml:space="preserve">Assunto: Projeto de Lei nº </w:t>
      </w:r>
      <w:r>
        <w:rPr>
          <w:rFonts w:ascii="Calibri" w:hAnsi="Calibri" w:cs="Calibri"/>
          <w:b/>
          <w:bCs/>
          <w:sz w:val="24"/>
          <w:szCs w:val="24"/>
        </w:rPr>
        <w:t>52</w:t>
      </w:r>
      <w:r w:rsidRPr="007E1F99">
        <w:rPr>
          <w:rFonts w:ascii="Calibri" w:hAnsi="Calibri" w:cs="Calibri"/>
          <w:b/>
          <w:bCs/>
          <w:sz w:val="24"/>
          <w:szCs w:val="24"/>
        </w:rPr>
        <w:t>/202</w:t>
      </w:r>
      <w:r w:rsidR="000B3153">
        <w:rPr>
          <w:rFonts w:ascii="Calibri" w:hAnsi="Calibri" w:cs="Calibri"/>
          <w:b/>
          <w:bCs/>
          <w:sz w:val="24"/>
          <w:szCs w:val="24"/>
        </w:rPr>
        <w:t>3</w:t>
      </w:r>
      <w:r>
        <w:rPr>
          <w:rFonts w:ascii="Calibri" w:hAnsi="Calibri" w:cs="Calibri"/>
          <w:b/>
          <w:bCs/>
          <w:sz w:val="24"/>
          <w:szCs w:val="24"/>
        </w:rPr>
        <w:t xml:space="preserve"> –</w:t>
      </w:r>
      <w:r>
        <w:rPr>
          <w:rFonts w:ascii="Calibri" w:hAnsi="Calibri" w:cs="Calibri"/>
          <w:b/>
          <w:bCs/>
          <w:sz w:val="24"/>
          <w:szCs w:val="24"/>
        </w:rPr>
        <w:t xml:space="preserve"> </w:t>
      </w:r>
      <w:r w:rsidRPr="008706EB">
        <w:rPr>
          <w:sz w:val="24"/>
          <w:szCs w:val="24"/>
        </w:rPr>
        <w:t>Dispõe sobre a criação, organização e realização da Feira do Brechó de Vestuários no Município de Valinhos.</w:t>
      </w:r>
    </w:p>
    <w:p w:rsidR="0007498D" w:rsidRPr="000B3153" w:rsidP="000B3153" w14:paraId="2485FFB6" w14:textId="7939638F">
      <w:pPr>
        <w:tabs>
          <w:tab w:val="left" w:pos="1134"/>
        </w:tabs>
        <w:spacing w:after="0" w:line="240" w:lineRule="auto"/>
        <w:jc w:val="both"/>
        <w:rPr>
          <w:rFonts w:ascii="Calibri" w:hAnsi="Calibri" w:cs="Calibri"/>
          <w:bCs/>
          <w:sz w:val="24"/>
          <w:szCs w:val="24"/>
        </w:rPr>
      </w:pPr>
      <w:r w:rsidRPr="000B3153">
        <w:rPr>
          <w:rFonts w:ascii="Calibri" w:hAnsi="Calibri" w:cs="Calibri"/>
          <w:b/>
          <w:bCs/>
          <w:sz w:val="24"/>
          <w:szCs w:val="24"/>
        </w:rPr>
        <w:t>Autoria</w:t>
      </w:r>
      <w:r w:rsidRPr="000B3153" w:rsidR="000B3153">
        <w:rPr>
          <w:rFonts w:ascii="Calibri" w:hAnsi="Calibri" w:cs="Calibri"/>
          <w:b/>
          <w:bCs/>
          <w:sz w:val="24"/>
          <w:szCs w:val="24"/>
        </w:rPr>
        <w:t xml:space="preserve">: </w:t>
      </w:r>
      <w:r w:rsidRPr="000B3153">
        <w:rPr>
          <w:rFonts w:ascii="Calibri" w:hAnsi="Calibri" w:cs="Calibri"/>
          <w:bCs/>
          <w:sz w:val="24"/>
          <w:szCs w:val="24"/>
        </w:rPr>
        <w:t>Vereador</w:t>
      </w:r>
      <w:r w:rsidR="008706EB">
        <w:rPr>
          <w:rFonts w:ascii="Calibri" w:hAnsi="Calibri" w:cs="Calibri"/>
          <w:bCs/>
          <w:sz w:val="24"/>
          <w:szCs w:val="24"/>
        </w:rPr>
        <w:t>a</w:t>
      </w:r>
      <w:r w:rsidRPr="000B3153">
        <w:rPr>
          <w:rFonts w:ascii="Calibri" w:hAnsi="Calibri" w:cs="Calibri"/>
          <w:bCs/>
          <w:sz w:val="24"/>
          <w:szCs w:val="24"/>
        </w:rPr>
        <w:t xml:space="preserve"> </w:t>
      </w:r>
      <w:r w:rsidR="008706EB">
        <w:rPr>
          <w:rFonts w:ascii="Calibri" w:hAnsi="Calibri" w:cs="Calibri"/>
          <w:bCs/>
          <w:sz w:val="24"/>
          <w:szCs w:val="24"/>
        </w:rPr>
        <w:t>Simone Bellini</w:t>
      </w:r>
      <w:r w:rsidRPr="000B3153">
        <w:rPr>
          <w:rFonts w:ascii="Calibri" w:hAnsi="Calibri" w:cs="Calibri"/>
          <w:bCs/>
          <w:sz w:val="24"/>
          <w:szCs w:val="24"/>
        </w:rPr>
        <w:t>.</w:t>
      </w:r>
    </w:p>
    <w:p w:rsidR="0007498D" w:rsidP="0007498D" w14:paraId="43AFBE63" w14:textId="77777777">
      <w:pPr>
        <w:pStyle w:val="Default"/>
        <w:jc w:val="both"/>
        <w:rPr>
          <w:rFonts w:ascii="Calibri" w:hAnsi="Calibri" w:cs="Calibri"/>
          <w:b/>
          <w:i/>
          <w:color w:val="auto"/>
        </w:rPr>
      </w:pPr>
    </w:p>
    <w:p w:rsidR="00F0094A" w:rsidP="0007498D" w14:paraId="76F0E8E7" w14:textId="77777777">
      <w:pPr>
        <w:pStyle w:val="Default"/>
        <w:jc w:val="both"/>
        <w:rPr>
          <w:rFonts w:ascii="Calibri" w:hAnsi="Calibri" w:cs="Calibri"/>
          <w:b/>
          <w:i/>
          <w:color w:val="auto"/>
        </w:rPr>
      </w:pPr>
    </w:p>
    <w:p w:rsidR="0007498D" w:rsidP="0007498D" w14:paraId="34C744E8" w14:textId="77777777">
      <w:pPr>
        <w:pStyle w:val="Default"/>
        <w:jc w:val="both"/>
        <w:rPr>
          <w:rFonts w:ascii="Calibri" w:hAnsi="Calibri" w:cs="Calibri"/>
          <w:b/>
          <w:i/>
          <w:color w:val="auto"/>
        </w:rPr>
      </w:pPr>
    </w:p>
    <w:p w:rsidR="0007498D" w:rsidRPr="007E1F99" w:rsidP="0007498D" w14:paraId="5BAB5604" w14:textId="77777777">
      <w:pPr>
        <w:pStyle w:val="Default"/>
        <w:jc w:val="both"/>
        <w:rPr>
          <w:rFonts w:ascii="Calibri" w:hAnsi="Calibri" w:cs="Calibri"/>
          <w:b/>
          <w:i/>
          <w:color w:val="auto"/>
        </w:rPr>
      </w:pPr>
      <w:r w:rsidRPr="007E1F99">
        <w:rPr>
          <w:rFonts w:ascii="Calibri" w:hAnsi="Calibri" w:cs="Calibri"/>
          <w:b/>
          <w:i/>
          <w:color w:val="auto"/>
        </w:rPr>
        <w:t>À Comissão de Justiça e Redação,</w:t>
      </w:r>
    </w:p>
    <w:p w:rsidR="0007498D" w:rsidRPr="007E1F99" w:rsidP="0007498D" w14:paraId="570FBA35" w14:textId="1FE23BDC">
      <w:pPr>
        <w:pStyle w:val="Default"/>
        <w:spacing w:line="360" w:lineRule="auto"/>
        <w:jc w:val="both"/>
        <w:rPr>
          <w:rFonts w:ascii="Calibri" w:hAnsi="Calibri" w:cs="Calibri"/>
          <w:b/>
          <w:i/>
          <w:color w:val="auto"/>
        </w:rPr>
      </w:pPr>
      <w:r w:rsidRPr="007E1F99">
        <w:rPr>
          <w:rFonts w:ascii="Calibri" w:hAnsi="Calibri" w:cs="Calibri"/>
          <w:b/>
          <w:i/>
          <w:color w:val="auto"/>
        </w:rPr>
        <w:t xml:space="preserve">Exmo. </w:t>
      </w:r>
      <w:r w:rsidR="000B3153">
        <w:rPr>
          <w:rFonts w:ascii="Calibri" w:hAnsi="Calibri" w:cs="Calibri"/>
          <w:b/>
          <w:i/>
          <w:color w:val="auto"/>
        </w:rPr>
        <w:t xml:space="preserve">Presidente </w:t>
      </w:r>
      <w:r w:rsidRPr="007E1F99">
        <w:rPr>
          <w:rFonts w:ascii="Calibri" w:hAnsi="Calibri" w:cs="Calibri"/>
          <w:b/>
          <w:i/>
          <w:color w:val="auto"/>
        </w:rPr>
        <w:t xml:space="preserve">Vereador </w:t>
      </w:r>
      <w:r w:rsidR="000B3153">
        <w:rPr>
          <w:rFonts w:ascii="Calibri" w:hAnsi="Calibri" w:cs="Calibri"/>
          <w:b/>
          <w:i/>
          <w:color w:val="auto"/>
        </w:rPr>
        <w:t>Gabriel Bueno</w:t>
      </w:r>
      <w:r w:rsidRPr="007E1F99">
        <w:rPr>
          <w:rFonts w:ascii="Calibri" w:hAnsi="Calibri" w:cs="Calibri"/>
          <w:b/>
          <w:i/>
          <w:color w:val="auto"/>
        </w:rPr>
        <w:t>.</w:t>
      </w:r>
    </w:p>
    <w:p w:rsidR="0007498D" w:rsidP="0007498D" w14:paraId="11676C88" w14:textId="77777777">
      <w:pPr>
        <w:pStyle w:val="Default"/>
        <w:tabs>
          <w:tab w:val="left" w:pos="2055"/>
        </w:tabs>
        <w:spacing w:line="360" w:lineRule="auto"/>
        <w:jc w:val="both"/>
        <w:rPr>
          <w:rFonts w:ascii="Calibri" w:hAnsi="Calibri" w:cs="Calibri"/>
          <w:b/>
          <w:i/>
          <w:color w:val="auto"/>
        </w:rPr>
      </w:pPr>
      <w:r>
        <w:rPr>
          <w:rFonts w:ascii="Calibri" w:hAnsi="Calibri" w:cs="Calibri"/>
          <w:b/>
          <w:i/>
          <w:color w:val="auto"/>
        </w:rPr>
        <w:tab/>
      </w:r>
    </w:p>
    <w:p w:rsidR="00F0094A" w:rsidRPr="00345391" w:rsidP="0007498D" w14:paraId="282D8FC3" w14:textId="77777777">
      <w:pPr>
        <w:pStyle w:val="Default"/>
        <w:tabs>
          <w:tab w:val="left" w:pos="2055"/>
        </w:tabs>
        <w:spacing w:line="360" w:lineRule="auto"/>
        <w:jc w:val="both"/>
        <w:rPr>
          <w:rFonts w:ascii="Calibri" w:hAnsi="Calibri" w:cs="Calibri"/>
          <w:b/>
          <w:i/>
          <w:color w:val="auto"/>
          <w:sz w:val="36"/>
          <w:szCs w:val="36"/>
        </w:rPr>
      </w:pPr>
    </w:p>
    <w:p w:rsidR="000B3153" w:rsidRPr="008706EB" w:rsidP="008706EB" w14:paraId="0C4EE2D3" w14:textId="5F6E506D">
      <w:pPr>
        <w:spacing w:after="240" w:line="360" w:lineRule="auto"/>
        <w:ind w:firstLine="1701"/>
        <w:jc w:val="both"/>
        <w:rPr>
          <w:i/>
          <w:sz w:val="24"/>
          <w:szCs w:val="24"/>
        </w:rPr>
      </w:pPr>
      <w:r w:rsidRPr="007E5161">
        <w:rPr>
          <w:rFonts w:ascii="Calibri" w:eastAsia="Times New Roman" w:hAnsi="Calibri" w:cs="Calibri"/>
          <w:sz w:val="24"/>
          <w:szCs w:val="24"/>
          <w:lang w:eastAsia="pt-BR"/>
        </w:rPr>
        <w:t>Trata-se de parecer jurídico relativo ao projeto em epígrafe que</w:t>
      </w:r>
      <w:r>
        <w:rPr>
          <w:rFonts w:ascii="Calibri" w:eastAsia="Times New Roman" w:hAnsi="Calibri" w:cs="Calibri"/>
          <w:sz w:val="24"/>
          <w:szCs w:val="24"/>
          <w:lang w:eastAsia="pt-BR"/>
        </w:rPr>
        <w:t xml:space="preserve"> </w:t>
      </w:r>
      <w:r w:rsidRPr="008706EB">
        <w:rPr>
          <w:i/>
          <w:sz w:val="24"/>
          <w:szCs w:val="24"/>
        </w:rPr>
        <w:t>“</w:t>
      </w:r>
      <w:r w:rsidRPr="008706EB" w:rsidR="008706EB">
        <w:rPr>
          <w:i/>
          <w:sz w:val="24"/>
          <w:szCs w:val="24"/>
        </w:rPr>
        <w:t>Dispõe sobre a criação, organização e realização da Feira do Brechó de Vestuários no Município de Valinhos</w:t>
      </w:r>
      <w:r w:rsidRPr="008706EB">
        <w:rPr>
          <w:i/>
          <w:sz w:val="24"/>
          <w:szCs w:val="24"/>
        </w:rPr>
        <w:t>”.</w:t>
      </w:r>
    </w:p>
    <w:p w:rsidR="0007498D" w:rsidRPr="007E1F99" w:rsidP="0007498D" w14:paraId="701D56D6" w14:textId="77777777">
      <w:pPr>
        <w:spacing w:after="120" w:line="360" w:lineRule="auto"/>
        <w:ind w:firstLine="1701"/>
        <w:jc w:val="both"/>
        <w:rPr>
          <w:rFonts w:ascii="Calibri" w:hAnsi="Calibri" w:cs="Calibri"/>
          <w:sz w:val="24"/>
          <w:szCs w:val="24"/>
        </w:rPr>
      </w:pPr>
      <w:r w:rsidRPr="007E1F99">
        <w:rPr>
          <w:rFonts w:ascii="Calibri" w:hAnsi="Calibri" w:cs="Calibri"/>
          <w:i/>
          <w:sz w:val="24"/>
          <w:szCs w:val="24"/>
        </w:rPr>
        <w:t>Ab initio</w:t>
      </w:r>
      <w:r w:rsidRPr="007E1F99">
        <w:rPr>
          <w:rFonts w:ascii="Calibri" w:hAnsi="Calibri" w:cs="Calibri"/>
          <w:sz w:val="24"/>
          <w:szCs w:val="24"/>
        </w:rPr>
        <w:t>, cumpre destacar a competência regimental da Comissão de Justiça e Redação estabelecida no artigo 38.</w:t>
      </w:r>
    </w:p>
    <w:p w:rsidR="0007498D" w:rsidRPr="00F0094A" w:rsidP="0007498D" w14:paraId="030A5AC5" w14:textId="02481CB6">
      <w:pPr>
        <w:spacing w:after="120" w:line="360" w:lineRule="auto"/>
        <w:ind w:firstLine="1701"/>
        <w:jc w:val="both"/>
        <w:rPr>
          <w:rFonts w:ascii="Calibri" w:hAnsi="Calibri" w:cs="Calibri"/>
          <w:sz w:val="24"/>
          <w:szCs w:val="24"/>
        </w:rPr>
      </w:pPr>
      <w:r w:rsidRPr="007E1F99">
        <w:rPr>
          <w:rFonts w:ascii="Calibri" w:hAnsi="Calibri" w:cs="Calibri"/>
          <w:sz w:val="24"/>
          <w:szCs w:val="24"/>
        </w:rPr>
        <w:t>Outrossim</w:t>
      </w:r>
      <w:r w:rsidRPr="007E1F99">
        <w:rPr>
          <w:rFonts w:ascii="Calibri" w:hAnsi="Calibri" w:cs="Calibri"/>
          <w:sz w:val="24"/>
          <w:szCs w:val="24"/>
        </w:rPr>
        <w:t xml:space="preserve">, ressalta-se que a opinião jurídica exarada nesse parecer </w:t>
      </w:r>
      <w:r w:rsidRPr="007673E8">
        <w:rPr>
          <w:rFonts w:ascii="Calibri" w:hAnsi="Calibri" w:cs="Calibri"/>
          <w:b/>
          <w:sz w:val="24"/>
          <w:szCs w:val="24"/>
        </w:rPr>
        <w:t>não</w:t>
      </w:r>
      <w:r w:rsidRPr="007673E8">
        <w:rPr>
          <w:rFonts w:ascii="Calibri" w:hAnsi="Calibri" w:cs="Calibri"/>
          <w:b/>
          <w:sz w:val="24"/>
          <w:szCs w:val="24"/>
        </w:rPr>
        <w:t xml:space="preserve"> tem força vinculante</w:t>
      </w:r>
      <w:r w:rsidRPr="007E1F99">
        <w:rPr>
          <w:rFonts w:ascii="Calibri" w:hAnsi="Calibri" w:cs="Calibri"/>
          <w:sz w:val="24"/>
          <w:szCs w:val="24"/>
        </w:rPr>
        <w:t>, sendo meramente opinativo não fundamentando decisão proferida pelas Comissões e/ou nobres vereadores.</w:t>
      </w:r>
      <w:r>
        <w:rPr>
          <w:rFonts w:ascii="Calibri" w:hAnsi="Calibri" w:cs="Calibri"/>
          <w:sz w:val="24"/>
          <w:szCs w:val="24"/>
        </w:rPr>
        <w:t xml:space="preserve"> </w:t>
      </w:r>
      <w:r w:rsidRPr="00F0094A">
        <w:rPr>
          <w:rFonts w:ascii="Calibri" w:hAnsi="Calibri" w:cs="Calibri"/>
          <w:sz w:val="24"/>
          <w:szCs w:val="24"/>
        </w:rPr>
        <w:t>Nesse sentido é o entendimento do Supremo Tribunal Federal</w:t>
      </w:r>
      <w:r>
        <w:rPr>
          <w:rStyle w:val="FootnoteReference"/>
          <w:rFonts w:ascii="Calibri" w:hAnsi="Calibri" w:cs="Calibri"/>
          <w:sz w:val="24"/>
          <w:szCs w:val="24"/>
        </w:rPr>
        <w:footnoteReference w:id="2"/>
      </w:r>
      <w:r w:rsidR="000B3153">
        <w:rPr>
          <w:rFonts w:ascii="Calibri" w:hAnsi="Calibri" w:cs="Calibri"/>
          <w:sz w:val="24"/>
          <w:szCs w:val="24"/>
        </w:rPr>
        <w:t>.</w:t>
      </w:r>
    </w:p>
    <w:p w:rsidR="0007498D" w:rsidP="0007498D" w14:paraId="6CA168D4" w14:textId="77777777">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Pr>
          <w:rFonts w:ascii="Calibri" w:hAnsi="Calibri" w:cs="Calibri"/>
          <w:color w:val="auto"/>
        </w:rPr>
        <w:t xml:space="preserve">s aspectos jurídicos </w:t>
      </w:r>
      <w:r w:rsidRPr="007E1F99">
        <w:rPr>
          <w:rFonts w:ascii="Calibri" w:hAnsi="Calibri" w:cs="Calibri"/>
          <w:color w:val="auto"/>
        </w:rPr>
        <w:t xml:space="preserve">passa-se a </w:t>
      </w:r>
      <w:r w:rsidRPr="007E1F99">
        <w:rPr>
          <w:rFonts w:ascii="Calibri" w:hAnsi="Calibri" w:cs="Calibri"/>
          <w:b/>
          <w:color w:val="auto"/>
        </w:rPr>
        <w:t>análise técnica</w:t>
      </w:r>
      <w:r w:rsidRPr="007E1F99">
        <w:rPr>
          <w:rFonts w:ascii="Calibri" w:hAnsi="Calibri" w:cs="Calibri"/>
          <w:color w:val="auto"/>
        </w:rPr>
        <w:t xml:space="preserve"> do projeto. </w:t>
      </w:r>
    </w:p>
    <w:p w:rsidR="0007498D" w:rsidRPr="00433F8A" w:rsidP="0007498D" w14:paraId="073F90D1" w14:textId="1F2CEFBB">
      <w:pPr>
        <w:pStyle w:val="Default"/>
        <w:spacing w:after="240" w:line="360" w:lineRule="auto"/>
        <w:ind w:firstLine="1701"/>
        <w:jc w:val="both"/>
        <w:rPr>
          <w:rFonts w:ascii="Calibri" w:hAnsi="Calibri" w:cs="Calibri"/>
          <w:color w:val="FF0000"/>
        </w:rPr>
      </w:pPr>
      <w:r w:rsidRPr="0073526A">
        <w:rPr>
          <w:rFonts w:asciiTheme="minorHAnsi" w:hAnsiTheme="minorHAnsi" w:cstheme="minorHAnsi"/>
        </w:rPr>
        <w:t xml:space="preserve">No que tange à </w:t>
      </w:r>
      <w:r w:rsidRPr="007673E8">
        <w:rPr>
          <w:rFonts w:asciiTheme="minorHAnsi" w:hAnsiTheme="minorHAnsi" w:cstheme="minorHAnsi"/>
          <w:b/>
        </w:rPr>
        <w:t>competência municipal</w:t>
      </w:r>
      <w:r>
        <w:rPr>
          <w:rFonts w:asciiTheme="minorHAnsi" w:hAnsiTheme="minorHAnsi" w:cstheme="minorHAnsi"/>
        </w:rPr>
        <w:t xml:space="preserve"> </w:t>
      </w:r>
      <w:r w:rsidRPr="0073526A">
        <w:rPr>
          <w:rFonts w:asciiTheme="minorHAnsi" w:hAnsiTheme="minorHAnsi" w:cstheme="minorHAnsi"/>
        </w:rPr>
        <w:t>os Municípios foram dotados de autonomia legislativa</w:t>
      </w:r>
      <w:r>
        <w:rPr>
          <w:rFonts w:asciiTheme="minorHAnsi" w:hAnsiTheme="minorHAnsi" w:cstheme="minorHAnsi"/>
        </w:rPr>
        <w:t xml:space="preserve"> </w:t>
      </w:r>
      <w:r w:rsidRPr="00433F8A">
        <w:rPr>
          <w:rFonts w:ascii="Calibri" w:hAnsi="Calibri" w:cs="Calibri"/>
        </w:rPr>
        <w:t>que vem consubstanciada na capacidade de legislar sobre assuntos de interesse local (art. 30, I da CRFB)</w:t>
      </w:r>
      <w:r>
        <w:rPr>
          <w:rFonts w:ascii="Calibri" w:hAnsi="Calibri" w:cs="Calibri"/>
        </w:rPr>
        <w:t xml:space="preserve">, </w:t>
      </w:r>
      <w:r>
        <w:rPr>
          <w:rFonts w:ascii="Calibri" w:hAnsi="Calibri" w:cs="Calibri"/>
          <w:i/>
        </w:rPr>
        <w:t>in verbis</w:t>
      </w:r>
      <w:r w:rsidRPr="00433F8A">
        <w:rPr>
          <w:rFonts w:ascii="Calibri" w:hAnsi="Calibri" w:cs="Calibri"/>
        </w:rPr>
        <w:t>:</w:t>
      </w:r>
    </w:p>
    <w:p w:rsidR="0007498D" w:rsidRPr="00433F8A" w:rsidP="0007498D" w14:paraId="2CA368E2"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07498D" w:rsidP="0007498D" w14:paraId="13FB8078"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CD3609" w:rsidP="0007498D" w14:paraId="19F59999" w14:textId="77777777">
      <w:pPr>
        <w:pStyle w:val="Default"/>
        <w:spacing w:after="120"/>
        <w:ind w:left="2268"/>
        <w:jc w:val="both"/>
        <w:rPr>
          <w:rFonts w:ascii="Calibri" w:hAnsi="Calibri" w:cs="Calibri"/>
          <w:i/>
          <w:color w:val="auto"/>
          <w:sz w:val="22"/>
          <w:szCs w:val="22"/>
          <w:lang w:eastAsia="en-US"/>
        </w:rPr>
      </w:pPr>
    </w:p>
    <w:p w:rsidR="0007498D" w:rsidRPr="001A55CB" w:rsidP="0007498D" w14:paraId="617CD354"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07498D" w:rsidRPr="00433F8A" w:rsidP="0007498D" w14:paraId="0CC434BB"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CD3609">
        <w:rPr>
          <w:rFonts w:ascii="Calibri" w:hAnsi="Calibri" w:cs="Calibri"/>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7498D" w:rsidRPr="00433F8A" w:rsidP="0007498D" w14:paraId="5E279D08"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07498D" w:rsidRPr="006461EC" w:rsidP="0007498D" w14:paraId="30C03777" w14:textId="77777777">
      <w:pPr>
        <w:tabs>
          <w:tab w:val="left" w:pos="6315"/>
        </w:tabs>
        <w:ind w:left="2268"/>
        <w:jc w:val="both"/>
        <w:rPr>
          <w:rFonts w:ascii="Calibri" w:eastAsia="Calibri" w:hAnsi="Calibri" w:cs="Calibri"/>
          <w:i/>
        </w:rPr>
      </w:pPr>
      <w:r w:rsidRPr="006461EC">
        <w:rPr>
          <w:rFonts w:ascii="Calibri" w:eastAsia="Calibri" w:hAnsi="Calibri" w:cs="Calibri"/>
          <w:i/>
        </w:rPr>
        <w:t xml:space="preserve">I - legislar sobre assuntos de </w:t>
      </w:r>
      <w:r w:rsidRPr="00345391">
        <w:rPr>
          <w:rFonts w:ascii="Calibri" w:eastAsia="Calibri" w:hAnsi="Calibri" w:cs="Calibri"/>
          <w:b/>
          <w:i/>
        </w:rPr>
        <w:t>interesse local;</w:t>
      </w:r>
    </w:p>
    <w:p w:rsidR="0007498D" w:rsidRPr="00F0182B" w:rsidP="0007498D" w14:paraId="38FAC5A3" w14:textId="77777777">
      <w:pPr>
        <w:tabs>
          <w:tab w:val="left" w:pos="6315"/>
        </w:tabs>
        <w:ind w:left="2268"/>
        <w:jc w:val="both"/>
        <w:rPr>
          <w:rFonts w:ascii="Calibri" w:eastAsia="Calibri" w:hAnsi="Calibri" w:cs="Calibri"/>
          <w:i/>
          <w:sz w:val="12"/>
          <w:szCs w:val="12"/>
        </w:rPr>
      </w:pPr>
    </w:p>
    <w:p w:rsidR="0007498D" w:rsidRPr="00433F8A" w:rsidP="0007498D" w14:paraId="077CDB94"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07498D" w:rsidRPr="00433F8A" w:rsidP="0007498D" w14:paraId="19BBF6BB" w14:textId="7E12530D">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r w:rsidRPr="00433F8A">
        <w:rPr>
          <w:rFonts w:ascii="Calibri" w:eastAsia="Calibri" w:hAnsi="Calibri" w:cs="Calibri"/>
          <w:i/>
          <w:color w:val="000000"/>
        </w:rPr>
        <w:t>(</w:t>
      </w:r>
      <w:r w:rsidRPr="00433F8A">
        <w:rPr>
          <w:rFonts w:ascii="Calibri" w:eastAsia="Calibri" w:hAnsi="Calibri" w:cs="Calibri"/>
          <w:i/>
          <w:color w:val="000000"/>
        </w:rPr>
        <w:t>in Direito Municipal Brasileiro, 6ª ed., atualizada por Izabel Camargo Lopes Monteiro e Yara Darcy Police Monteiro, 1993, Malheiros, p. 98)</w:t>
      </w:r>
    </w:p>
    <w:p w:rsidR="00CD3609" w:rsidRPr="006E06BE" w:rsidP="006E06BE" w14:paraId="4736CB15" w14:textId="5E890BAC">
      <w:pPr>
        <w:tabs>
          <w:tab w:val="left" w:pos="1701"/>
        </w:tabs>
        <w:autoSpaceDE w:val="0"/>
        <w:autoSpaceDN w:val="0"/>
        <w:adjustRightInd w:val="0"/>
        <w:spacing w:line="360" w:lineRule="auto"/>
        <w:ind w:firstLine="1701"/>
        <w:jc w:val="both"/>
        <w:rPr>
          <w:rFonts w:ascii="Calibri" w:hAnsi="Calibri" w:cs="Calibri"/>
          <w:sz w:val="24"/>
          <w:szCs w:val="24"/>
        </w:rPr>
      </w:pPr>
      <w:r w:rsidRPr="006E06BE">
        <w:rPr>
          <w:rFonts w:ascii="Calibri" w:hAnsi="Calibri" w:cs="Calibri"/>
          <w:sz w:val="24"/>
          <w:szCs w:val="24"/>
        </w:rPr>
        <w:t>N</w:t>
      </w:r>
      <w:r w:rsidRPr="006E06BE">
        <w:rPr>
          <w:rFonts w:ascii="Calibri" w:hAnsi="Calibri" w:cs="Calibri"/>
          <w:sz w:val="24"/>
          <w:szCs w:val="24"/>
        </w:rPr>
        <w:t xml:space="preserve">o que tange à </w:t>
      </w:r>
      <w:r w:rsidRPr="006E06BE">
        <w:rPr>
          <w:rFonts w:ascii="Calibri" w:hAnsi="Calibri" w:cs="Calibri"/>
          <w:b/>
          <w:sz w:val="24"/>
          <w:szCs w:val="24"/>
        </w:rPr>
        <w:t xml:space="preserve">iniciativa para deflagrar o processo legislativo, </w:t>
      </w:r>
      <w:r w:rsidRPr="006E06BE">
        <w:rPr>
          <w:rFonts w:ascii="Calibri" w:hAnsi="Calibri" w:cs="Calibri"/>
          <w:sz w:val="24"/>
          <w:szCs w:val="24"/>
        </w:rPr>
        <w:t xml:space="preserve">artigo 24, § 2º da Constituição do Estado de São Paulo, em simetria com </w:t>
      </w:r>
      <w:r w:rsidRPr="006E06BE">
        <w:rPr>
          <w:rFonts w:ascii="Calibri" w:hAnsi="Calibri" w:cs="Calibri"/>
          <w:sz w:val="24"/>
          <w:szCs w:val="24"/>
        </w:rPr>
        <w:t xml:space="preserve">o </w:t>
      </w:r>
      <w:r w:rsidRPr="006E06BE">
        <w:rPr>
          <w:rFonts w:ascii="Calibri" w:hAnsi="Calibri" w:cs="Calibri"/>
          <w:sz w:val="24"/>
          <w:szCs w:val="24"/>
        </w:rPr>
        <w:t>o</w:t>
      </w:r>
      <w:r w:rsidRPr="006E06BE">
        <w:rPr>
          <w:rFonts w:ascii="Calibri" w:hAnsi="Calibri" w:cs="Calibri"/>
          <w:sz w:val="24"/>
          <w:szCs w:val="24"/>
        </w:rPr>
        <w:t xml:space="preserve"> artigo 61, § 1º, da CF, estabelece as hipóteses de iniciativa privativa:</w:t>
      </w:r>
    </w:p>
    <w:p w:rsidR="00CD3609" w:rsidRPr="000B4AF0" w:rsidP="00CD3609" w14:paraId="1C19B328" w14:textId="77777777">
      <w:pPr>
        <w:ind w:left="2268"/>
        <w:jc w:val="both"/>
        <w:rPr>
          <w:rFonts w:ascii="Calibri" w:hAnsi="Calibri" w:cs="Calibri"/>
          <w:i/>
        </w:rPr>
      </w:pPr>
      <w:r w:rsidRPr="000B4AF0">
        <w:rPr>
          <w:rFonts w:ascii="Calibri" w:hAnsi="Calibri" w:cs="Calibri"/>
          <w:i/>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CD3609" w:rsidRPr="000B4AF0" w:rsidP="00CD3609" w14:paraId="20FAC6CC" w14:textId="77777777">
      <w:pPr>
        <w:ind w:left="2268"/>
        <w:jc w:val="both"/>
        <w:rPr>
          <w:rFonts w:ascii="Calibri" w:hAnsi="Calibri" w:cs="Calibri"/>
          <w:i/>
        </w:rPr>
      </w:pPr>
      <w:r w:rsidRPr="000B4AF0">
        <w:rPr>
          <w:rFonts w:ascii="Calibri" w:hAnsi="Calibri" w:cs="Calibri"/>
          <w:i/>
        </w:rPr>
        <w:t>[...]</w:t>
      </w:r>
    </w:p>
    <w:p w:rsidR="00CD3609" w:rsidRPr="000B4AF0" w:rsidP="00CD3609" w14:paraId="4FA93B9A" w14:textId="77777777">
      <w:pPr>
        <w:pStyle w:val="paragrafo"/>
        <w:spacing w:before="0" w:beforeAutospacing="0" w:after="0" w:afterAutospacing="0" w:line="276" w:lineRule="auto"/>
        <w:ind w:left="2268"/>
        <w:jc w:val="both"/>
        <w:rPr>
          <w:rFonts w:ascii="Calibri" w:hAnsi="Calibri" w:cs="Calibri"/>
          <w:i/>
          <w:sz w:val="22"/>
          <w:szCs w:val="22"/>
        </w:rPr>
      </w:pPr>
      <w:r w:rsidRPr="000B4AF0">
        <w:rPr>
          <w:rFonts w:ascii="Calibri" w:hAnsi="Calibri" w:cs="Calibri"/>
          <w:i/>
          <w:sz w:val="22"/>
          <w:szCs w:val="22"/>
        </w:rPr>
        <w:t>§ 2º - Compete, exclusivamente, ao Governador do Estado a iniciativa das leis que disponham sobre:</w:t>
      </w:r>
    </w:p>
    <w:p w:rsidR="00CD3609" w:rsidRPr="000B4AF0" w:rsidP="00CD3609" w14:paraId="2A606554" w14:textId="77777777">
      <w:pPr>
        <w:pStyle w:val="item"/>
        <w:spacing w:before="0" w:beforeAutospacing="0" w:after="0" w:afterAutospacing="0" w:line="276" w:lineRule="auto"/>
        <w:ind w:left="2268"/>
        <w:jc w:val="both"/>
        <w:rPr>
          <w:rFonts w:ascii="Calibri" w:hAnsi="Calibri" w:cs="Calibri"/>
          <w:i/>
          <w:sz w:val="22"/>
          <w:szCs w:val="22"/>
        </w:rPr>
      </w:pPr>
      <w:bookmarkStart w:id="0" w:name="CESP_ART_024_2_1"/>
      <w:bookmarkEnd w:id="0"/>
      <w:r w:rsidRPr="000B4AF0">
        <w:rPr>
          <w:rFonts w:ascii="Calibri" w:hAnsi="Calibri" w:cs="Calibri"/>
          <w:i/>
          <w:sz w:val="22"/>
          <w:szCs w:val="22"/>
        </w:rPr>
        <w:t>1 - criação e extinção de cargos, funções ou empregos públicos na administração direta e autárquica, bem como a fixação da respectiva remuneração;</w:t>
      </w:r>
    </w:p>
    <w:p w:rsidR="00CD3609" w:rsidRPr="000B4AF0" w:rsidP="00CD3609" w14:paraId="4F1C0DF3" w14:textId="77777777">
      <w:pPr>
        <w:pStyle w:val="item"/>
        <w:spacing w:before="0" w:beforeAutospacing="0" w:after="0" w:afterAutospacing="0" w:line="276" w:lineRule="auto"/>
        <w:ind w:left="2268"/>
        <w:jc w:val="both"/>
        <w:rPr>
          <w:rFonts w:ascii="Calibri" w:hAnsi="Calibri" w:cs="Calibri"/>
          <w:i/>
          <w:sz w:val="22"/>
          <w:szCs w:val="22"/>
        </w:rPr>
      </w:pPr>
      <w:bookmarkStart w:id="1" w:name="CESP_ART_024_2_2"/>
      <w:bookmarkEnd w:id="1"/>
      <w:r w:rsidRPr="000B4AF0">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CD3609" w:rsidRPr="000B4AF0" w:rsidP="00CD3609" w14:paraId="024FF33B" w14:textId="77777777">
      <w:pPr>
        <w:pStyle w:val="item"/>
        <w:spacing w:before="0" w:beforeAutospacing="0" w:after="0" w:afterAutospacing="0" w:line="276" w:lineRule="auto"/>
        <w:ind w:left="2268"/>
        <w:jc w:val="both"/>
        <w:rPr>
          <w:rFonts w:ascii="Calibri" w:hAnsi="Calibri" w:cs="Calibri"/>
          <w:i/>
          <w:sz w:val="22"/>
          <w:szCs w:val="22"/>
        </w:rPr>
      </w:pPr>
      <w:bookmarkStart w:id="2" w:name="CESP_ART_024_2_3"/>
      <w:bookmarkEnd w:id="2"/>
      <w:r w:rsidRPr="000B4AF0">
        <w:rPr>
          <w:rFonts w:ascii="Calibri" w:hAnsi="Calibri" w:cs="Calibri"/>
          <w:i/>
          <w:sz w:val="22"/>
          <w:szCs w:val="22"/>
        </w:rPr>
        <w:t>3 - organização da Procuradoria Geral do Estado e da Defensoria Pública do Estado, observadas as normas gerais da União;</w:t>
      </w:r>
    </w:p>
    <w:p w:rsidR="00CD3609" w:rsidRPr="000B4AF0" w:rsidP="00CD3609" w14:paraId="5032CAA4" w14:textId="77777777">
      <w:pPr>
        <w:pStyle w:val="item"/>
        <w:spacing w:before="0" w:beforeAutospacing="0" w:after="0" w:afterAutospacing="0" w:line="276" w:lineRule="auto"/>
        <w:ind w:left="2268"/>
        <w:jc w:val="both"/>
        <w:rPr>
          <w:rFonts w:ascii="Calibri" w:hAnsi="Calibri" w:cs="Calibri"/>
          <w:i/>
          <w:sz w:val="22"/>
          <w:szCs w:val="22"/>
        </w:rPr>
      </w:pPr>
      <w:bookmarkStart w:id="3" w:name="CESP_ART_024_2_4"/>
      <w:bookmarkEnd w:id="3"/>
      <w:r w:rsidRPr="000B4AF0">
        <w:rPr>
          <w:rFonts w:ascii="Calibri" w:hAnsi="Calibri" w:cs="Calibri"/>
          <w:i/>
          <w:sz w:val="22"/>
          <w:szCs w:val="22"/>
        </w:rPr>
        <w:t xml:space="preserve">4 - servidores públicos do Estado, seu regime jurídico, provimento de cargos, estabilidade e aposentadoria; </w:t>
      </w:r>
    </w:p>
    <w:p w:rsidR="00CD3609" w:rsidRPr="000B4AF0" w:rsidP="00CD3609" w14:paraId="4794D5DD" w14:textId="77777777">
      <w:pPr>
        <w:pStyle w:val="item"/>
        <w:spacing w:before="0" w:beforeAutospacing="0" w:after="0" w:afterAutospacing="0" w:line="276" w:lineRule="auto"/>
        <w:ind w:left="2268"/>
        <w:jc w:val="both"/>
        <w:rPr>
          <w:rFonts w:ascii="Calibri" w:hAnsi="Calibri" w:cs="Calibri"/>
          <w:i/>
          <w:sz w:val="22"/>
          <w:szCs w:val="22"/>
        </w:rPr>
      </w:pPr>
      <w:r w:rsidRPr="000B4AF0">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CD3609" w:rsidRPr="000B4AF0" w:rsidP="00CD3609" w14:paraId="33DD596D" w14:textId="77777777">
      <w:pPr>
        <w:pStyle w:val="item"/>
        <w:spacing w:before="0" w:beforeAutospacing="0" w:after="0" w:afterAutospacing="0" w:line="276" w:lineRule="auto"/>
        <w:ind w:left="2268"/>
        <w:jc w:val="both"/>
        <w:rPr>
          <w:rFonts w:ascii="Calibri" w:hAnsi="Calibri" w:cs="Calibri"/>
          <w:i/>
          <w:sz w:val="22"/>
          <w:szCs w:val="22"/>
        </w:rPr>
      </w:pPr>
      <w:r w:rsidRPr="000B4AF0">
        <w:rPr>
          <w:rFonts w:ascii="Calibri" w:hAnsi="Calibri" w:cs="Calibri"/>
          <w:i/>
          <w:sz w:val="22"/>
          <w:szCs w:val="22"/>
        </w:rPr>
        <w:t>6 - criação, alteração ou supressão de cartórios notariais e de registros públicos.</w:t>
      </w:r>
    </w:p>
    <w:p w:rsidR="00CD3609" w:rsidRPr="000B4AF0" w:rsidP="00CD3609" w14:paraId="4DBC71C7" w14:textId="77777777">
      <w:pPr>
        <w:pStyle w:val="item"/>
        <w:spacing w:before="0" w:beforeAutospacing="0" w:after="120" w:afterAutospacing="0" w:line="300" w:lineRule="auto"/>
        <w:ind w:left="2268"/>
        <w:jc w:val="both"/>
        <w:rPr>
          <w:rFonts w:ascii="Calibri" w:hAnsi="Calibri" w:cs="Calibri"/>
          <w:i/>
          <w:sz w:val="4"/>
          <w:szCs w:val="4"/>
        </w:rPr>
      </w:pPr>
    </w:p>
    <w:p w:rsidR="00CD3609" w:rsidRPr="006E06BE" w:rsidP="00CD3609" w14:paraId="5165CE90" w14:textId="77777777">
      <w:pPr>
        <w:spacing w:after="240" w:line="360" w:lineRule="auto"/>
        <w:ind w:firstLine="1701"/>
        <w:jc w:val="both"/>
        <w:rPr>
          <w:rFonts w:ascii="Calibri" w:hAnsi="Calibri" w:cs="Calibri"/>
          <w:sz w:val="24"/>
          <w:szCs w:val="24"/>
        </w:rPr>
      </w:pPr>
      <w:r w:rsidRPr="006E06BE">
        <w:rPr>
          <w:rFonts w:ascii="Calibri" w:hAnsi="Calibri" w:cs="Calibri"/>
          <w:sz w:val="24"/>
          <w:szCs w:val="24"/>
        </w:rPr>
        <w:t>Do mesmo modo, a Lei Orgânica do Município de Valinhos no artigo 48 estabelece as matérias de deflagração exclusiva pelo Prefeito Municipal:</w:t>
      </w:r>
    </w:p>
    <w:p w:rsidR="00CD3609" w:rsidRPr="000B4AF0" w:rsidP="00CD3609" w14:paraId="49B23A09" w14:textId="77777777">
      <w:pPr>
        <w:spacing w:after="40"/>
        <w:ind w:left="2268"/>
        <w:jc w:val="both"/>
        <w:rPr>
          <w:rFonts w:ascii="Calibri" w:hAnsi="Calibri" w:cs="Calibri"/>
          <w:i/>
        </w:rPr>
      </w:pPr>
      <w:r w:rsidRPr="000B4AF0">
        <w:rPr>
          <w:rFonts w:ascii="Calibri" w:hAnsi="Calibri" w:cs="Calibri"/>
          <w:i/>
        </w:rPr>
        <w:t xml:space="preserve">Art. 48. Compete, exclusivamente, ao Prefeito a iniciativa dos projetos de lei que disponham sobre: </w:t>
      </w:r>
    </w:p>
    <w:p w:rsidR="00CD3609" w:rsidRPr="000B4AF0" w:rsidP="00CD3609" w14:paraId="55694F4C" w14:textId="77777777">
      <w:pPr>
        <w:spacing w:after="40"/>
        <w:ind w:left="2268"/>
        <w:jc w:val="both"/>
        <w:rPr>
          <w:rFonts w:ascii="Calibri" w:hAnsi="Calibri" w:cs="Calibri"/>
          <w:i/>
        </w:rPr>
      </w:pPr>
      <w:r w:rsidRPr="000B4AF0">
        <w:rPr>
          <w:rFonts w:ascii="Calibri" w:hAnsi="Calibri" w:cs="Calibri"/>
          <w:i/>
        </w:rPr>
        <w:t>I - criação e extinção de cargos, funções ou empregos públicos na administração direta e autárquica, bem como a fixação da respectiva remuneração;</w:t>
      </w:r>
    </w:p>
    <w:p w:rsidR="00CD3609" w:rsidRPr="000B4AF0" w:rsidP="00CD3609" w14:paraId="44140341" w14:textId="77777777">
      <w:pPr>
        <w:spacing w:after="40"/>
        <w:ind w:left="2268"/>
        <w:jc w:val="both"/>
        <w:rPr>
          <w:rFonts w:ascii="Calibri" w:hAnsi="Calibri" w:cs="Calibri"/>
          <w:i/>
        </w:rPr>
      </w:pPr>
      <w:r w:rsidRPr="000B4AF0">
        <w:rPr>
          <w:rFonts w:ascii="Calibri" w:hAnsi="Calibri" w:cs="Calibri"/>
          <w:i/>
        </w:rPr>
        <w:t xml:space="preserve"> II - criação, estruturação e atribuições das Secretarias Municipais e órgãos da administração pública; </w:t>
      </w:r>
    </w:p>
    <w:p w:rsidR="00CD3609" w:rsidRPr="000B4AF0" w:rsidP="00CD3609" w14:paraId="4ECDBCFD" w14:textId="77777777">
      <w:pPr>
        <w:spacing w:after="40"/>
        <w:ind w:left="2268"/>
        <w:jc w:val="both"/>
        <w:rPr>
          <w:rFonts w:ascii="Calibri" w:hAnsi="Calibri" w:cs="Calibri"/>
          <w:i/>
        </w:rPr>
      </w:pPr>
      <w:r w:rsidRPr="000B4AF0">
        <w:rPr>
          <w:rFonts w:ascii="Calibri" w:hAnsi="Calibri" w:cs="Calibri"/>
          <w:i/>
        </w:rPr>
        <w:t xml:space="preserve">III - servidores públicos do Município, seu regime jurídico, provimento de cargos, estabilidade e aposentadoria; </w:t>
      </w:r>
    </w:p>
    <w:p w:rsidR="00CD3609" w:rsidRPr="000B4AF0" w:rsidP="00CD3609" w14:paraId="45D810B9" w14:textId="77777777">
      <w:pPr>
        <w:spacing w:after="40"/>
        <w:ind w:left="2268"/>
        <w:jc w:val="both"/>
        <w:rPr>
          <w:rFonts w:ascii="Calibri" w:hAnsi="Calibri" w:cs="Calibri"/>
          <w:i/>
        </w:rPr>
      </w:pPr>
      <w:r w:rsidRPr="000B4AF0">
        <w:rPr>
          <w:rFonts w:ascii="Calibri" w:hAnsi="Calibri" w:cs="Calibri"/>
          <w:i/>
        </w:rPr>
        <w:t>IV - abertura de créditos adicionais.</w:t>
      </w:r>
    </w:p>
    <w:p w:rsidR="00CD3609" w:rsidRPr="000B4AF0" w:rsidP="00CD3609" w14:paraId="0D0668BE" w14:textId="77777777">
      <w:pPr>
        <w:spacing w:after="40"/>
        <w:ind w:left="2835"/>
        <w:jc w:val="both"/>
        <w:rPr>
          <w:rFonts w:ascii="Calibri" w:hAnsi="Calibri" w:cs="Calibri"/>
          <w:i/>
        </w:rPr>
      </w:pPr>
    </w:p>
    <w:p w:rsidR="00CD3609" w:rsidRPr="00EF0D04" w:rsidP="00CD3609" w14:paraId="25D39CFD" w14:textId="58E8F206">
      <w:pPr>
        <w:spacing w:after="240" w:line="360" w:lineRule="auto"/>
        <w:ind w:firstLine="1701"/>
        <w:jc w:val="both"/>
        <w:rPr>
          <w:rFonts w:cs="Calibri"/>
          <w:b/>
          <w:sz w:val="24"/>
          <w:szCs w:val="24"/>
        </w:rPr>
      </w:pPr>
      <w:r w:rsidRPr="00EF0D04">
        <w:rPr>
          <w:rFonts w:cs="Calibri"/>
          <w:sz w:val="24"/>
          <w:szCs w:val="24"/>
        </w:rPr>
        <w:t>A</w:t>
      </w:r>
      <w:r w:rsidR="00EF0D04">
        <w:rPr>
          <w:rFonts w:cs="Calibri"/>
          <w:sz w:val="24"/>
          <w:szCs w:val="24"/>
        </w:rPr>
        <w:t xml:space="preserve"> propósito</w:t>
      </w:r>
      <w:r w:rsidRPr="00EF0D04">
        <w:rPr>
          <w:rFonts w:cs="Calibri"/>
          <w:sz w:val="24"/>
          <w:szCs w:val="24"/>
        </w:rPr>
        <w:t xml:space="preserve">, </w:t>
      </w:r>
      <w:r w:rsidR="00EF0D04">
        <w:rPr>
          <w:rFonts w:cs="Calibri"/>
          <w:sz w:val="24"/>
          <w:szCs w:val="24"/>
        </w:rPr>
        <w:t>no concernente a</w:t>
      </w:r>
      <w:r w:rsidRPr="00EF0D04">
        <w:rPr>
          <w:rFonts w:cs="Calibri"/>
          <w:sz w:val="24"/>
          <w:szCs w:val="24"/>
        </w:rPr>
        <w:t>os limites da competência legislativa municipal dos membros do Poder Legislativo destacamos</w:t>
      </w:r>
      <w:r w:rsidRPr="00EF0D04">
        <w:rPr>
          <w:rFonts w:cs="Calibri"/>
          <w:b/>
          <w:sz w:val="24"/>
          <w:szCs w:val="24"/>
        </w:rPr>
        <w:t xml:space="preserve"> </w:t>
      </w:r>
      <w:r w:rsidRPr="00EF0D04">
        <w:rPr>
          <w:rFonts w:cs="Calibri"/>
          <w:sz w:val="24"/>
          <w:szCs w:val="24"/>
          <w:u w:val="single"/>
        </w:rPr>
        <w:t>decisão do Colendo Supremo Tribunal Federal que forneceu paradigma na arbitragem dos limites da competência legislativa entre o Chefe do Poder Executivo Municipal e os Membros do Poder Legislativo desta esfera federativa</w:t>
      </w:r>
      <w:r w:rsidRPr="00EF0D04">
        <w:rPr>
          <w:rFonts w:cs="Calibri"/>
          <w:sz w:val="24"/>
          <w:szCs w:val="24"/>
        </w:rPr>
        <w:t xml:space="preserve">, trata-se do </w:t>
      </w:r>
      <w:r w:rsidRPr="00EF0D04">
        <w:rPr>
          <w:rFonts w:cs="Calibri"/>
          <w:b/>
          <w:sz w:val="24"/>
          <w:szCs w:val="24"/>
        </w:rPr>
        <w:t>Tema nº 917 Repercussão geral (Paradigma ARE 878911)</w:t>
      </w:r>
      <w:r w:rsidRPr="00EF0D04">
        <w:rPr>
          <w:rFonts w:cs="Calibri"/>
          <w:sz w:val="24"/>
          <w:szCs w:val="24"/>
        </w:rPr>
        <w:t xml:space="preserve"> que recebeu a seguinte redação:</w:t>
      </w:r>
    </w:p>
    <w:p w:rsidR="00CD3609" w:rsidRPr="000B4AF0" w:rsidP="00CD3609" w14:paraId="423A5A3F" w14:textId="77777777">
      <w:pPr>
        <w:pStyle w:val="Default"/>
        <w:spacing w:after="120" w:line="276" w:lineRule="auto"/>
        <w:ind w:left="2268"/>
        <w:jc w:val="both"/>
        <w:rPr>
          <w:rFonts w:asciiTheme="minorHAnsi" w:hAnsiTheme="minorHAnsi" w:cstheme="minorHAnsi"/>
          <w:b/>
          <w:i/>
          <w:color w:val="auto"/>
          <w:sz w:val="22"/>
          <w:szCs w:val="22"/>
        </w:rPr>
      </w:pPr>
      <w:r w:rsidRPr="000B4AF0">
        <w:rPr>
          <w:rFonts w:asciiTheme="minorHAnsi" w:hAnsiTheme="minorHAnsi" w:cstheme="minorHAnsi"/>
          <w:b/>
          <w:i/>
          <w:color w:val="auto"/>
          <w:sz w:val="22"/>
          <w:szCs w:val="22"/>
        </w:rPr>
        <w:t xml:space="preserve">“Não usurpa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0B4AF0">
        <w:rPr>
          <w:rFonts w:asciiTheme="minorHAnsi" w:hAnsiTheme="minorHAnsi" w:cstheme="minorHAnsi"/>
          <w:b/>
          <w:i/>
          <w:color w:val="auto"/>
          <w:sz w:val="22"/>
          <w:szCs w:val="22"/>
        </w:rPr>
        <w:t>II,"a</w:t>
      </w:r>
      <w:r w:rsidRPr="000B4AF0">
        <w:rPr>
          <w:rFonts w:asciiTheme="minorHAnsi" w:hAnsiTheme="minorHAnsi" w:cstheme="minorHAnsi"/>
          <w:b/>
          <w:i/>
          <w:color w:val="auto"/>
          <w:sz w:val="22"/>
          <w:szCs w:val="22"/>
        </w:rPr>
        <w:t>", "c" e "e", da Constituição Federal)”.</w:t>
      </w:r>
    </w:p>
    <w:p w:rsidR="00523755" w:rsidP="00CD3609" w14:paraId="7354AB1F" w14:textId="77777777">
      <w:pPr>
        <w:pStyle w:val="Default"/>
        <w:spacing w:after="120" w:line="276" w:lineRule="auto"/>
        <w:ind w:left="2268"/>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B4AF0">
        <w:rPr>
          <w:rFonts w:asciiTheme="minorHAnsi" w:hAnsiTheme="minorHAnsi" w:cstheme="minorHAnsi"/>
          <w:b/>
          <w:i/>
          <w:color w:val="auto"/>
          <w:sz w:val="22"/>
          <w:szCs w:val="22"/>
        </w:rPr>
        <w:t xml:space="preserve">Não usurpa 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0B4AF0">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CD3609" w:rsidRPr="000B4AF0" w:rsidP="00CD3609" w14:paraId="53A4EF8A" w14:textId="1235C032">
      <w:pPr>
        <w:pStyle w:val="Default"/>
        <w:spacing w:after="120" w:line="276" w:lineRule="auto"/>
        <w:ind w:left="2268"/>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(ARE 878911 RG, </w:t>
      </w:r>
      <w:r w:rsidRPr="000B4AF0">
        <w:rPr>
          <w:rFonts w:asciiTheme="minorHAnsi" w:hAnsiTheme="minorHAnsi" w:cstheme="minorHAnsi"/>
          <w:i/>
          <w:color w:val="auto"/>
          <w:sz w:val="22"/>
          <w:szCs w:val="22"/>
        </w:rPr>
        <w:t>Relator(</w:t>
      </w:r>
      <w:r w:rsidRPr="000B4AF0">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CD3609" w:rsidRPr="000B4AF0" w:rsidP="00CD3609" w14:paraId="79865400" w14:textId="77777777">
      <w:pPr>
        <w:pStyle w:val="Default"/>
        <w:spacing w:before="240"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 xml:space="preserve">Assim, consoante entendimento da Suprema Corte (Tema nº917 Repercussão Geral) a iniciativa dos vereadores </w:t>
      </w:r>
      <w:r w:rsidRPr="000B4AF0">
        <w:rPr>
          <w:rFonts w:asciiTheme="minorHAnsi" w:hAnsiTheme="minorHAnsi" w:cstheme="minorHAnsi"/>
          <w:color w:val="auto"/>
        </w:rPr>
        <w:t>é</w:t>
      </w:r>
      <w:r w:rsidRPr="000B4AF0">
        <w:rPr>
          <w:rFonts w:asciiTheme="minorHAnsi" w:hAnsiTheme="minorHAnsi" w:cstheme="minorHAnsi"/>
          <w:color w:val="auto"/>
        </w:rPr>
        <w:t xml:space="preserve"> ampla, encontrando limites naqueles </w:t>
      </w:r>
      <w:r w:rsidRPr="000B4AF0">
        <w:rPr>
          <w:rFonts w:asciiTheme="minorHAnsi" w:hAnsiTheme="minorHAnsi" w:cstheme="minorHAnsi"/>
          <w:color w:val="auto"/>
        </w:rPr>
        <w:t>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CD3609" w:rsidRPr="000B4AF0" w:rsidP="00CD3609" w14:paraId="31518028" w14:textId="26A6CFC4">
      <w:pPr>
        <w:pStyle w:val="Default"/>
        <w:spacing w:after="120" w:line="360" w:lineRule="auto"/>
        <w:ind w:firstLine="1701"/>
        <w:jc w:val="both"/>
        <w:rPr>
          <w:rFonts w:asciiTheme="minorHAnsi" w:hAnsiTheme="minorHAnsi" w:cstheme="minorHAnsi"/>
          <w:color w:val="auto"/>
        </w:rPr>
      </w:pPr>
      <w:r w:rsidRPr="000B4AF0">
        <w:rPr>
          <w:rFonts w:asciiTheme="minorHAnsi" w:hAnsiTheme="minorHAnsi" w:cstheme="minorHAnsi"/>
          <w:color w:val="auto"/>
        </w:rPr>
        <w:t xml:space="preserve">Destarte, infere-se que o </w:t>
      </w:r>
      <w:r w:rsidRPr="00CD3609">
        <w:rPr>
          <w:rFonts w:asciiTheme="minorHAnsi" w:hAnsiTheme="minorHAnsi" w:cstheme="minorHAnsi"/>
          <w:color w:val="auto"/>
          <w:u w:val="single"/>
        </w:rPr>
        <w:t>projeto em análise viola a</w:t>
      </w:r>
      <w:r w:rsidR="00F9259B">
        <w:rPr>
          <w:rFonts w:asciiTheme="minorHAnsi" w:hAnsiTheme="minorHAnsi" w:cstheme="minorHAnsi"/>
          <w:color w:val="auto"/>
          <w:u w:val="single"/>
        </w:rPr>
        <w:t xml:space="preserve"> regra</w:t>
      </w:r>
      <w:r w:rsidRPr="00CD3609">
        <w:rPr>
          <w:rFonts w:asciiTheme="minorHAnsi" w:hAnsiTheme="minorHAnsi" w:cstheme="minorHAnsi"/>
          <w:color w:val="auto"/>
          <w:u w:val="single"/>
        </w:rPr>
        <w:t xml:space="preserve"> de iniciativa,</w:t>
      </w:r>
      <w:r w:rsidRPr="000B4AF0">
        <w:rPr>
          <w:rFonts w:asciiTheme="minorHAnsi" w:hAnsiTheme="minorHAnsi" w:cstheme="minorHAnsi"/>
          <w:color w:val="auto"/>
        </w:rPr>
        <w:t xml:space="preserve"> porquanto </w:t>
      </w:r>
      <w:r>
        <w:rPr>
          <w:rFonts w:asciiTheme="minorHAnsi" w:hAnsiTheme="minorHAnsi" w:cstheme="minorHAnsi"/>
          <w:color w:val="auto"/>
        </w:rPr>
        <w:t>ao dispor sobre atribu</w:t>
      </w:r>
      <w:bookmarkStart w:id="4" w:name="_GoBack"/>
      <w:bookmarkEnd w:id="4"/>
      <w:r>
        <w:rPr>
          <w:rFonts w:asciiTheme="minorHAnsi" w:hAnsiTheme="minorHAnsi" w:cstheme="minorHAnsi"/>
          <w:color w:val="auto"/>
        </w:rPr>
        <w:t>ições de órgãos municipais adentra em</w:t>
      </w:r>
      <w:r w:rsidRPr="000B4AF0">
        <w:rPr>
          <w:rFonts w:asciiTheme="minorHAnsi" w:hAnsiTheme="minorHAnsi" w:cstheme="minorHAnsi"/>
          <w:color w:val="auto"/>
        </w:rPr>
        <w:t xml:space="preserve"> mat</w:t>
      </w:r>
      <w:r>
        <w:rPr>
          <w:rFonts w:asciiTheme="minorHAnsi" w:hAnsiTheme="minorHAnsi" w:cstheme="minorHAnsi"/>
          <w:color w:val="auto"/>
        </w:rPr>
        <w:t xml:space="preserve">éria de competência privativa </w:t>
      </w:r>
      <w:r>
        <w:rPr>
          <w:rFonts w:asciiTheme="minorHAnsi" w:hAnsiTheme="minorHAnsi" w:cstheme="minorHAnsi"/>
          <w:color w:val="auto"/>
        </w:rPr>
        <w:t>da</w:t>
      </w:r>
      <w:r w:rsidRPr="000B4AF0">
        <w:rPr>
          <w:rFonts w:asciiTheme="minorHAnsi" w:hAnsiTheme="minorHAnsi" w:cstheme="minorHAnsi"/>
          <w:color w:val="auto"/>
        </w:rPr>
        <w:t xml:space="preserve"> Chefe</w:t>
      </w:r>
      <w:r w:rsidRPr="000B4AF0">
        <w:rPr>
          <w:rFonts w:asciiTheme="minorHAnsi" w:hAnsiTheme="minorHAnsi" w:cstheme="minorHAnsi"/>
          <w:color w:val="auto"/>
        </w:rPr>
        <w:t xml:space="preserve"> do Poder Executivo.</w:t>
      </w:r>
    </w:p>
    <w:p w:rsidR="007A1576" w:rsidRPr="007A1576" w:rsidP="00E20468" w14:paraId="7286B37E" w14:textId="40FBFA8F">
      <w:pPr>
        <w:spacing w:after="240" w:line="360" w:lineRule="auto"/>
        <w:ind w:firstLine="1701"/>
        <w:jc w:val="both"/>
        <w:rPr>
          <w:rFonts w:cstheme="minorHAnsi"/>
          <w:i/>
          <w:iCs/>
          <w:sz w:val="24"/>
          <w:szCs w:val="24"/>
        </w:rPr>
      </w:pPr>
      <w:r w:rsidRPr="007A1576">
        <w:rPr>
          <w:rFonts w:eastAsia="Times New Roman" w:cstheme="minorHAnsi"/>
          <w:sz w:val="24"/>
          <w:szCs w:val="24"/>
          <w:lang w:eastAsia="pt-BR"/>
        </w:rPr>
        <w:t xml:space="preserve">Do mesmo modo, </w:t>
      </w:r>
      <w:r w:rsidR="00F9259B">
        <w:rPr>
          <w:rFonts w:eastAsia="Times New Roman" w:cstheme="minorHAnsi"/>
          <w:sz w:val="24"/>
          <w:szCs w:val="24"/>
          <w:lang w:eastAsia="pt-BR"/>
        </w:rPr>
        <w:t xml:space="preserve">ao dispor sobre autorização ao Executivo para </w:t>
      </w:r>
      <w:r w:rsidRPr="00F9259B" w:rsidR="00F9259B">
        <w:rPr>
          <w:rFonts w:eastAsia="Times New Roman" w:cstheme="minorHAnsi"/>
          <w:sz w:val="24"/>
          <w:szCs w:val="24"/>
          <w:lang w:eastAsia="pt-BR"/>
        </w:rPr>
        <w:t>criação, organização e realização d</w:t>
      </w:r>
      <w:r w:rsidR="00F9259B">
        <w:rPr>
          <w:rFonts w:eastAsia="Times New Roman" w:cstheme="minorHAnsi"/>
          <w:sz w:val="24"/>
          <w:szCs w:val="24"/>
          <w:lang w:eastAsia="pt-BR"/>
        </w:rPr>
        <w:t xml:space="preserve">a Feira do Brechó de Vestuários, tratando de como deve ser </w:t>
      </w:r>
      <w:r w:rsidR="00E20468">
        <w:rPr>
          <w:rFonts w:eastAsia="Times New Roman" w:cstheme="minorHAnsi"/>
          <w:sz w:val="24"/>
          <w:szCs w:val="24"/>
          <w:lang w:eastAsia="pt-BR"/>
        </w:rPr>
        <w:t xml:space="preserve">realizado o evento, periodicidade, exigências e da forma de escolha do nome e logomarca visual, o projeto </w:t>
      </w:r>
      <w:r w:rsidRPr="007A1576">
        <w:rPr>
          <w:rFonts w:cstheme="minorHAnsi"/>
          <w:sz w:val="24"/>
          <w:szCs w:val="24"/>
          <w:shd w:val="clear" w:color="auto" w:fill="FFFFFF"/>
        </w:rPr>
        <w:t xml:space="preserve">afronta o princípio da separação dos poderes e da reserva de administração dispostos nos artigos 5º e 47, incisos </w:t>
      </w:r>
      <w:r w:rsidRPr="007A1576">
        <w:rPr>
          <w:rFonts w:cstheme="minorHAnsi"/>
          <w:sz w:val="24"/>
          <w:szCs w:val="24"/>
        </w:rPr>
        <w:t xml:space="preserve">II e XIV, da Constituição Estadual, que constituem dispositivos de observância obrigatória aos Municípios, in </w:t>
      </w:r>
      <w:r w:rsidRPr="007A1576">
        <w:rPr>
          <w:rFonts w:cstheme="minorHAnsi"/>
          <w:i/>
          <w:iCs/>
          <w:sz w:val="24"/>
          <w:szCs w:val="24"/>
        </w:rPr>
        <w:t>verbis:</w:t>
      </w:r>
    </w:p>
    <w:p w:rsidR="007A1576" w:rsidRPr="000B4AF0" w:rsidP="007A1576" w14:paraId="34A0E754" w14:textId="77777777">
      <w:pPr>
        <w:autoSpaceDE w:val="0"/>
        <w:autoSpaceDN w:val="0"/>
        <w:adjustRightInd w:val="0"/>
        <w:spacing w:after="0"/>
        <w:ind w:left="2268"/>
        <w:jc w:val="both"/>
        <w:rPr>
          <w:rFonts w:eastAsia="Calibri" w:cstheme="minorHAnsi"/>
          <w:bCs/>
          <w:i/>
          <w:iCs/>
        </w:rPr>
      </w:pPr>
      <w:r w:rsidRPr="000B4AF0">
        <w:rPr>
          <w:rFonts w:eastAsia="Calibri" w:cstheme="minorHAnsi"/>
          <w:bCs/>
          <w:i/>
          <w:iCs/>
        </w:rPr>
        <w:t>“Art. 5º - São Poderes do Estado, independentes e harmônicos entre si, o Legislativo, o Executivo e o Judiciário.”</w:t>
      </w:r>
    </w:p>
    <w:p w:rsidR="007A1576" w:rsidRPr="000B4AF0" w:rsidP="007A1576" w14:paraId="1BD7536A" w14:textId="77777777">
      <w:pPr>
        <w:autoSpaceDE w:val="0"/>
        <w:autoSpaceDN w:val="0"/>
        <w:adjustRightInd w:val="0"/>
        <w:spacing w:after="0"/>
        <w:ind w:left="2268"/>
        <w:jc w:val="both"/>
        <w:rPr>
          <w:rFonts w:eastAsia="Calibri" w:cstheme="minorHAnsi"/>
          <w:bCs/>
          <w:i/>
          <w:iCs/>
        </w:rPr>
      </w:pPr>
    </w:p>
    <w:p w:rsidR="007A1576" w:rsidRPr="000B4AF0" w:rsidP="007A1576" w14:paraId="2EA7D171" w14:textId="77777777">
      <w:pPr>
        <w:autoSpaceDE w:val="0"/>
        <w:autoSpaceDN w:val="0"/>
        <w:adjustRightInd w:val="0"/>
        <w:spacing w:after="0"/>
        <w:ind w:left="2268"/>
        <w:jc w:val="both"/>
        <w:rPr>
          <w:rFonts w:eastAsia="Calibri" w:cstheme="minorHAnsi"/>
          <w:bCs/>
          <w:i/>
          <w:iCs/>
        </w:rPr>
      </w:pPr>
      <w:r w:rsidRPr="000B4AF0">
        <w:rPr>
          <w:rFonts w:eastAsia="Calibri" w:cstheme="minorHAnsi"/>
          <w:bCs/>
          <w:i/>
          <w:iCs/>
        </w:rPr>
        <w:t xml:space="preserve">“Art. 47 - Compete privativamente ao Governador, além de outras atribuições previstas nesta Constituição: </w:t>
      </w:r>
    </w:p>
    <w:p w:rsidR="007A1576" w:rsidRPr="000B4AF0" w:rsidP="007A1576" w14:paraId="771A9DE9" w14:textId="77777777">
      <w:pPr>
        <w:autoSpaceDE w:val="0"/>
        <w:autoSpaceDN w:val="0"/>
        <w:adjustRightInd w:val="0"/>
        <w:spacing w:after="0"/>
        <w:ind w:left="2268"/>
        <w:jc w:val="both"/>
        <w:rPr>
          <w:rFonts w:eastAsia="Calibri" w:cstheme="minorHAnsi"/>
          <w:bCs/>
          <w:i/>
          <w:iCs/>
        </w:rPr>
      </w:pPr>
      <w:r w:rsidRPr="000B4AF0">
        <w:rPr>
          <w:rFonts w:eastAsia="Calibri" w:cstheme="minorHAnsi"/>
          <w:bCs/>
          <w:i/>
          <w:iCs/>
        </w:rPr>
        <w:t xml:space="preserve"> [...]</w:t>
      </w:r>
    </w:p>
    <w:p w:rsidR="007A1576" w:rsidRPr="000B4AF0" w:rsidP="007A1576" w14:paraId="5328E6E2" w14:textId="77777777">
      <w:pPr>
        <w:autoSpaceDE w:val="0"/>
        <w:autoSpaceDN w:val="0"/>
        <w:adjustRightInd w:val="0"/>
        <w:spacing w:after="0"/>
        <w:ind w:left="2268"/>
        <w:jc w:val="both"/>
        <w:rPr>
          <w:rFonts w:eastAsia="Calibri" w:cstheme="minorHAnsi"/>
          <w:bCs/>
          <w:i/>
          <w:iCs/>
        </w:rPr>
      </w:pPr>
      <w:r w:rsidRPr="000B4AF0">
        <w:rPr>
          <w:rFonts w:eastAsia="Calibri" w:cstheme="minorHAnsi"/>
          <w:bCs/>
          <w:i/>
          <w:iCs/>
        </w:rPr>
        <w:t>II - exercer, com o auxílio dos Secretários de Estado, a direção superior da administração estadual;</w:t>
      </w:r>
    </w:p>
    <w:p w:rsidR="007A1576" w:rsidRPr="000B4AF0" w:rsidP="007A1576" w14:paraId="632E5406" w14:textId="77777777">
      <w:pPr>
        <w:autoSpaceDE w:val="0"/>
        <w:autoSpaceDN w:val="0"/>
        <w:adjustRightInd w:val="0"/>
        <w:spacing w:after="0"/>
        <w:ind w:left="2268"/>
        <w:jc w:val="both"/>
        <w:rPr>
          <w:rFonts w:eastAsia="Calibri" w:cstheme="minorHAnsi"/>
          <w:bCs/>
          <w:i/>
          <w:iCs/>
        </w:rPr>
      </w:pPr>
      <w:r w:rsidRPr="000B4AF0">
        <w:rPr>
          <w:rFonts w:eastAsia="Calibri" w:cstheme="minorHAnsi"/>
          <w:bCs/>
          <w:i/>
          <w:iCs/>
        </w:rPr>
        <w:t>[...]</w:t>
      </w:r>
    </w:p>
    <w:p w:rsidR="007A1576" w:rsidRPr="000B4AF0" w:rsidP="007A1576" w14:paraId="035A67EA" w14:textId="77777777">
      <w:pPr>
        <w:autoSpaceDE w:val="0"/>
        <w:autoSpaceDN w:val="0"/>
        <w:adjustRightInd w:val="0"/>
        <w:spacing w:after="0"/>
        <w:ind w:left="2268"/>
        <w:jc w:val="both"/>
        <w:rPr>
          <w:rFonts w:eastAsia="Calibri" w:cstheme="minorHAnsi"/>
          <w:bCs/>
          <w:i/>
          <w:iCs/>
        </w:rPr>
      </w:pPr>
      <w:r w:rsidRPr="000B4AF0">
        <w:rPr>
          <w:rFonts w:eastAsia="Calibri" w:cstheme="minorHAnsi"/>
          <w:bCs/>
          <w:i/>
          <w:iCs/>
        </w:rPr>
        <w:t>XIV - praticar os demais atos de administração, nos limites da competência do Executivo;”</w:t>
      </w:r>
      <w:r w:rsidRPr="000B4AF0">
        <w:rPr>
          <w:rFonts w:eastAsia="Calibri" w:cstheme="minorHAnsi"/>
          <w:bCs/>
          <w:i/>
          <w:iCs/>
        </w:rPr>
        <w:t>;</w:t>
      </w:r>
    </w:p>
    <w:p w:rsidR="007A1576" w:rsidRPr="000B4AF0" w:rsidP="007A1576" w14:paraId="3E51278B" w14:textId="77777777">
      <w:pPr>
        <w:autoSpaceDE w:val="0"/>
        <w:autoSpaceDN w:val="0"/>
        <w:adjustRightInd w:val="0"/>
        <w:spacing w:after="80"/>
        <w:ind w:left="2835"/>
        <w:jc w:val="both"/>
        <w:rPr>
          <w:rFonts w:eastAsia="Calibri" w:cstheme="minorHAnsi"/>
          <w:bCs/>
          <w:i/>
          <w:iCs/>
        </w:rPr>
      </w:pPr>
    </w:p>
    <w:p w:rsidR="007A1576" w:rsidRPr="007A1576" w:rsidP="007A1576" w14:paraId="4A66C76D" w14:textId="77777777">
      <w:pPr>
        <w:spacing w:after="120" w:line="360" w:lineRule="auto"/>
        <w:ind w:firstLine="1701"/>
        <w:jc w:val="both"/>
        <w:rPr>
          <w:rFonts w:cstheme="minorHAnsi"/>
          <w:sz w:val="24"/>
          <w:szCs w:val="24"/>
        </w:rPr>
      </w:pPr>
      <w:r w:rsidRPr="007A1576">
        <w:rPr>
          <w:rFonts w:cstheme="minorHAnsi"/>
          <w:sz w:val="24"/>
          <w:szCs w:val="24"/>
        </w:rPr>
        <w:t>Nessa senda segue entendimento doutrinário</w:t>
      </w:r>
      <w:r>
        <w:rPr>
          <w:rFonts w:cstheme="minorHAnsi"/>
          <w:sz w:val="24"/>
          <w:szCs w:val="24"/>
          <w:vertAlign w:val="superscript"/>
        </w:rPr>
        <w:footnoteReference w:id="3"/>
      </w:r>
      <w:r w:rsidRPr="007A1576">
        <w:rPr>
          <w:rFonts w:cstheme="minorHAnsi"/>
          <w:sz w:val="24"/>
          <w:szCs w:val="24"/>
        </w:rPr>
        <w:t>:</w:t>
      </w:r>
    </w:p>
    <w:p w:rsidR="007A1576" w:rsidRPr="000B4AF0" w:rsidP="007A1576" w14:paraId="63FD88D2" w14:textId="77777777">
      <w:pPr>
        <w:spacing w:after="0"/>
        <w:ind w:left="2268"/>
        <w:jc w:val="both"/>
        <w:rPr>
          <w:rFonts w:cstheme="minorHAnsi"/>
          <w:b/>
          <w:i/>
        </w:rPr>
      </w:pPr>
      <w:r w:rsidRPr="000B4AF0">
        <w:rPr>
          <w:rFonts w:cstheme="minorHAnsi"/>
          <w:b/>
          <w:i/>
        </w:rPr>
        <w:t>A liberdade de conformação do legislador encontra limites no texto constitucional</w:t>
      </w:r>
      <w:r w:rsidRPr="000B4AF0">
        <w:rPr>
          <w:rFonts w:cstheme="minorHAnsi"/>
          <w:i/>
        </w:rPr>
        <w:t>. Entre esses limites, costuma-se apontar, no Direito Comparado, a existência da denominada “</w:t>
      </w:r>
      <w:r w:rsidRPr="000B4AF0">
        <w:rPr>
          <w:rFonts w:cstheme="minorHAnsi"/>
          <w:b/>
          <w:i/>
        </w:rPr>
        <w:t xml:space="preserve">reserva de administração” como um verdadeiro “núcleo funcional da administração ‘resistente’ à lei”. Daí a Constituição, em situações específicas, determinar que o tratamento de determinadas matérias </w:t>
      </w:r>
      <w:r w:rsidRPr="000B4AF0">
        <w:rPr>
          <w:rFonts w:cstheme="minorHAnsi"/>
          <w:b/>
          <w:i/>
        </w:rPr>
        <w:t>fica</w:t>
      </w:r>
      <w:r w:rsidRPr="000B4AF0">
        <w:rPr>
          <w:rFonts w:cstheme="minorHAnsi"/>
          <w:b/>
          <w:i/>
        </w:rPr>
        <w:t xml:space="preserve"> adstrito ao âmbito exclusivo da Administração Pública, não sendo lícita a ingerência do parlamento.</w:t>
      </w:r>
      <w:r w:rsidRPr="000B4AF0">
        <w:rPr>
          <w:rFonts w:ascii="MS Gothic" w:eastAsia="MS Gothic" w:hAnsi="MS Gothic" w:cs="MS Gothic" w:hint="eastAsia"/>
          <w:b/>
          <w:i/>
        </w:rPr>
        <w:t> </w:t>
      </w:r>
    </w:p>
    <w:p w:rsidR="007A1576" w:rsidRPr="000B4AF0" w:rsidP="007A1576" w14:paraId="1076D388" w14:textId="77777777">
      <w:pPr>
        <w:spacing w:after="0"/>
        <w:ind w:left="2268"/>
        <w:jc w:val="both"/>
        <w:rPr>
          <w:rFonts w:cstheme="minorHAnsi"/>
          <w:i/>
        </w:rPr>
      </w:pPr>
      <w:r w:rsidRPr="000B4AF0">
        <w:rPr>
          <w:rFonts w:cstheme="minorHAnsi"/>
          <w:i/>
        </w:rPr>
        <w:t xml:space="preserve">A reserva de administração pode ser dividida em duas </w:t>
      </w:r>
      <w:r w:rsidRPr="000B4AF0">
        <w:rPr>
          <w:rFonts w:cstheme="minorHAnsi"/>
          <w:i/>
        </w:rPr>
        <w:t>categorias:</w:t>
      </w:r>
      <w:r w:rsidRPr="000B4AF0">
        <w:rPr>
          <w:rFonts w:ascii="MS Gothic" w:eastAsia="MS Gothic" w:hAnsi="MS Gothic" w:cs="MS Gothic" w:hint="eastAsia"/>
          <w:i/>
        </w:rPr>
        <w:t> </w:t>
      </w:r>
    </w:p>
    <w:p w:rsidR="007A1576" w:rsidRPr="000B4AF0" w:rsidP="007A1576" w14:paraId="399DC9D2" w14:textId="77777777">
      <w:pPr>
        <w:spacing w:after="0"/>
        <w:ind w:left="2268"/>
        <w:jc w:val="both"/>
        <w:rPr>
          <w:rFonts w:cstheme="minorHAnsi"/>
          <w:i/>
        </w:rPr>
      </w:pPr>
      <w:r w:rsidRPr="000B4AF0">
        <w:rPr>
          <w:rFonts w:cstheme="minorHAnsi"/>
          <w:i/>
        </w:rPr>
        <w:t xml:space="preserve">a) reserva geral de administração: fundamenta-se no </w:t>
      </w:r>
      <w:r w:rsidRPr="000B4AF0">
        <w:rPr>
          <w:rFonts w:cstheme="minorHAnsi"/>
          <w:b/>
          <w:i/>
        </w:rPr>
        <w:t>princípio da separação de poderes</w:t>
      </w:r>
      <w:r w:rsidRPr="000B4AF0">
        <w:rPr>
          <w:rFonts w:cstheme="minorHAnsi"/>
          <w:i/>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0B4AF0">
        <w:rPr>
          <w:rFonts w:ascii="MS Gothic" w:eastAsia="MS Gothic" w:hAnsi="MS Gothic" w:cs="MS Gothic" w:hint="eastAsia"/>
          <w:i/>
        </w:rPr>
        <w:t> </w:t>
      </w:r>
    </w:p>
    <w:p w:rsidR="007A1576" w:rsidRPr="000B4AF0" w:rsidP="007A1576" w14:paraId="755446B7" w14:textId="77777777">
      <w:pPr>
        <w:spacing w:after="0"/>
        <w:ind w:left="2268"/>
        <w:jc w:val="both"/>
        <w:rPr>
          <w:rFonts w:cstheme="minorHAnsi"/>
          <w:b/>
          <w:i/>
        </w:rPr>
      </w:pPr>
      <w:r w:rsidRPr="000B4AF0">
        <w:rPr>
          <w:rFonts w:cstheme="minorHAnsi"/>
          <w:i/>
        </w:rPr>
        <w:t xml:space="preserve">b) reserva específica de administração: </w:t>
      </w:r>
      <w:r w:rsidRPr="000B4AF0">
        <w:rPr>
          <w:rFonts w:cstheme="minorHAnsi"/>
          <w:b/>
          <w:i/>
        </w:rPr>
        <w:t xml:space="preserve">quando a Constituição destaca determinadas matérias, submetendo-as à competência exclusiva do Poder </w:t>
      </w:r>
      <w:r w:rsidRPr="000B4AF0">
        <w:rPr>
          <w:rFonts w:cstheme="minorHAnsi"/>
          <w:b/>
          <w:i/>
        </w:rPr>
        <w:t>Executivo.</w:t>
      </w:r>
      <w:r w:rsidRPr="000B4AF0">
        <w:rPr>
          <w:rFonts w:ascii="MS Gothic" w:eastAsia="MS Gothic" w:hAnsi="MS Gothic" w:cs="MS Gothic" w:hint="eastAsia"/>
          <w:b/>
          <w:i/>
        </w:rPr>
        <w:t> </w:t>
      </w:r>
    </w:p>
    <w:p w:rsidR="007A1576" w:rsidRPr="000B4AF0" w:rsidP="007A1576" w14:paraId="3D29DAFC" w14:textId="77777777">
      <w:pPr>
        <w:spacing w:after="0"/>
        <w:ind w:left="2268"/>
        <w:jc w:val="both"/>
        <w:rPr>
          <w:rFonts w:cstheme="minorHAnsi"/>
          <w:i/>
        </w:rPr>
      </w:pPr>
      <w:r w:rsidRPr="00407B26">
        <w:rPr>
          <w:rFonts w:cstheme="minorHAnsi"/>
          <w:b/>
          <w:i/>
        </w:rPr>
        <w:t>No Brasil, o Supremo Tribunal Federal já reconheceu a existência de um verdadeiro princípio constitucional da reserva de administração</w:t>
      </w:r>
      <w:r w:rsidRPr="000B4AF0">
        <w:rPr>
          <w:rFonts w:cstheme="minorHAnsi"/>
          <w:i/>
        </w:rPr>
        <w:t xml:space="preserve">, com fulcro no princípio da separação de poderes, </w:t>
      </w:r>
      <w:r w:rsidRPr="000B4AF0">
        <w:rPr>
          <w:rFonts w:cstheme="minorHAnsi"/>
          <w:b/>
          <w:i/>
        </w:rPr>
        <w:t xml:space="preserve">cujo conteúdo impediria “a ingerência normativa do Poder Legislativo em matérias sujeitas à exclusiva </w:t>
      </w:r>
      <w:r w:rsidRPr="00407B26">
        <w:rPr>
          <w:rFonts w:cstheme="minorHAnsi"/>
          <w:b/>
          <w:i/>
          <w:u w:val="single"/>
        </w:rPr>
        <w:t>competência administrativa do Poder Executivo”</w:t>
      </w:r>
      <w:r w:rsidRPr="000B4AF0">
        <w:rPr>
          <w:rFonts w:cstheme="minorHAnsi"/>
          <w:b/>
          <w:i/>
        </w:rPr>
        <w:t>.</w:t>
      </w:r>
      <w:r w:rsidRPr="000B4AF0">
        <w:rPr>
          <w:rFonts w:cstheme="minorHAnsi"/>
          <w:i/>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0B4AF0">
        <w:rPr>
          <w:rFonts w:cstheme="minorHAnsi"/>
          <w:i/>
        </w:rPr>
        <w:t>(OLIVEIRA, Rezende, R. C.</w:t>
      </w:r>
      <w:r w:rsidRPr="000B4AF0">
        <w:rPr>
          <w:rFonts w:cstheme="minorHAnsi"/>
          <w:i/>
        </w:rPr>
        <w:t xml:space="preserve"> Curso de Direito Administrativo, 6ª edição, p. 267. Grifo nosso.</w:t>
      </w:r>
    </w:p>
    <w:p w:rsidR="007A1576" w:rsidRPr="00523755" w:rsidP="00775289" w14:paraId="7D42460F" w14:textId="77777777">
      <w:pPr>
        <w:spacing w:after="240" w:line="360" w:lineRule="auto"/>
        <w:ind w:firstLine="1701"/>
        <w:jc w:val="both"/>
        <w:rPr>
          <w:rFonts w:eastAsia="Times New Roman" w:cstheme="minorHAnsi"/>
          <w:sz w:val="4"/>
          <w:szCs w:val="4"/>
          <w:lang w:eastAsia="pt-BR"/>
        </w:rPr>
      </w:pPr>
    </w:p>
    <w:p w:rsidR="00CD3609" w:rsidP="00775289" w14:paraId="56B5C5A3" w14:textId="3D154068">
      <w:pPr>
        <w:spacing w:after="240" w:line="360" w:lineRule="auto"/>
        <w:ind w:firstLine="1701"/>
        <w:jc w:val="both"/>
        <w:rPr>
          <w:rFonts w:eastAsia="Times New Roman" w:cstheme="minorHAnsi"/>
          <w:sz w:val="24"/>
          <w:szCs w:val="24"/>
          <w:lang w:eastAsia="pt-BR"/>
        </w:rPr>
      </w:pPr>
      <w:r>
        <w:rPr>
          <w:rFonts w:eastAsia="Times New Roman" w:cstheme="minorHAnsi"/>
          <w:sz w:val="24"/>
          <w:szCs w:val="24"/>
          <w:lang w:eastAsia="pt-BR"/>
        </w:rPr>
        <w:t xml:space="preserve">Corroborando </w:t>
      </w:r>
      <w:r w:rsidR="00523755">
        <w:rPr>
          <w:rFonts w:eastAsia="Times New Roman" w:cstheme="minorHAnsi"/>
          <w:sz w:val="24"/>
          <w:szCs w:val="24"/>
          <w:lang w:eastAsia="pt-BR"/>
        </w:rPr>
        <w:t>o</w:t>
      </w:r>
      <w:r>
        <w:rPr>
          <w:rFonts w:eastAsia="Times New Roman" w:cstheme="minorHAnsi"/>
          <w:sz w:val="24"/>
          <w:szCs w:val="24"/>
          <w:lang w:eastAsia="pt-BR"/>
        </w:rPr>
        <w:t xml:space="preserve"> entendimento</w:t>
      </w:r>
      <w:r w:rsidR="00523755">
        <w:rPr>
          <w:rFonts w:eastAsia="Times New Roman" w:cstheme="minorHAnsi"/>
          <w:sz w:val="24"/>
          <w:szCs w:val="24"/>
          <w:lang w:eastAsia="pt-BR"/>
        </w:rPr>
        <w:t xml:space="preserve"> esposado</w:t>
      </w:r>
      <w:r>
        <w:rPr>
          <w:rFonts w:eastAsia="Times New Roman" w:cstheme="minorHAnsi"/>
          <w:sz w:val="24"/>
          <w:szCs w:val="24"/>
          <w:lang w:eastAsia="pt-BR"/>
        </w:rPr>
        <w:t xml:space="preserve"> colacionamos precedentes do Tribunal de Justiça de São Paulo:</w:t>
      </w:r>
    </w:p>
    <w:p w:rsidR="00B141C8" w:rsidP="00B141C8" w14:paraId="6AEA68EA" w14:textId="77777777">
      <w:pPr>
        <w:pBdr>
          <w:bottom w:val="single" w:sz="12" w:space="1" w:color="auto"/>
        </w:pBdr>
        <w:spacing w:after="0"/>
        <w:ind w:left="2268"/>
        <w:jc w:val="both"/>
        <w:rPr>
          <w:rFonts w:cstheme="minorHAnsi"/>
          <w:i/>
        </w:rPr>
      </w:pPr>
      <w:r w:rsidRPr="002B33A9">
        <w:rPr>
          <w:rFonts w:cstheme="minorHAnsi"/>
          <w:i/>
        </w:rPr>
        <w:t xml:space="preserve">"AÇÃO DIRETA DE INCONSTITUCIONALIDADE - LEI Nº 3.606, DE 18 DE SETEMBRO DE 2019, DO MUNICÍPIO DE ANDRADINA QUE </w:t>
      </w:r>
      <w:r w:rsidRPr="00CD6992">
        <w:rPr>
          <w:rFonts w:cstheme="minorHAnsi"/>
          <w:b/>
          <w:i/>
        </w:rPr>
        <w:t xml:space="preserve">'DISPÕE SOBRE A CRIAÇÃO DA FEIRA MUNICIPAL DE PRODUTOS RURAIS E </w:t>
      </w:r>
      <w:r w:rsidRPr="00CD6992">
        <w:rPr>
          <w:rFonts w:cstheme="minorHAnsi"/>
          <w:b/>
          <w:i/>
        </w:rPr>
        <w:t>ARTESANAIS E DÁ OUTRAS PROVIDÊNCIAS - ATO NORMATIVO DE ORIGEM PARLAMENTAR QUE INSTITUIU E REGULAMENTOU O FUNCIONAMENTO DE FEIRA MUNICIPAL - INADMISSIBILIDADE</w:t>
      </w:r>
      <w:r w:rsidRPr="002B33A9">
        <w:rPr>
          <w:rFonts w:cstheme="minorHAnsi"/>
          <w:i/>
        </w:rPr>
        <w:t xml:space="preserve"> - VIOLAÇÃO AOS PRINCÍPIOS DA RESERVA DE ADMINISTRAÇÃO E DA SEPARAÇÃO DOS PODERES - OFENSA AOS ARTIGOS 5º, 47, INCISOS II, XIV E XIX, LETRA 'A', e 144, TODOS DA CONSTITUIÇÃO ESTADUAL - INCONSTITUCIONALIDADE DECLARADA - AÇÃO PROCEDENTE". "O Executivo goza de autonomia e independência em relação à Câmara Municipal, que não podem ser violadas mediante elaboração legislativa que tenha por escopo impingir ao Prefeito o que deve ser feito em termos de administração pública". "A ingerência da Câmara Municipal na esfera de competência exclusiva do Prefeito implica transgressão ao princípio da separação dos poderes previsto no artigo 5º, caput, da Constituição Estadual". </w:t>
      </w:r>
    </w:p>
    <w:p w:rsidR="00B141C8" w:rsidRPr="00523755" w:rsidP="00B141C8" w14:paraId="0144E698" w14:textId="77777777">
      <w:pPr>
        <w:pBdr>
          <w:bottom w:val="single" w:sz="12" w:space="1" w:color="auto"/>
        </w:pBdr>
        <w:spacing w:after="0"/>
        <w:ind w:left="2268"/>
        <w:jc w:val="both"/>
        <w:rPr>
          <w:rFonts w:cstheme="minorHAnsi"/>
          <w:i/>
          <w:sz w:val="4"/>
          <w:szCs w:val="4"/>
        </w:rPr>
      </w:pPr>
    </w:p>
    <w:p w:rsidR="0034121B" w:rsidRPr="00B141C8" w:rsidP="00B141C8" w14:paraId="604D649A" w14:textId="1C0137E5">
      <w:pPr>
        <w:pBdr>
          <w:bottom w:val="single" w:sz="12" w:space="1" w:color="auto"/>
        </w:pBdr>
        <w:spacing w:after="0"/>
        <w:ind w:left="2268"/>
        <w:jc w:val="both"/>
        <w:rPr>
          <w:rFonts w:cstheme="minorHAnsi"/>
          <w:i/>
          <w:sz w:val="20"/>
          <w:szCs w:val="20"/>
        </w:rPr>
      </w:pPr>
      <w:r w:rsidRPr="00B141C8">
        <w:rPr>
          <w:rFonts w:cstheme="minorHAnsi"/>
          <w:i/>
          <w:sz w:val="20"/>
          <w:szCs w:val="20"/>
        </w:rPr>
        <w:t>(TJSP;</w:t>
      </w:r>
      <w:r w:rsidRPr="00B141C8">
        <w:rPr>
          <w:rFonts w:cstheme="minorHAnsi"/>
          <w:i/>
          <w:sz w:val="20"/>
          <w:szCs w:val="20"/>
        </w:rPr>
        <w:t xml:space="preserve">  </w:t>
      </w:r>
      <w:r w:rsidRPr="00B141C8">
        <w:rPr>
          <w:rFonts w:cstheme="minorHAnsi"/>
          <w:i/>
          <w:sz w:val="20"/>
          <w:szCs w:val="20"/>
        </w:rPr>
        <w:t xml:space="preserve">Direta de Inconstitucionalidade 2300273-71.2020.8.26.0000; Relator (a): Renato </w:t>
      </w:r>
      <w:r w:rsidRPr="00B141C8">
        <w:rPr>
          <w:rFonts w:cstheme="minorHAnsi"/>
          <w:i/>
          <w:sz w:val="20"/>
          <w:szCs w:val="20"/>
        </w:rPr>
        <w:t>Sartorelli</w:t>
      </w:r>
      <w:r w:rsidRPr="00B141C8">
        <w:rPr>
          <w:rFonts w:cstheme="minorHAnsi"/>
          <w:i/>
          <w:sz w:val="20"/>
          <w:szCs w:val="20"/>
        </w:rPr>
        <w:t>; Órgão Julgador: Órgão Especial; Tribunal de Justiça de São Paulo - N/A; Data do Julgamento: 16/06/2021; Data de Registro: 08/07/2021)</w:t>
      </w:r>
    </w:p>
    <w:p w:rsidR="00B141C8" w:rsidRPr="00523755" w:rsidP="002B33A9" w14:paraId="61FEA676" w14:textId="77777777">
      <w:pPr>
        <w:spacing w:after="240"/>
        <w:ind w:left="2268"/>
        <w:jc w:val="both"/>
        <w:rPr>
          <w:rFonts w:cstheme="minorHAnsi"/>
          <w:i/>
          <w:sz w:val="12"/>
          <w:szCs w:val="12"/>
        </w:rPr>
      </w:pPr>
    </w:p>
    <w:p w:rsidR="00B141C8" w:rsidP="00523755" w14:paraId="297FE05D" w14:textId="77777777">
      <w:pPr>
        <w:spacing w:after="120"/>
        <w:ind w:left="2268"/>
        <w:jc w:val="both"/>
        <w:rPr>
          <w:rFonts w:cstheme="minorHAnsi"/>
          <w:i/>
        </w:rPr>
      </w:pPr>
      <w:r w:rsidRPr="00B141C8">
        <w:rPr>
          <w:rFonts w:cstheme="minorHAnsi"/>
          <w:i/>
        </w:rPr>
        <w:t>Ação direta de inconstitucionalidade. Lei municipal de Valinhos, de iniciativa parlamentar, que dispõe sobre "</w:t>
      </w:r>
      <w:r w:rsidRPr="00B141C8">
        <w:rPr>
          <w:rFonts w:cstheme="minorHAnsi"/>
          <w:b/>
          <w:i/>
        </w:rPr>
        <w:t>a autorização de Feira Livre no bairro Jardim São Bento do Recreio em Valinhos</w:t>
      </w:r>
      <w:r w:rsidRPr="00B141C8">
        <w:rPr>
          <w:rFonts w:cstheme="minorHAnsi"/>
          <w:i/>
        </w:rPr>
        <w:t>". Norma de origem parlamentar que dispõe sobre permissão ou autorização para uso de espaço público para exposição e venda de mercadorias. Competência material do Prefeito para permitir ou autorizar, em caráter precário, o uso de bens públicos. Ofensa ao princípio da separação dos poderes, por usurpar a norma de competência material do Chefe do Executivo. Precedente do Órgão Especial. Ação julgada procedente. </w:t>
      </w:r>
    </w:p>
    <w:p w:rsidR="00B141C8" w:rsidP="00523755" w14:paraId="580F394D" w14:textId="733BA855">
      <w:pPr>
        <w:spacing w:after="120"/>
        <w:ind w:left="2268"/>
        <w:jc w:val="both"/>
        <w:rPr>
          <w:rFonts w:cstheme="minorHAnsi"/>
          <w:i/>
          <w:sz w:val="20"/>
          <w:szCs w:val="20"/>
        </w:rPr>
      </w:pPr>
      <w:r w:rsidRPr="00B141C8">
        <w:rPr>
          <w:rFonts w:cstheme="minorHAnsi"/>
          <w:i/>
          <w:sz w:val="20"/>
          <w:szCs w:val="20"/>
        </w:rPr>
        <w:t>(TJSP;</w:t>
      </w:r>
      <w:r w:rsidRPr="00B141C8">
        <w:rPr>
          <w:rFonts w:cstheme="minorHAnsi"/>
          <w:i/>
          <w:sz w:val="20"/>
          <w:szCs w:val="20"/>
        </w:rPr>
        <w:t xml:space="preserve">  </w:t>
      </w:r>
      <w:r w:rsidRPr="00B141C8">
        <w:rPr>
          <w:rFonts w:cstheme="minorHAnsi"/>
          <w:i/>
          <w:sz w:val="20"/>
          <w:szCs w:val="20"/>
        </w:rPr>
        <w:t>Direta de Inconstitucionalidade 2115384-16.2019.8.26.0000; Relator (a): Márcio Bartoli; Órgão Julgador: Órgão Especial; Tribunal de Justiça de São Paulo - N/A; Data do Julgamento: 28/08/2019; Data de Registro: 02/09/2019)</w:t>
      </w:r>
    </w:p>
    <w:p w:rsidR="00523755" w:rsidRPr="00523755" w:rsidP="00523755" w14:paraId="37B4978E" w14:textId="77777777">
      <w:pPr>
        <w:spacing w:after="120"/>
        <w:ind w:left="2268"/>
        <w:jc w:val="both"/>
        <w:rPr>
          <w:rFonts w:cstheme="minorHAnsi"/>
          <w:i/>
          <w:sz w:val="4"/>
          <w:szCs w:val="4"/>
        </w:rPr>
      </w:pPr>
    </w:p>
    <w:p w:rsidR="00523755" w:rsidRPr="00634C01" w:rsidP="00523755" w14:paraId="342174DE" w14:textId="48199071">
      <w:pPr>
        <w:spacing w:after="240" w:line="360" w:lineRule="auto"/>
        <w:ind w:firstLine="1701"/>
        <w:jc w:val="both"/>
        <w:rPr>
          <w:rFonts w:ascii="Calibri" w:hAnsi="Calibri" w:cs="Calibri"/>
          <w:iCs/>
          <w:sz w:val="24"/>
          <w:szCs w:val="24"/>
        </w:rPr>
      </w:pPr>
      <w:r>
        <w:rPr>
          <w:rFonts w:ascii="Calibri" w:hAnsi="Calibri" w:cs="Calibri"/>
          <w:sz w:val="24"/>
          <w:szCs w:val="24"/>
        </w:rPr>
        <w:t>Do mesmo modo,</w:t>
      </w:r>
      <w:r w:rsidR="00CD6992">
        <w:rPr>
          <w:rFonts w:ascii="Calibri" w:hAnsi="Calibri" w:cs="Calibri"/>
          <w:sz w:val="24"/>
          <w:szCs w:val="24"/>
        </w:rPr>
        <w:t xml:space="preserve"> cumpre observar que o art. 4º, o inciso II, do projeto </w:t>
      </w:r>
      <w:r w:rsidRPr="00634C01">
        <w:rPr>
          <w:rFonts w:ascii="Calibri" w:hAnsi="Calibri" w:cs="Calibri"/>
          <w:sz w:val="24"/>
          <w:szCs w:val="24"/>
        </w:rPr>
        <w:t>encontra-se em desacordo com o art. 19, III, da CF, que veda o estabelecimento de distinções entre brasileiros com base na origem ou procedência</w:t>
      </w:r>
      <w:r w:rsidR="00CD6992">
        <w:rPr>
          <w:rFonts w:ascii="Calibri" w:hAnsi="Calibri" w:cs="Calibri"/>
          <w:sz w:val="24"/>
          <w:szCs w:val="24"/>
        </w:rPr>
        <w:t xml:space="preserve">, </w:t>
      </w:r>
      <w:r w:rsidR="00AC08E0">
        <w:rPr>
          <w:rFonts w:ascii="Calibri" w:hAnsi="Calibri" w:cs="Calibri"/>
          <w:sz w:val="24"/>
          <w:szCs w:val="24"/>
        </w:rPr>
        <w:t>e</w:t>
      </w:r>
      <w:r w:rsidR="00CD6992">
        <w:rPr>
          <w:rFonts w:ascii="Calibri" w:hAnsi="Calibri" w:cs="Calibri"/>
          <w:sz w:val="24"/>
          <w:szCs w:val="24"/>
        </w:rPr>
        <w:t xml:space="preserve"> </w:t>
      </w:r>
      <w:r w:rsidR="00AC08E0">
        <w:rPr>
          <w:rFonts w:ascii="Calibri" w:hAnsi="Calibri" w:cs="Calibri"/>
          <w:sz w:val="24"/>
          <w:szCs w:val="24"/>
        </w:rPr>
        <w:t>com</w:t>
      </w:r>
      <w:r w:rsidR="00CD6992">
        <w:rPr>
          <w:rFonts w:ascii="Calibri" w:hAnsi="Calibri" w:cs="Calibri"/>
          <w:sz w:val="24"/>
          <w:szCs w:val="24"/>
        </w:rPr>
        <w:t xml:space="preserve"> princípio da livre concorrência, insculpido no art. 170, </w:t>
      </w:r>
      <w:r w:rsidRPr="00CD6992" w:rsidR="00CD6992">
        <w:rPr>
          <w:rFonts w:ascii="Calibri" w:hAnsi="Calibri" w:cs="Calibri"/>
          <w:sz w:val="24"/>
          <w:szCs w:val="24"/>
        </w:rPr>
        <w:t>inciso IV, da Constituição Federal</w:t>
      </w:r>
      <w:r w:rsidR="00CD6992">
        <w:rPr>
          <w:rFonts w:ascii="Calibri" w:hAnsi="Calibri" w:cs="Calibri"/>
          <w:sz w:val="24"/>
          <w:szCs w:val="24"/>
        </w:rPr>
        <w:t xml:space="preserve">. </w:t>
      </w:r>
      <w:r w:rsidRPr="00634C01">
        <w:rPr>
          <w:rFonts w:ascii="Calibri" w:hAnsi="Calibri" w:cs="Calibri"/>
          <w:iCs/>
          <w:sz w:val="24"/>
          <w:szCs w:val="24"/>
        </w:rPr>
        <w:t>Nesse sentido</w:t>
      </w:r>
      <w:r w:rsidR="00CD6992">
        <w:rPr>
          <w:rFonts w:ascii="Calibri" w:hAnsi="Calibri" w:cs="Calibri"/>
          <w:iCs/>
          <w:sz w:val="24"/>
          <w:szCs w:val="24"/>
        </w:rPr>
        <w:t xml:space="preserve"> colacionamos decisões</w:t>
      </w:r>
      <w:r w:rsidRPr="00634C01">
        <w:rPr>
          <w:rFonts w:ascii="Calibri" w:hAnsi="Calibri" w:cs="Calibri"/>
          <w:iCs/>
          <w:sz w:val="24"/>
          <w:szCs w:val="24"/>
        </w:rPr>
        <w:t xml:space="preserve"> do Tribunal de Justiça do Estado de São Paulo:</w:t>
      </w:r>
    </w:p>
    <w:p w:rsidR="00C92CE6" w:rsidP="00523755" w14:paraId="2C30B7D2" w14:textId="77777777">
      <w:pPr>
        <w:spacing w:after="120" w:line="300" w:lineRule="auto"/>
        <w:ind w:left="2268"/>
        <w:jc w:val="both"/>
        <w:rPr>
          <w:rFonts w:ascii="Calibri" w:hAnsi="Calibri" w:cs="Calibri"/>
          <w:i/>
        </w:rPr>
      </w:pPr>
      <w:r w:rsidRPr="00C92CE6">
        <w:rPr>
          <w:rFonts w:ascii="Calibri" w:hAnsi="Calibri" w:cs="Calibri"/>
          <w:i/>
        </w:rPr>
        <w:t xml:space="preserve">AÇÃO DIRETA DE INCONSTITUCIONALIDADE. Pretensão em face da Lei nº 3.141, de 27 de agosto de 2020, do Município de Martinópolis, que "cria o </w:t>
      </w:r>
      <w:r w:rsidRPr="00C92CE6">
        <w:rPr>
          <w:rFonts w:ascii="Calibri" w:hAnsi="Calibri" w:cs="Calibri"/>
          <w:b/>
          <w:i/>
        </w:rPr>
        <w:t>'Programa Nossos Talentos'</w:t>
      </w:r>
      <w:r w:rsidRPr="00C92CE6">
        <w:rPr>
          <w:rFonts w:ascii="Calibri" w:hAnsi="Calibri" w:cs="Calibri"/>
          <w:i/>
        </w:rPr>
        <w:t xml:space="preserve">, e </w:t>
      </w:r>
      <w:r w:rsidRPr="00C92CE6">
        <w:rPr>
          <w:rFonts w:ascii="Calibri" w:hAnsi="Calibri" w:cs="Calibri"/>
          <w:b/>
          <w:i/>
        </w:rPr>
        <w:t>estabelece obrigatoriedade de disponibilização de oportunidade para apresentação de grupos, bandas, cantores, instrumentistas e artistas de diversos segmentos culturais na abertura de eventos artísticos e musicais que contém financiamento público municipal".</w:t>
      </w:r>
      <w:r w:rsidRPr="00C92CE6">
        <w:rPr>
          <w:rFonts w:ascii="Calibri" w:hAnsi="Calibri" w:cs="Calibri"/>
          <w:i/>
        </w:rPr>
        <w:t xml:space="preserve"> Alegação de que a norma invade competência privativa da União e atenta contra os princípios da administração pública, além de sustentar vício de iniciativa, por imposição de atribuições a órgão do Executivo. Cabimento. Licitação. Matéria de competência privativa da União. Rol taxativo das hipóteses excepcionais de </w:t>
      </w:r>
      <w:r w:rsidRPr="00C92CE6">
        <w:rPr>
          <w:rFonts w:ascii="Calibri" w:hAnsi="Calibri" w:cs="Calibri"/>
          <w:i/>
        </w:rPr>
        <w:t>dispensa previsto na Lei Federal</w:t>
      </w:r>
      <w:r w:rsidRPr="00C92CE6">
        <w:rPr>
          <w:rFonts w:ascii="Calibri" w:hAnsi="Calibri" w:cs="Calibri"/>
          <w:i/>
        </w:rPr>
        <w:t xml:space="preserve"> nº 8.666/93. Violação ao princípio federativo. </w:t>
      </w:r>
      <w:r w:rsidRPr="00C92CE6">
        <w:rPr>
          <w:rFonts w:ascii="Calibri" w:hAnsi="Calibri" w:cs="Calibri"/>
          <w:b/>
          <w:i/>
          <w:u w:val="single"/>
        </w:rPr>
        <w:t>Tratamento diferenciado entre artistas locais e de outras regiões não encontra plausibilidade. Transgressão direta ao art. 19, inciso III, da Constituição Federal que veda à União, aos Estados, ao Distrito Federal e aos Municípios criar distinções entre brasileiros ou preferências entre si. Ofensa aos princípios da igualdade e da razoabilidade.</w:t>
      </w:r>
      <w:r w:rsidRPr="00C92CE6">
        <w:rPr>
          <w:rFonts w:ascii="Calibri" w:hAnsi="Calibri" w:cs="Calibri"/>
          <w:i/>
        </w:rPr>
        <w:t xml:space="preserve"> Lei de iniciativa parlamentar. Atribuição conferida ao executivo municipal de cadastramento dos artistas nascidos ou residentes no município. Incumbência vinculada à organização e funcionamento de serviços públicos prestados por órgãos da administração. Matéria reservada ao Chefe do Executivo. Vulneração ao princípio da separação dos Poderes. Infringência aos artigos 5º; 24, § 2º, </w:t>
      </w:r>
      <w:r w:rsidRPr="00C92CE6">
        <w:rPr>
          <w:rFonts w:ascii="Calibri" w:hAnsi="Calibri" w:cs="Calibri"/>
          <w:i/>
        </w:rPr>
        <w:t>2</w:t>
      </w:r>
      <w:r w:rsidRPr="00C92CE6">
        <w:rPr>
          <w:rFonts w:ascii="Calibri" w:hAnsi="Calibri" w:cs="Calibri"/>
          <w:i/>
        </w:rPr>
        <w:t xml:space="preserve">; 47, II, XIV, XIX, "a", 111 e 144, todos da Constituição Estadual. Precedentes deste Órgão Especial. Ação procedente.  </w:t>
      </w:r>
    </w:p>
    <w:p w:rsidR="00523755" w:rsidP="00B959D3" w14:paraId="028D275E" w14:textId="6408C93B">
      <w:pPr>
        <w:pBdr>
          <w:bottom w:val="single" w:sz="12" w:space="1" w:color="auto"/>
        </w:pBdr>
        <w:spacing w:after="0" w:line="240" w:lineRule="auto"/>
        <w:ind w:left="2268"/>
        <w:jc w:val="both"/>
        <w:rPr>
          <w:rFonts w:ascii="Calibri" w:hAnsi="Calibri" w:cs="Calibri"/>
          <w:i/>
          <w:sz w:val="20"/>
          <w:szCs w:val="20"/>
        </w:rPr>
      </w:pPr>
      <w:r w:rsidRPr="00C92CE6">
        <w:rPr>
          <w:rFonts w:ascii="Calibri" w:hAnsi="Calibri" w:cs="Calibri"/>
          <w:i/>
          <w:sz w:val="20"/>
          <w:szCs w:val="20"/>
        </w:rPr>
        <w:t>(TJSP;</w:t>
      </w:r>
      <w:r w:rsidRPr="00C92CE6">
        <w:rPr>
          <w:rFonts w:ascii="Calibri" w:hAnsi="Calibri" w:cs="Calibri"/>
          <w:i/>
          <w:sz w:val="20"/>
          <w:szCs w:val="20"/>
        </w:rPr>
        <w:t xml:space="preserve">  </w:t>
      </w:r>
      <w:r w:rsidRPr="00C92CE6">
        <w:rPr>
          <w:rFonts w:ascii="Calibri" w:hAnsi="Calibri" w:cs="Calibri"/>
          <w:i/>
          <w:sz w:val="20"/>
          <w:szCs w:val="20"/>
        </w:rPr>
        <w:t xml:space="preserve">Direta de Inconstitucionalidade 2222928-29.2020.8.26.0000; Relator (a): James </w:t>
      </w:r>
      <w:r w:rsidRPr="00C92CE6">
        <w:rPr>
          <w:rFonts w:ascii="Calibri" w:hAnsi="Calibri" w:cs="Calibri"/>
          <w:i/>
          <w:sz w:val="20"/>
          <w:szCs w:val="20"/>
        </w:rPr>
        <w:t>Siano</w:t>
      </w:r>
      <w:r w:rsidRPr="00C92CE6">
        <w:rPr>
          <w:rFonts w:ascii="Calibri" w:hAnsi="Calibri" w:cs="Calibri"/>
          <w:i/>
          <w:sz w:val="20"/>
          <w:szCs w:val="20"/>
        </w:rPr>
        <w:t>; Órgão Julgador: Órgão Especial; Tribunal de Justiça de São Paulo - N/A; Data do Julgamento: 25/08/2021; Data de Registro: 26/08/2021)</w:t>
      </w:r>
    </w:p>
    <w:p w:rsidR="00B959D3" w:rsidP="00B959D3" w14:paraId="2844B05A" w14:textId="77777777">
      <w:pPr>
        <w:spacing w:after="120" w:line="264" w:lineRule="auto"/>
        <w:ind w:left="2268"/>
        <w:jc w:val="both"/>
        <w:rPr>
          <w:b/>
          <w:i/>
          <w:color w:val="000000"/>
          <w:shd w:val="clear" w:color="auto" w:fill="FFFFFF"/>
        </w:rPr>
      </w:pPr>
      <w:r w:rsidRPr="00CD6992">
        <w:rPr>
          <w:i/>
          <w:color w:val="000000"/>
          <w:shd w:val="clear" w:color="auto" w:fill="FFFFFF"/>
        </w:rPr>
        <w:t xml:space="preserve">*AÇÃO DIRETA DE INCONSTITUCIONALIDADE – </w:t>
      </w:r>
      <w:r w:rsidRPr="00CD6992">
        <w:rPr>
          <w:b/>
          <w:i/>
          <w:color w:val="000000"/>
          <w:shd w:val="clear" w:color="auto" w:fill="FFFFFF"/>
        </w:rPr>
        <w:t>artigos 2º, caput, da Lei 2.641, de 23 de outubro de 2019, do Município de Jaguariúna, que restringe a permissão de uso para explorar comércio em Feira Noturna somente aos residentes no respectivo município</w:t>
      </w:r>
      <w:r w:rsidRPr="00CD6992">
        <w:rPr>
          <w:i/>
          <w:color w:val="000000"/>
          <w:shd w:val="clear" w:color="auto" w:fill="FFFFFF"/>
        </w:rPr>
        <w:t xml:space="preserve"> – Alegação de violação à competência da União para ditar regras de direito comercial, produção e consumo, além dos princípios da livre concorrência e impessoalidade - FEIRA NOTURNA – Evento de nítido interesse local, atraindo a competência do Município para a sua organização, mediante permissão em caráter precário aos feirantes (artigo 30, inciso I, da CF/88) – Inexistência de invasão à competência legislativa da União – </w:t>
      </w:r>
      <w:r w:rsidRPr="00CD6992">
        <w:rPr>
          <w:b/>
          <w:i/>
          <w:color w:val="000000"/>
          <w:shd w:val="clear" w:color="auto" w:fill="FFFFFF"/>
        </w:rPr>
        <w:t>LIVRE CONCORRÊNCIA – Princípio estabelecido no artigo 170, inciso IV, da Constituição Federal – Tutela que pode ser exercida diretamente nos Tribunais de Justiça (Tema 484 do STF) –</w:t>
      </w:r>
      <w:r w:rsidRPr="00CD6992">
        <w:rPr>
          <w:i/>
          <w:color w:val="000000"/>
          <w:shd w:val="clear" w:color="auto" w:fill="FFFFFF"/>
        </w:rPr>
        <w:t xml:space="preserve"> Situação em que a relativização deste princípio pode ser justificada pela proteção de camadas sociais em situação de vulnerabilidade (idosos, deficientes, etc.) para alça-los ao patamar de igualdade em relação aos demais concorrentes – </w:t>
      </w:r>
      <w:r w:rsidRPr="00B959D3">
        <w:rPr>
          <w:b/>
          <w:i/>
          <w:color w:val="000000"/>
          <w:shd w:val="clear" w:color="auto" w:fill="FFFFFF"/>
        </w:rPr>
        <w:t xml:space="preserve">Circunstância inexistente no Município de Jaguariúna, que apenas cria uma reserva de mercado aos seus munícipes, em caráter geral </w:t>
      </w:r>
      <w:r w:rsidRPr="00CD6992">
        <w:rPr>
          <w:i/>
          <w:color w:val="000000"/>
          <w:shd w:val="clear" w:color="auto" w:fill="FFFFFF"/>
        </w:rPr>
        <w:t xml:space="preserve">– Violação, ainda, do princípio da impessoalidade estabelecido no artigo 111 da Carta Bandeirante – </w:t>
      </w:r>
      <w:r w:rsidRPr="00B959D3">
        <w:rPr>
          <w:b/>
          <w:i/>
          <w:color w:val="000000"/>
          <w:shd w:val="clear" w:color="auto" w:fill="FFFFFF"/>
        </w:rPr>
        <w:t>Inconstitucionalidade da expressão que restringe a permissão de uso aos domiciliados em Jaguariúna - Ação julgada parcialmente procedente.</w:t>
      </w:r>
      <w:r w:rsidRPr="00B959D3">
        <w:rPr>
          <w:b/>
          <w:i/>
          <w:color w:val="000000"/>
          <w:shd w:val="clear" w:color="auto" w:fill="FFFFFF"/>
        </w:rPr>
        <w:t>*</w:t>
      </w:r>
    </w:p>
    <w:p w:rsidR="00CD6992" w:rsidRPr="00CD6992" w:rsidP="00B959D3" w14:paraId="3C51882F" w14:textId="6D0BD886">
      <w:pPr>
        <w:spacing w:after="0" w:line="240" w:lineRule="auto"/>
        <w:ind w:left="2268"/>
        <w:jc w:val="both"/>
        <w:rPr>
          <w:rFonts w:cs="Calibri"/>
          <w:i/>
        </w:rPr>
      </w:pPr>
      <w:r w:rsidRPr="00B959D3">
        <w:rPr>
          <w:i/>
          <w:color w:val="000000"/>
          <w:sz w:val="20"/>
          <w:szCs w:val="20"/>
          <w:shd w:val="clear" w:color="auto" w:fill="FFFFFF"/>
        </w:rPr>
        <w:t>(TJSP;</w:t>
      </w:r>
      <w:r w:rsidRPr="00B959D3">
        <w:rPr>
          <w:i/>
          <w:color w:val="000000"/>
          <w:sz w:val="20"/>
          <w:szCs w:val="20"/>
          <w:shd w:val="clear" w:color="auto" w:fill="FFFFFF"/>
        </w:rPr>
        <w:t xml:space="preserve">  </w:t>
      </w:r>
      <w:r w:rsidRPr="00B959D3">
        <w:rPr>
          <w:i/>
          <w:color w:val="000000"/>
          <w:sz w:val="20"/>
          <w:szCs w:val="20"/>
          <w:shd w:val="clear" w:color="auto" w:fill="FFFFFF"/>
        </w:rPr>
        <w:t>Direta de Inconstitucionalidade 2022240-51.2020.8.26.0000; Relator (a): Jacob Valente; Órgão Julgador: Órgão Especial; Tribunal de Justiça de São Paulo - N/A; Data do Julgamento: 11/11/2020; Data de Registro: 19/11/2020)</w:t>
      </w:r>
    </w:p>
    <w:p w:rsidR="00523755" w:rsidRPr="00E056B5" w:rsidP="00523755" w14:paraId="7C2BF5E5" w14:textId="77777777">
      <w:pPr>
        <w:spacing w:after="120" w:line="300" w:lineRule="auto"/>
        <w:ind w:left="2268"/>
        <w:jc w:val="both"/>
        <w:rPr>
          <w:rFonts w:ascii="Calibri" w:hAnsi="Calibri" w:cs="Calibri"/>
          <w:i/>
          <w:sz w:val="12"/>
          <w:szCs w:val="12"/>
        </w:rPr>
      </w:pPr>
    </w:p>
    <w:p w:rsidR="00523755" w:rsidRPr="00634C01" w:rsidP="00523755" w14:paraId="3D854D9A" w14:textId="77777777">
      <w:pPr>
        <w:spacing w:after="240" w:line="360" w:lineRule="auto"/>
        <w:ind w:firstLine="1701"/>
        <w:jc w:val="both"/>
        <w:rPr>
          <w:rFonts w:ascii="Calibri" w:hAnsi="Calibri" w:cs="Calibri"/>
          <w:iCs/>
          <w:sz w:val="24"/>
          <w:szCs w:val="24"/>
        </w:rPr>
      </w:pPr>
      <w:r w:rsidRPr="00634C01">
        <w:rPr>
          <w:rFonts w:ascii="Calibri" w:hAnsi="Calibri" w:cs="Calibri"/>
          <w:iCs/>
          <w:sz w:val="24"/>
          <w:szCs w:val="24"/>
        </w:rPr>
        <w:t>Na mesma linha</w:t>
      </w:r>
      <w:r>
        <w:rPr>
          <w:rFonts w:ascii="Calibri" w:hAnsi="Calibri" w:cs="Calibri"/>
          <w:iCs/>
          <w:sz w:val="24"/>
          <w:szCs w:val="24"/>
        </w:rPr>
        <w:t xml:space="preserve"> encontramos precedentes da Suprema Corte</w:t>
      </w:r>
      <w:r w:rsidRPr="00634C01">
        <w:rPr>
          <w:rFonts w:ascii="Calibri" w:hAnsi="Calibri" w:cs="Calibri"/>
          <w:iCs/>
          <w:sz w:val="24"/>
          <w:szCs w:val="24"/>
        </w:rPr>
        <w:t>:</w:t>
      </w:r>
    </w:p>
    <w:p w:rsidR="00523755" w:rsidRPr="00634C01" w:rsidP="00B959D3" w14:paraId="3DFEDDA5" w14:textId="77777777">
      <w:pPr>
        <w:pBdr>
          <w:bottom w:val="single" w:sz="12" w:space="1" w:color="auto"/>
        </w:pBdr>
        <w:spacing w:after="240"/>
        <w:ind w:left="2268"/>
        <w:jc w:val="both"/>
        <w:rPr>
          <w:rFonts w:ascii="Calibri" w:hAnsi="Calibri" w:cs="Calibri"/>
          <w:i/>
        </w:rPr>
      </w:pPr>
      <w:r w:rsidRPr="00634C01">
        <w:rPr>
          <w:rFonts w:ascii="Calibri" w:hAnsi="Calibri" w:cs="Calibri"/>
          <w:i/>
        </w:rPr>
        <w:t xml:space="preserve">"Lei Estadual 6.677/1994 do Estado da Bahia. Concurso público. Empate entre candidatos. Preferência em ordem de classificação a candidato que contar mais tempo de serviço prestado ao ente. (...) O </w:t>
      </w:r>
      <w:r w:rsidRPr="003B0147">
        <w:rPr>
          <w:rFonts w:ascii="Calibri" w:hAnsi="Calibri" w:cs="Calibri"/>
          <w:b/>
          <w:i/>
        </w:rPr>
        <w:t>dispositivo legal impugnado tem o claro propósito de conferir tratamento mais favorável a servidores do Estado da Bahia, em detrimento dos demais Estados da Federação, estando em frontal desacordo com o art. 19, III, da CF, que veda o estabelecimento de distinções entre brasileiros com base na origem ou procedência</w:t>
      </w:r>
      <w:r w:rsidRPr="00634C01">
        <w:rPr>
          <w:rFonts w:ascii="Calibri" w:hAnsi="Calibri" w:cs="Calibri"/>
          <w:i/>
        </w:rPr>
        <w:t>. [ADI 5.776, rel. min. Alexandre de Moraes, j. 19-12-2018, P, DJE de 3-4-2019.]</w:t>
      </w:r>
      <w:r w:rsidRPr="00634C01">
        <w:rPr>
          <w:rFonts w:ascii="Calibri" w:hAnsi="Calibri" w:cs="Calibri"/>
          <w:i/>
        </w:rPr>
        <w:t>"</w:t>
      </w:r>
    </w:p>
    <w:p w:rsidR="00523755" w:rsidP="00B959D3" w14:paraId="7589CE77" w14:textId="77777777">
      <w:pPr>
        <w:spacing w:after="240"/>
        <w:ind w:left="2268"/>
        <w:jc w:val="both"/>
        <w:rPr>
          <w:rFonts w:ascii="Calibri" w:hAnsi="Calibri" w:cs="Calibri"/>
          <w:i/>
        </w:rPr>
      </w:pPr>
      <w:r w:rsidRPr="00634C01">
        <w:rPr>
          <w:rFonts w:ascii="Calibri" w:hAnsi="Calibri" w:cs="Calibri"/>
          <w:i/>
        </w:rPr>
        <w:t xml:space="preserve">"Lei do Município de São Paulo 13.959/2005, a qual exige que "os veículos utilizados para atender contratos estabelecidos com a Administração Municipal, Direta e Indireta, devem, obrigatoriamente, ter seus respectivos Certificados de Registro de Veículos expedidos no Município de São Paulo". </w:t>
      </w:r>
      <w:r w:rsidRPr="003B0147">
        <w:rPr>
          <w:rFonts w:ascii="Calibri" w:hAnsi="Calibri" w:cs="Calibri"/>
          <w:b/>
          <w:i/>
        </w:rPr>
        <w:t>Exigência que não se coaduna com os arts. 19, II</w:t>
      </w:r>
      <w:r w:rsidRPr="00634C01">
        <w:rPr>
          <w:rFonts w:ascii="Calibri" w:hAnsi="Calibri" w:cs="Calibri"/>
          <w:i/>
        </w:rPr>
        <w:t xml:space="preserve">I, e 37, XXI, da CF. [RE 668.810 </w:t>
      </w:r>
      <w:r w:rsidRPr="00634C01">
        <w:rPr>
          <w:rFonts w:ascii="Calibri" w:hAnsi="Calibri" w:cs="Calibri"/>
          <w:i/>
        </w:rPr>
        <w:t>AgR</w:t>
      </w:r>
      <w:r w:rsidRPr="00634C01">
        <w:rPr>
          <w:rFonts w:ascii="Calibri" w:hAnsi="Calibri" w:cs="Calibri"/>
          <w:i/>
        </w:rPr>
        <w:t xml:space="preserve">, rel. min. Dias </w:t>
      </w:r>
      <w:r w:rsidRPr="00634C01">
        <w:rPr>
          <w:rFonts w:ascii="Calibri" w:hAnsi="Calibri" w:cs="Calibri"/>
          <w:i/>
        </w:rPr>
        <w:t>Toffoli</w:t>
      </w:r>
      <w:r w:rsidRPr="00634C01">
        <w:rPr>
          <w:rFonts w:ascii="Calibri" w:hAnsi="Calibri" w:cs="Calibri"/>
          <w:i/>
        </w:rPr>
        <w:t>, j. 30-6-2017, 2ª T, DJE de 10-8-2017.]"</w:t>
      </w:r>
    </w:p>
    <w:p w:rsidR="00775289" w:rsidRPr="00775289" w:rsidP="00775289" w14:paraId="4B89067B" w14:textId="0872F71E">
      <w:pPr>
        <w:spacing w:after="240" w:line="360" w:lineRule="auto"/>
        <w:ind w:firstLine="1701"/>
        <w:jc w:val="both"/>
        <w:rPr>
          <w:rFonts w:eastAsia="Times New Roman" w:cstheme="minorHAnsi"/>
          <w:sz w:val="24"/>
          <w:szCs w:val="24"/>
          <w:lang w:eastAsia="pt-BR"/>
        </w:rPr>
      </w:pPr>
      <w:r w:rsidRPr="00775289">
        <w:rPr>
          <w:rFonts w:eastAsia="Times New Roman" w:cstheme="minorHAnsi"/>
          <w:sz w:val="24"/>
          <w:szCs w:val="24"/>
          <w:lang w:eastAsia="pt-BR"/>
        </w:rPr>
        <w:t>Destarte, sugere-se, respeitosamente, a adoção do procedimento estabelecido na Resolução nº 09/2013:</w:t>
      </w:r>
    </w:p>
    <w:p w:rsidR="00775289" w:rsidRPr="002E0C51" w:rsidP="00B959D3" w14:paraId="62CA8C66" w14:textId="77777777">
      <w:pPr>
        <w:autoSpaceDE w:val="0"/>
        <w:autoSpaceDN w:val="0"/>
        <w:adjustRightInd w:val="0"/>
        <w:spacing w:after="240" w:line="264" w:lineRule="auto"/>
        <w:ind w:left="2268"/>
        <w:jc w:val="both"/>
        <w:rPr>
          <w:rFonts w:cstheme="minorHAnsi"/>
          <w:i/>
        </w:rPr>
      </w:pPr>
      <w:r w:rsidRPr="002E0C51">
        <w:rPr>
          <w:rFonts w:cstheme="minorHAnsi"/>
        </w:rPr>
        <w:t>“</w:t>
      </w:r>
      <w:r w:rsidRPr="002E0C51">
        <w:rPr>
          <w:rFonts w:cstheme="minorHAnsi"/>
          <w:i/>
        </w:rPr>
        <w:t>Art. 1º.</w:t>
      </w:r>
      <w:r w:rsidRPr="002E0C51">
        <w:rPr>
          <w:rFonts w:cstheme="minorHAnsi"/>
          <w:i/>
        </w:rPr>
        <w:t xml:space="preserve"> O Projeto de Lei de natureza autorizativa, </w:t>
      </w:r>
      <w:r w:rsidRPr="002E0C51">
        <w:rPr>
          <w:rFonts w:cstheme="minorHAnsi"/>
          <w:b/>
          <w:i/>
        </w:rPr>
        <w:t>que disponha sobre matéria que discipline atos administrativos ou atribuições inerentes ao Poder Executivo</w:t>
      </w:r>
      <w:r w:rsidRPr="002E0C51">
        <w:rPr>
          <w:rFonts w:cstheme="minorHAnsi"/>
          <w:i/>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775289" w:rsidRPr="002E0C51" w:rsidP="00B959D3" w14:paraId="0F791E97" w14:textId="77777777">
      <w:pPr>
        <w:autoSpaceDE w:val="0"/>
        <w:autoSpaceDN w:val="0"/>
        <w:adjustRightInd w:val="0"/>
        <w:spacing w:after="240" w:line="264" w:lineRule="auto"/>
        <w:ind w:left="2268"/>
        <w:jc w:val="both"/>
        <w:rPr>
          <w:rFonts w:cstheme="minorHAnsi"/>
          <w:i/>
        </w:rPr>
      </w:pPr>
      <w:r w:rsidRPr="002E0C51">
        <w:rPr>
          <w:rFonts w:cstheme="minorHAnsi"/>
          <w:i/>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2E0C51">
        <w:rPr>
          <w:rFonts w:cstheme="minorHAnsi"/>
          <w:i/>
        </w:rPr>
        <w:t>”</w:t>
      </w:r>
    </w:p>
    <w:p w:rsidR="00775289" w:rsidRPr="00293529" w:rsidP="00775289" w14:paraId="34975229" w14:textId="77777777">
      <w:pPr>
        <w:autoSpaceDE w:val="0"/>
        <w:autoSpaceDN w:val="0"/>
        <w:adjustRightInd w:val="0"/>
        <w:jc w:val="both"/>
        <w:rPr>
          <w:rFonts w:cstheme="minorHAnsi"/>
          <w:sz w:val="4"/>
          <w:szCs w:val="4"/>
        </w:rPr>
      </w:pPr>
    </w:p>
    <w:p w:rsidR="00775289" w:rsidRPr="00775289" w:rsidP="00B959D3" w14:paraId="2C37B76D" w14:textId="77777777">
      <w:pPr>
        <w:autoSpaceDE w:val="0"/>
        <w:autoSpaceDN w:val="0"/>
        <w:adjustRightInd w:val="0"/>
        <w:spacing w:after="0" w:line="360" w:lineRule="auto"/>
        <w:ind w:firstLine="1701"/>
        <w:jc w:val="both"/>
        <w:rPr>
          <w:rFonts w:ascii="Calibri" w:hAnsi="Calibri" w:cs="Calibri"/>
          <w:sz w:val="24"/>
          <w:szCs w:val="24"/>
        </w:rPr>
      </w:pPr>
      <w:r w:rsidRPr="00775289">
        <w:rPr>
          <w:rFonts w:ascii="Calibri" w:hAnsi="Calibri" w:cs="Calibri"/>
          <w:sz w:val="24"/>
          <w:szCs w:val="24"/>
        </w:rPr>
        <w:t xml:space="preserve">Ante o exposto, embora muito louvável a intenção da Nobre </w:t>
      </w:r>
      <w:r w:rsidRPr="00775289">
        <w:rPr>
          <w:rFonts w:ascii="Calibri" w:hAnsi="Calibri" w:cs="Calibri"/>
          <w:sz w:val="24"/>
          <w:szCs w:val="24"/>
        </w:rPr>
        <w:t>Edil</w:t>
      </w:r>
      <w:r w:rsidRPr="00775289">
        <w:rPr>
          <w:rFonts w:ascii="Calibri" w:hAnsi="Calibri" w:cs="Calibri"/>
          <w:sz w:val="24"/>
          <w:szCs w:val="24"/>
        </w:rPr>
        <w:t xml:space="preserve">, infere-se das decisões do Tribunal de Justiça de São Paulo que compete privativamente ao Chefe do Poder Executivo deflagrar lei sobre a matéria, de modo que, respeitosamente, sugere-se a aplicação do procedimento da Resolução nº 09/2013. </w:t>
      </w:r>
    </w:p>
    <w:p w:rsidR="0007498D" w:rsidRPr="007E1F99" w:rsidP="00B959D3" w14:paraId="2B587575" w14:textId="77777777">
      <w:pPr>
        <w:spacing w:after="0" w:line="360" w:lineRule="auto"/>
        <w:ind w:firstLine="1701"/>
        <w:jc w:val="both"/>
        <w:rPr>
          <w:rFonts w:ascii="Calibri" w:hAnsi="Calibri" w:cs="Calibri"/>
          <w:sz w:val="24"/>
          <w:szCs w:val="24"/>
        </w:rPr>
      </w:pPr>
      <w:r w:rsidRPr="007E1F99">
        <w:rPr>
          <w:rFonts w:ascii="Calibri" w:hAnsi="Calibri" w:cs="Calibri"/>
          <w:sz w:val="24"/>
          <w:szCs w:val="24"/>
        </w:rPr>
        <w:t>É o parecer.</w:t>
      </w:r>
    </w:p>
    <w:p w:rsidR="0007498D" w:rsidP="00B959D3" w14:paraId="7B9ED58E" w14:textId="2D12E90E">
      <w:pPr>
        <w:spacing w:after="0" w:line="360" w:lineRule="auto"/>
        <w:ind w:firstLine="1701"/>
        <w:jc w:val="both"/>
        <w:rPr>
          <w:rFonts w:ascii="Calibri" w:hAnsi="Calibri" w:cs="Calibri"/>
          <w:sz w:val="24"/>
          <w:szCs w:val="24"/>
        </w:rPr>
      </w:pPr>
      <w:r w:rsidRPr="00775289">
        <w:rPr>
          <w:rFonts w:ascii="Calibri" w:hAnsi="Calibri" w:cs="Calibri"/>
          <w:sz w:val="24"/>
          <w:szCs w:val="24"/>
        </w:rPr>
        <w:t xml:space="preserve">Procuradoria, aos </w:t>
      </w:r>
      <w:r w:rsidR="008706EB">
        <w:rPr>
          <w:rFonts w:ascii="Calibri" w:hAnsi="Calibri" w:cs="Calibri"/>
          <w:sz w:val="24"/>
          <w:szCs w:val="24"/>
        </w:rPr>
        <w:t>26</w:t>
      </w:r>
      <w:r w:rsidRPr="00775289">
        <w:rPr>
          <w:rFonts w:ascii="Calibri" w:hAnsi="Calibri" w:cs="Calibri"/>
          <w:sz w:val="24"/>
          <w:szCs w:val="24"/>
        </w:rPr>
        <w:t xml:space="preserve"> de </w:t>
      </w:r>
      <w:r w:rsidR="008706EB">
        <w:rPr>
          <w:rFonts w:ascii="Calibri" w:hAnsi="Calibri" w:cs="Calibri"/>
          <w:sz w:val="24"/>
          <w:szCs w:val="24"/>
        </w:rPr>
        <w:t>maio</w:t>
      </w:r>
      <w:r w:rsidRPr="00775289" w:rsidR="000B3153">
        <w:rPr>
          <w:rFonts w:ascii="Calibri" w:hAnsi="Calibri" w:cs="Calibri"/>
          <w:sz w:val="24"/>
          <w:szCs w:val="24"/>
        </w:rPr>
        <w:t xml:space="preserve"> de 2023</w:t>
      </w:r>
      <w:r w:rsidRPr="00775289">
        <w:rPr>
          <w:rFonts w:ascii="Calibri" w:hAnsi="Calibri" w:cs="Calibri"/>
          <w:sz w:val="24"/>
          <w:szCs w:val="24"/>
        </w:rPr>
        <w:t>.</w:t>
      </w:r>
    </w:p>
    <w:p w:rsidR="00B959D3" w:rsidRPr="00775289" w:rsidP="00B959D3" w14:paraId="1E10DDF3" w14:textId="77777777">
      <w:pPr>
        <w:spacing w:after="0" w:line="360" w:lineRule="auto"/>
        <w:ind w:firstLine="1701"/>
        <w:jc w:val="both"/>
        <w:rPr>
          <w:rFonts w:ascii="Calibri" w:hAnsi="Calibri" w:cs="Calibri"/>
          <w:sz w:val="24"/>
          <w:szCs w:val="24"/>
        </w:rPr>
      </w:pPr>
    </w:p>
    <w:p w:rsidR="0007498D" w:rsidRPr="007E1F99" w:rsidP="0007498D" w14:paraId="6A76596D" w14:textId="77777777">
      <w:pPr>
        <w:pStyle w:val="BodyText"/>
        <w:spacing w:after="0"/>
        <w:jc w:val="center"/>
        <w:rPr>
          <w:rFonts w:ascii="Calibri" w:hAnsi="Calibri" w:cs="Calibri"/>
          <w:b/>
          <w:szCs w:val="24"/>
        </w:rPr>
      </w:pPr>
      <w:r w:rsidRPr="007E1F99">
        <w:rPr>
          <w:rFonts w:ascii="Calibri" w:hAnsi="Calibri" w:cs="Calibri"/>
          <w:b/>
          <w:szCs w:val="24"/>
        </w:rPr>
        <w:t>Rosemeire de Souza Cardoso Barbosa</w:t>
      </w:r>
    </w:p>
    <w:p w:rsidR="0007498D" w:rsidP="0007498D" w14:paraId="59519718" w14:textId="77777777">
      <w:pPr>
        <w:pStyle w:val="BodyText"/>
        <w:spacing w:after="0"/>
        <w:jc w:val="center"/>
        <w:rPr>
          <w:rFonts w:ascii="Calibri" w:hAnsi="Calibri" w:cs="Calibri"/>
          <w:b/>
          <w:szCs w:val="24"/>
        </w:rPr>
      </w:pPr>
      <w:r w:rsidRPr="007E1F99">
        <w:rPr>
          <w:rFonts w:ascii="Calibri" w:hAnsi="Calibri" w:cs="Calibri"/>
          <w:b/>
          <w:szCs w:val="24"/>
        </w:rPr>
        <w:t>Procuradora - OAB/SP 308.298</w:t>
      </w:r>
    </w:p>
    <w:p w:rsidR="0007498D" w:rsidRPr="002F68B4" w:rsidP="0007498D" w14:paraId="2A1E4E29" w14:textId="576D81B1">
      <w:pPr>
        <w:pStyle w:val="BodyText"/>
        <w:spacing w:after="0"/>
        <w:jc w:val="center"/>
        <w:rPr>
          <w:rFonts w:ascii="Calibri" w:hAnsi="Calibri" w:cs="Calibri"/>
          <w:szCs w:val="24"/>
        </w:rPr>
      </w:pPr>
      <w:r>
        <w:rPr>
          <w:rFonts w:ascii="Calibri" w:hAnsi="Calibri" w:cs="Calibri"/>
          <w:szCs w:val="24"/>
        </w:rPr>
        <w:t>Assinatura Eletrônica</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D66AE" w:rsidP="003C2F5F" w14:paraId="1F236E20" w14:textId="77777777">
            <w:pPr>
              <w:pStyle w:val="Footer"/>
              <w:jc w:val="right"/>
            </w:pPr>
          </w:p>
          <w:p w:rsidR="007D66AE"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7D66AE" w:rsidP="003C2F5F" w14:paraId="5D442BCC" w14:textId="592C94A8">
            <w:pPr>
              <w:pStyle w:val="Footer"/>
              <w:ind w:right="-313"/>
              <w:jc w:val="center"/>
              <w:rPr>
                <w:sz w:val="18"/>
                <w:lang w:val="pt-PT"/>
              </w:rPr>
            </w:pPr>
            <w:r>
              <w:rPr>
                <w:sz w:val="18"/>
                <w:lang w:val="pt-PT"/>
              </w:rPr>
              <w:t xml:space="preserve">Rua </w:t>
            </w:r>
            <w:r>
              <w:rPr>
                <w:sz w:val="18"/>
                <w:lang w:val="pt-PT"/>
              </w:rPr>
              <w:t>Antônio Schiavinato, 59, Residencial São Luis - Tel: (19) 3829.5310 - CEP: 13270-</w:t>
            </w:r>
            <w:r>
              <w:rPr>
                <w:sz w:val="18"/>
                <w:lang w:val="pt-PT"/>
              </w:rPr>
              <w:t>470</w:t>
            </w:r>
          </w:p>
          <w:p w:rsidR="007D66AE"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7D66AE"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75782">
              <w:rPr>
                <w:b/>
                <w:bCs/>
                <w:noProof/>
                <w:sz w:val="18"/>
                <w:szCs w:val="18"/>
              </w:rPr>
              <w:t>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75782">
              <w:rPr>
                <w:b/>
                <w:bCs/>
                <w:noProof/>
                <w:sz w:val="18"/>
                <w:szCs w:val="18"/>
              </w:rPr>
              <w:t>10</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66AE" w14:paraId="5841F2D3" w14:textId="77777777">
      <w:pPr>
        <w:spacing w:after="0" w:line="240" w:lineRule="auto"/>
      </w:pPr>
      <w:r>
        <w:separator/>
      </w:r>
    </w:p>
  </w:footnote>
  <w:footnote w:type="continuationSeparator" w:id="1">
    <w:p w:rsidR="007D66AE" w14:paraId="1F8DB62B" w14:textId="77777777">
      <w:pPr>
        <w:spacing w:after="0" w:line="240" w:lineRule="auto"/>
      </w:pPr>
      <w:r>
        <w:continuationSeparator/>
      </w:r>
    </w:p>
  </w:footnote>
  <w:footnote w:id="2">
    <w:p w:rsidR="000B3153" w:rsidRPr="000B3153" w:rsidP="000B3153" w14:paraId="7BA53C7C" w14:textId="77777777">
      <w:pPr>
        <w:pStyle w:val="Default"/>
        <w:spacing w:after="240"/>
        <w:jc w:val="both"/>
        <w:rPr>
          <w:rFonts w:asciiTheme="minorHAnsi" w:hAnsiTheme="minorHAnsi" w:cs="Calibri"/>
          <w:i/>
          <w:sz w:val="20"/>
          <w:szCs w:val="20"/>
        </w:rPr>
      </w:pPr>
      <w:r w:rsidRPr="000B3153">
        <w:rPr>
          <w:rStyle w:val="FootnoteReference"/>
          <w:rFonts w:asciiTheme="minorHAnsi" w:hAnsiTheme="minorHAnsi"/>
          <w:sz w:val="20"/>
          <w:szCs w:val="20"/>
        </w:rPr>
        <w:footnoteRef/>
      </w:r>
      <w:r w:rsidRPr="000B3153">
        <w:rPr>
          <w:rFonts w:asciiTheme="minorHAnsi" w:hAnsiTheme="minorHAnsi"/>
          <w:sz w:val="20"/>
          <w:szCs w:val="20"/>
        </w:rPr>
        <w:t xml:space="preserve"> </w:t>
      </w:r>
      <w:r w:rsidRPr="000B3153">
        <w:rPr>
          <w:rFonts w:asciiTheme="minorHAnsi" w:hAnsiTheme="minorHAnsi" w:cs="Calibr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B3153">
        <w:rPr>
          <w:rFonts w:asciiTheme="minorHAnsi" w:hAnsiTheme="minorHAnsi" w:cs="Calibri"/>
          <w:i/>
          <w:sz w:val="20"/>
          <w:szCs w:val="20"/>
        </w:rPr>
        <w:t>ex</w:t>
      </w:r>
      <w:r w:rsidRPr="000B3153">
        <w:rPr>
          <w:rFonts w:asciiTheme="minorHAnsi" w:hAnsiTheme="minorHAnsi" w:cs="Calibri"/>
          <w:i/>
          <w:sz w:val="20"/>
          <w:szCs w:val="20"/>
        </w:rPr>
        <w:t xml:space="preserve"> </w:t>
      </w:r>
      <w:r w:rsidRPr="000B3153">
        <w:rPr>
          <w:rFonts w:asciiTheme="minorHAnsi" w:hAnsiTheme="minorHAnsi" w:cs="Calibri"/>
          <w:i/>
          <w:sz w:val="20"/>
          <w:szCs w:val="20"/>
        </w:rPr>
        <w:t>oficio</w:t>
      </w:r>
      <w:r w:rsidRPr="000B3153">
        <w:rPr>
          <w:rFonts w:asciiTheme="minorHAnsi" w:hAnsiTheme="minorHAnsi" w:cs="Calibri"/>
          <w:i/>
          <w:sz w:val="20"/>
          <w:szCs w:val="20"/>
        </w:rPr>
        <w:t xml:space="preserve"> da lei. Na oportunidade do julgamento, porquanto envolvido na espécie simples </w:t>
      </w:r>
      <w:r w:rsidRPr="000B3153">
        <w:rPr>
          <w:rFonts w:asciiTheme="minorHAnsi" w:hAnsiTheme="minorHAnsi" w:cs="Calibri"/>
          <w:b/>
          <w:i/>
          <w:sz w:val="20"/>
          <w:szCs w:val="20"/>
        </w:rPr>
        <w:t>parecer,</w:t>
      </w:r>
      <w:r w:rsidRPr="000B3153">
        <w:rPr>
          <w:rFonts w:asciiTheme="minorHAnsi" w:hAnsiTheme="minorHAnsi" w:cs="Calibri"/>
          <w:i/>
          <w:sz w:val="20"/>
          <w:szCs w:val="20"/>
        </w:rPr>
        <w:t xml:space="preserve"> ou seja, </w:t>
      </w:r>
      <w:r w:rsidRPr="000B3153">
        <w:rPr>
          <w:rFonts w:asciiTheme="minorHAnsi" w:hAnsiTheme="minorHAnsi" w:cs="Calibri"/>
          <w:b/>
          <w:i/>
          <w:sz w:val="20"/>
          <w:szCs w:val="20"/>
        </w:rPr>
        <w:t>ato opinativo que poderia ser, ou não, considerado pelo administrador</w:t>
      </w:r>
      <w:r w:rsidRPr="000B3153">
        <w:rPr>
          <w:rFonts w:asciiTheme="minorHAnsi" w:hAnsiTheme="minorHAnsi" w:cs="Calibri"/>
          <w:i/>
          <w:sz w:val="20"/>
          <w:szCs w:val="20"/>
        </w:rPr>
        <w:t xml:space="preserve">.” (Mandado de Segurança n° 24.584-1 - Distrito Federal - Relator: Min. Marco Aurélio de Mello – STF.) </w:t>
      </w:r>
    </w:p>
    <w:p w:rsidR="000B3153" w14:paraId="6FACE3E0" w14:textId="10A18D47">
      <w:pPr>
        <w:pStyle w:val="FootnoteText"/>
      </w:pPr>
    </w:p>
  </w:footnote>
  <w:footnote w:id="3">
    <w:p w:rsidR="007A1576" w:rsidP="007A1576" w14:paraId="09C2BCCF" w14:textId="77777777">
      <w:pPr>
        <w:pStyle w:val="FootnoteText"/>
        <w:jc w:val="both"/>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t>. Acesso em: 01/02/2023</w:t>
      </w:r>
      <w:r w:rsidRPr="002569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66AE" w:rsidP="003C2F5F" w14:paraId="38AEE6C2" w14:textId="77777777">
    <w:pPr>
      <w:pStyle w:val="Header"/>
      <w:jc w:val="center"/>
      <w:rPr>
        <w:b/>
        <w:sz w:val="26"/>
        <w:lang w:val="pt-PT"/>
      </w:rPr>
    </w:pPr>
  </w:p>
  <w:p w:rsidR="007D66AE"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66AE" w:rsidP="003C2F5F" w14:textId="77777777">
                          <w:r>
                            <w:rPr>
                              <w:noProof/>
                              <w:lang w:eastAsia="pt-BR"/>
                            </w:rPr>
                            <w:drawing>
                              <wp:inline distT="0" distB="0" distL="0" distR="0">
                                <wp:extent cx="876300" cy="850900"/>
                                <wp:effectExtent l="19050" t="0" r="0" b="0"/>
                                <wp:docPr id="59992871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3257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720926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D66AE"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9942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6608664" r:id="rId4"/>
                    </w:object>
                  </w:p>
                </w:txbxContent>
              </v:textbox>
              <w10:wrap type="square"/>
            </v:shape>
          </w:pict>
        </mc:Fallback>
      </mc:AlternateContent>
    </w:r>
  </w:p>
  <w:p w:rsidR="007D66AE" w:rsidP="003C2F5F" w14:paraId="69F2DB4C" w14:textId="77777777">
    <w:pPr>
      <w:pStyle w:val="Header"/>
      <w:jc w:val="center"/>
      <w:rPr>
        <w:b/>
        <w:sz w:val="28"/>
        <w:lang w:val="pt-PT"/>
      </w:rPr>
    </w:pPr>
    <w:r>
      <w:rPr>
        <w:b/>
        <w:sz w:val="28"/>
        <w:lang w:val="pt-PT"/>
      </w:rPr>
      <w:t>CÂMARA MUNICIPAL DE VALINHOS</w:t>
    </w:r>
  </w:p>
  <w:p w:rsidR="007D66AE" w:rsidP="003C2F5F" w14:paraId="24D3E421" w14:textId="77777777">
    <w:pPr>
      <w:pStyle w:val="Header"/>
      <w:jc w:val="center"/>
      <w:rPr>
        <w:sz w:val="20"/>
        <w:lang w:val="pt-PT"/>
      </w:rPr>
    </w:pPr>
    <w:r>
      <w:rPr>
        <w:sz w:val="20"/>
        <w:lang w:val="pt-PT"/>
      </w:rPr>
      <w:t>ESTADO DE SÃO PAULO</w:t>
    </w:r>
  </w:p>
  <w:p w:rsidR="007D66AE" w:rsidP="003C2F5F" w14:paraId="6FE38094" w14:textId="77777777">
    <w:pPr>
      <w:pStyle w:val="Header"/>
    </w:pPr>
  </w:p>
  <w:p w:rsidR="007D66AE" w14:paraId="25ECCD3E" w14:textId="77777777">
    <w:pPr>
      <w:pStyle w:val="Header"/>
    </w:pPr>
  </w:p>
  <w:p w:rsidR="007D66AE" w14:paraId="7979AD4E" w14:textId="77777777">
    <w:pPr>
      <w:pStyle w:val="Header"/>
    </w:pPr>
  </w:p>
  <w:p w:rsidR="007D66AE" w14:paraId="672633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B591F22"/>
    <w:multiLevelType w:val="hybridMultilevel"/>
    <w:tmpl w:val="EDCAF1A8"/>
    <w:lvl w:ilvl="0">
      <w:start w:val="1"/>
      <w:numFmt w:val="lowerLetter"/>
      <w:lvlText w:val="%1)"/>
      <w:lvlJc w:val="left"/>
      <w:pPr>
        <w:ind w:left="2628" w:hanging="360"/>
      </w:pPr>
      <w:rPr>
        <w:rFonts w:hint="default"/>
        <w:b/>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4">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1C09"/>
    <w:rsid w:val="00003A51"/>
    <w:rsid w:val="00004354"/>
    <w:rsid w:val="00007564"/>
    <w:rsid w:val="00053466"/>
    <w:rsid w:val="00054297"/>
    <w:rsid w:val="00055CC4"/>
    <w:rsid w:val="0007498D"/>
    <w:rsid w:val="000854D9"/>
    <w:rsid w:val="000863AF"/>
    <w:rsid w:val="00093998"/>
    <w:rsid w:val="000A1978"/>
    <w:rsid w:val="000A2B7F"/>
    <w:rsid w:val="000A3FBA"/>
    <w:rsid w:val="000A609F"/>
    <w:rsid w:val="000B3153"/>
    <w:rsid w:val="000B4AF0"/>
    <w:rsid w:val="000C4719"/>
    <w:rsid w:val="000E0541"/>
    <w:rsid w:val="000F53FD"/>
    <w:rsid w:val="000F7DF6"/>
    <w:rsid w:val="0010042C"/>
    <w:rsid w:val="00106ADB"/>
    <w:rsid w:val="001150B0"/>
    <w:rsid w:val="00116058"/>
    <w:rsid w:val="001166FA"/>
    <w:rsid w:val="0012397D"/>
    <w:rsid w:val="00127315"/>
    <w:rsid w:val="00130A14"/>
    <w:rsid w:val="00133C76"/>
    <w:rsid w:val="00140F84"/>
    <w:rsid w:val="00146235"/>
    <w:rsid w:val="001473D4"/>
    <w:rsid w:val="00171311"/>
    <w:rsid w:val="00186BFA"/>
    <w:rsid w:val="001900C3"/>
    <w:rsid w:val="001A55CB"/>
    <w:rsid w:val="001A700E"/>
    <w:rsid w:val="001B2556"/>
    <w:rsid w:val="001D010E"/>
    <w:rsid w:val="00225863"/>
    <w:rsid w:val="00256992"/>
    <w:rsid w:val="002632A5"/>
    <w:rsid w:val="00264F4E"/>
    <w:rsid w:val="002679FA"/>
    <w:rsid w:val="00275782"/>
    <w:rsid w:val="00277FC6"/>
    <w:rsid w:val="00290799"/>
    <w:rsid w:val="00293529"/>
    <w:rsid w:val="00293A60"/>
    <w:rsid w:val="0029742D"/>
    <w:rsid w:val="002A0294"/>
    <w:rsid w:val="002A0BF9"/>
    <w:rsid w:val="002A4033"/>
    <w:rsid w:val="002A68E6"/>
    <w:rsid w:val="002B33A9"/>
    <w:rsid w:val="002B3EF9"/>
    <w:rsid w:val="002B6DD7"/>
    <w:rsid w:val="002C174B"/>
    <w:rsid w:val="002C63E4"/>
    <w:rsid w:val="002D0400"/>
    <w:rsid w:val="002D1F88"/>
    <w:rsid w:val="002E0C51"/>
    <w:rsid w:val="002F1549"/>
    <w:rsid w:val="002F33D3"/>
    <w:rsid w:val="002F5795"/>
    <w:rsid w:val="002F68B4"/>
    <w:rsid w:val="0031027E"/>
    <w:rsid w:val="003122AC"/>
    <w:rsid w:val="0031255D"/>
    <w:rsid w:val="003132A3"/>
    <w:rsid w:val="003210F0"/>
    <w:rsid w:val="0034121B"/>
    <w:rsid w:val="00345391"/>
    <w:rsid w:val="00350F60"/>
    <w:rsid w:val="003A5BDC"/>
    <w:rsid w:val="003A6631"/>
    <w:rsid w:val="003B0147"/>
    <w:rsid w:val="003B46B4"/>
    <w:rsid w:val="003B4ED0"/>
    <w:rsid w:val="003C2F5F"/>
    <w:rsid w:val="003C39D6"/>
    <w:rsid w:val="003C4DB0"/>
    <w:rsid w:val="003C6555"/>
    <w:rsid w:val="003D3D50"/>
    <w:rsid w:val="003D6EE3"/>
    <w:rsid w:val="003E371A"/>
    <w:rsid w:val="003F133F"/>
    <w:rsid w:val="0040409A"/>
    <w:rsid w:val="00407B26"/>
    <w:rsid w:val="00415C7A"/>
    <w:rsid w:val="00417BC0"/>
    <w:rsid w:val="00427BE6"/>
    <w:rsid w:val="00433F8A"/>
    <w:rsid w:val="0045236F"/>
    <w:rsid w:val="00465FE0"/>
    <w:rsid w:val="00494D8D"/>
    <w:rsid w:val="004A3DD2"/>
    <w:rsid w:val="004B5205"/>
    <w:rsid w:val="005056F7"/>
    <w:rsid w:val="00506C4F"/>
    <w:rsid w:val="005101D9"/>
    <w:rsid w:val="005147AD"/>
    <w:rsid w:val="00523755"/>
    <w:rsid w:val="00531B48"/>
    <w:rsid w:val="00553C12"/>
    <w:rsid w:val="0058062A"/>
    <w:rsid w:val="00582F11"/>
    <w:rsid w:val="00585C59"/>
    <w:rsid w:val="005870B5"/>
    <w:rsid w:val="00591032"/>
    <w:rsid w:val="00593369"/>
    <w:rsid w:val="005961ED"/>
    <w:rsid w:val="005A1CB4"/>
    <w:rsid w:val="005C097C"/>
    <w:rsid w:val="005C3000"/>
    <w:rsid w:val="005E0BB6"/>
    <w:rsid w:val="005E2A7A"/>
    <w:rsid w:val="005F696D"/>
    <w:rsid w:val="00602759"/>
    <w:rsid w:val="00602922"/>
    <w:rsid w:val="00613C31"/>
    <w:rsid w:val="0061442B"/>
    <w:rsid w:val="00622D40"/>
    <w:rsid w:val="00623AD7"/>
    <w:rsid w:val="00634C01"/>
    <w:rsid w:val="0063663D"/>
    <w:rsid w:val="00644ED3"/>
    <w:rsid w:val="006461EC"/>
    <w:rsid w:val="006504F4"/>
    <w:rsid w:val="0065517F"/>
    <w:rsid w:val="00686242"/>
    <w:rsid w:val="00687439"/>
    <w:rsid w:val="00687E29"/>
    <w:rsid w:val="006A1A17"/>
    <w:rsid w:val="006A5B5D"/>
    <w:rsid w:val="006B1DD9"/>
    <w:rsid w:val="006D1203"/>
    <w:rsid w:val="006E06BE"/>
    <w:rsid w:val="006E43B0"/>
    <w:rsid w:val="006E4468"/>
    <w:rsid w:val="006E4F1C"/>
    <w:rsid w:val="006F0642"/>
    <w:rsid w:val="006F6EBB"/>
    <w:rsid w:val="00703F93"/>
    <w:rsid w:val="0070570A"/>
    <w:rsid w:val="007111F6"/>
    <w:rsid w:val="00715BF5"/>
    <w:rsid w:val="00721434"/>
    <w:rsid w:val="0072743E"/>
    <w:rsid w:val="0073526A"/>
    <w:rsid w:val="007673E8"/>
    <w:rsid w:val="007711FB"/>
    <w:rsid w:val="00775289"/>
    <w:rsid w:val="0078309E"/>
    <w:rsid w:val="007A1576"/>
    <w:rsid w:val="007D24E4"/>
    <w:rsid w:val="007D66AE"/>
    <w:rsid w:val="007D6753"/>
    <w:rsid w:val="007E1938"/>
    <w:rsid w:val="007E1F99"/>
    <w:rsid w:val="007E5161"/>
    <w:rsid w:val="00805484"/>
    <w:rsid w:val="00807D81"/>
    <w:rsid w:val="00815A68"/>
    <w:rsid w:val="00820DC2"/>
    <w:rsid w:val="00833548"/>
    <w:rsid w:val="00840756"/>
    <w:rsid w:val="00843AF6"/>
    <w:rsid w:val="00844F2A"/>
    <w:rsid w:val="008564F9"/>
    <w:rsid w:val="00866252"/>
    <w:rsid w:val="00867EC0"/>
    <w:rsid w:val="008706BC"/>
    <w:rsid w:val="008706EB"/>
    <w:rsid w:val="008743BF"/>
    <w:rsid w:val="00880E5C"/>
    <w:rsid w:val="00892814"/>
    <w:rsid w:val="008B446B"/>
    <w:rsid w:val="008C29F0"/>
    <w:rsid w:val="008D3CD3"/>
    <w:rsid w:val="008D67BD"/>
    <w:rsid w:val="008E7C91"/>
    <w:rsid w:val="008F5FCA"/>
    <w:rsid w:val="009232BC"/>
    <w:rsid w:val="00923C46"/>
    <w:rsid w:val="00924DE9"/>
    <w:rsid w:val="0094325E"/>
    <w:rsid w:val="009513F9"/>
    <w:rsid w:val="00973E66"/>
    <w:rsid w:val="00985CD8"/>
    <w:rsid w:val="00990D8F"/>
    <w:rsid w:val="00993CD7"/>
    <w:rsid w:val="00995E87"/>
    <w:rsid w:val="009A3EA4"/>
    <w:rsid w:val="009A6ACD"/>
    <w:rsid w:val="009E7F90"/>
    <w:rsid w:val="009F0F77"/>
    <w:rsid w:val="009F4B93"/>
    <w:rsid w:val="00A11BB8"/>
    <w:rsid w:val="00A120E6"/>
    <w:rsid w:val="00A21575"/>
    <w:rsid w:val="00A32BE6"/>
    <w:rsid w:val="00A33922"/>
    <w:rsid w:val="00A44636"/>
    <w:rsid w:val="00A455A2"/>
    <w:rsid w:val="00A4610B"/>
    <w:rsid w:val="00A7003F"/>
    <w:rsid w:val="00A7592E"/>
    <w:rsid w:val="00A816F6"/>
    <w:rsid w:val="00A84A80"/>
    <w:rsid w:val="00AA19F5"/>
    <w:rsid w:val="00AA7D6E"/>
    <w:rsid w:val="00AB02F8"/>
    <w:rsid w:val="00AC08E0"/>
    <w:rsid w:val="00AC632E"/>
    <w:rsid w:val="00B141C8"/>
    <w:rsid w:val="00B17BEA"/>
    <w:rsid w:val="00B20851"/>
    <w:rsid w:val="00B21513"/>
    <w:rsid w:val="00B44099"/>
    <w:rsid w:val="00B45584"/>
    <w:rsid w:val="00B51914"/>
    <w:rsid w:val="00B51B29"/>
    <w:rsid w:val="00B77DD5"/>
    <w:rsid w:val="00B8712C"/>
    <w:rsid w:val="00B9191A"/>
    <w:rsid w:val="00B959D3"/>
    <w:rsid w:val="00BA60E8"/>
    <w:rsid w:val="00BA71BB"/>
    <w:rsid w:val="00BB2737"/>
    <w:rsid w:val="00BB4A3C"/>
    <w:rsid w:val="00BB699B"/>
    <w:rsid w:val="00BC1CA3"/>
    <w:rsid w:val="00BC6B20"/>
    <w:rsid w:val="00BD21FC"/>
    <w:rsid w:val="00BE0658"/>
    <w:rsid w:val="00BF1E38"/>
    <w:rsid w:val="00BF6582"/>
    <w:rsid w:val="00C037D3"/>
    <w:rsid w:val="00C16375"/>
    <w:rsid w:val="00C50F96"/>
    <w:rsid w:val="00C65153"/>
    <w:rsid w:val="00C71B67"/>
    <w:rsid w:val="00C772FB"/>
    <w:rsid w:val="00C8439B"/>
    <w:rsid w:val="00C911DC"/>
    <w:rsid w:val="00C92CE6"/>
    <w:rsid w:val="00C96BE2"/>
    <w:rsid w:val="00CA16BE"/>
    <w:rsid w:val="00CA36F2"/>
    <w:rsid w:val="00CB75DF"/>
    <w:rsid w:val="00CD2341"/>
    <w:rsid w:val="00CD3609"/>
    <w:rsid w:val="00CD6992"/>
    <w:rsid w:val="00D23330"/>
    <w:rsid w:val="00D43148"/>
    <w:rsid w:val="00D515D2"/>
    <w:rsid w:val="00D5361E"/>
    <w:rsid w:val="00D56ED0"/>
    <w:rsid w:val="00D57968"/>
    <w:rsid w:val="00D6668F"/>
    <w:rsid w:val="00D7028D"/>
    <w:rsid w:val="00D91CAE"/>
    <w:rsid w:val="00DA067C"/>
    <w:rsid w:val="00DA6666"/>
    <w:rsid w:val="00DD117B"/>
    <w:rsid w:val="00E010C5"/>
    <w:rsid w:val="00E056B5"/>
    <w:rsid w:val="00E07310"/>
    <w:rsid w:val="00E17B92"/>
    <w:rsid w:val="00E20468"/>
    <w:rsid w:val="00E3389E"/>
    <w:rsid w:val="00E44FA1"/>
    <w:rsid w:val="00E503EA"/>
    <w:rsid w:val="00E51F3C"/>
    <w:rsid w:val="00E560A4"/>
    <w:rsid w:val="00E66F59"/>
    <w:rsid w:val="00E7573E"/>
    <w:rsid w:val="00E77219"/>
    <w:rsid w:val="00E813C9"/>
    <w:rsid w:val="00E91634"/>
    <w:rsid w:val="00E9745E"/>
    <w:rsid w:val="00EA669D"/>
    <w:rsid w:val="00EB49A2"/>
    <w:rsid w:val="00EB7BB1"/>
    <w:rsid w:val="00EC399E"/>
    <w:rsid w:val="00ED2EB0"/>
    <w:rsid w:val="00ED37C2"/>
    <w:rsid w:val="00EE3E12"/>
    <w:rsid w:val="00EE6021"/>
    <w:rsid w:val="00EF0D04"/>
    <w:rsid w:val="00F0094A"/>
    <w:rsid w:val="00F0182B"/>
    <w:rsid w:val="00F1361D"/>
    <w:rsid w:val="00F209F1"/>
    <w:rsid w:val="00F253CD"/>
    <w:rsid w:val="00F41992"/>
    <w:rsid w:val="00F505B3"/>
    <w:rsid w:val="00F519D2"/>
    <w:rsid w:val="00F53BEF"/>
    <w:rsid w:val="00F564CF"/>
    <w:rsid w:val="00F66849"/>
    <w:rsid w:val="00F72170"/>
    <w:rsid w:val="00F740A6"/>
    <w:rsid w:val="00F847EE"/>
    <w:rsid w:val="00F9259B"/>
    <w:rsid w:val="00FA1D5B"/>
    <w:rsid w:val="00FB0318"/>
    <w:rsid w:val="00FC3ECB"/>
    <w:rsid w:val="00FC59A5"/>
    <w:rsid w:val="00FC6C77"/>
    <w:rsid w:val="00FF0189"/>
    <w:rsid w:val="00FF16C9"/>
    <w:rsid w:val="00FF52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8D"/>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CEAA-E475-4212-9E4B-BF8DC86C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2854</Words>
  <Characters>15412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13</cp:revision>
  <cp:lastPrinted>2021-05-27T14:59:00Z</cp:lastPrinted>
  <dcterms:created xsi:type="dcterms:W3CDTF">2023-05-26T13:40:00Z</dcterms:created>
  <dcterms:modified xsi:type="dcterms:W3CDTF">2023-06-02T14:08:00Z</dcterms:modified>
</cp:coreProperties>
</file>