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290" w:rsidRPr="000B4AF0" w:rsidP="00230290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0B4AF0">
        <w:rPr>
          <w:rFonts w:ascii="Calibri" w:hAnsi="Calibri" w:cs="Calibri"/>
          <w:b/>
          <w:color w:val="auto"/>
        </w:rPr>
        <w:t>Parecer Jurídico nº</w:t>
      </w:r>
      <w:r w:rsidRPr="000B4AF0" w:rsidR="00DA5745">
        <w:rPr>
          <w:rFonts w:ascii="Calibri" w:hAnsi="Calibri" w:cs="Calibri"/>
          <w:b/>
          <w:color w:val="auto"/>
        </w:rPr>
        <w:t xml:space="preserve"> </w:t>
      </w:r>
      <w:r w:rsidR="00857D8D">
        <w:rPr>
          <w:rFonts w:ascii="Calibri" w:hAnsi="Calibri" w:cs="Calibri"/>
          <w:b/>
          <w:color w:val="auto"/>
        </w:rPr>
        <w:t>180</w:t>
      </w:r>
      <w:r w:rsidRPr="000B4AF0">
        <w:rPr>
          <w:rFonts w:ascii="Calibri" w:hAnsi="Calibri" w:cs="Calibri"/>
          <w:b/>
          <w:color w:val="auto"/>
        </w:rPr>
        <w:t>/202</w:t>
      </w:r>
      <w:r w:rsidRPr="000B4AF0" w:rsidR="004253B9">
        <w:rPr>
          <w:rFonts w:ascii="Calibri" w:hAnsi="Calibri" w:cs="Calibri"/>
          <w:b/>
          <w:color w:val="auto"/>
        </w:rPr>
        <w:t>3</w:t>
      </w:r>
      <w:r w:rsidRPr="000B4AF0">
        <w:rPr>
          <w:rFonts w:ascii="Calibri" w:hAnsi="Calibri" w:cs="Calibri"/>
          <w:b/>
          <w:color w:val="auto"/>
        </w:rPr>
        <w:t>.</w:t>
      </w:r>
    </w:p>
    <w:p w:rsidR="00582000" w:rsidRPr="00061871" w:rsidP="00B6516B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b/>
          <w:bCs/>
          <w:szCs w:val="24"/>
        </w:rPr>
        <w:t>Assunto</w:t>
      </w:r>
      <w:r w:rsidRPr="000B4AF0">
        <w:rPr>
          <w:rFonts w:ascii="Calibri" w:hAnsi="Calibri" w:cs="Calibri"/>
          <w:bCs/>
          <w:szCs w:val="24"/>
        </w:rPr>
        <w:t xml:space="preserve">: </w:t>
      </w:r>
      <w:r w:rsidRPr="000B4AF0" w:rsidR="00D61860">
        <w:rPr>
          <w:rFonts w:ascii="Calibri" w:hAnsi="Calibri" w:cs="Calibri"/>
          <w:b/>
          <w:bCs/>
          <w:szCs w:val="24"/>
        </w:rPr>
        <w:t xml:space="preserve">Projeto de Lei nº </w:t>
      </w:r>
      <w:r w:rsidR="00857D8D">
        <w:rPr>
          <w:rFonts w:ascii="Calibri" w:hAnsi="Calibri" w:cs="Calibri"/>
          <w:b/>
          <w:bCs/>
          <w:szCs w:val="24"/>
        </w:rPr>
        <w:t>58</w:t>
      </w:r>
      <w:r w:rsidRPr="000B4AF0">
        <w:rPr>
          <w:rFonts w:ascii="Calibri" w:hAnsi="Calibri" w:cs="Calibri"/>
          <w:b/>
          <w:bCs/>
          <w:szCs w:val="24"/>
        </w:rPr>
        <w:t>/202</w:t>
      </w:r>
      <w:r w:rsidRPr="000B4AF0" w:rsidR="00D61860">
        <w:rPr>
          <w:rFonts w:ascii="Calibri" w:hAnsi="Calibri" w:cs="Calibri"/>
          <w:b/>
          <w:bCs/>
          <w:szCs w:val="24"/>
        </w:rPr>
        <w:t>3</w:t>
      </w:r>
      <w:r w:rsidRPr="000B4AF0" w:rsidR="00DA5745">
        <w:rPr>
          <w:rFonts w:ascii="Calibri" w:hAnsi="Calibri" w:cs="Calibri"/>
          <w:bCs/>
          <w:szCs w:val="24"/>
        </w:rPr>
        <w:t xml:space="preserve"> </w:t>
      </w:r>
      <w:r w:rsidRPr="000B4AF0" w:rsidR="00DF5B72">
        <w:rPr>
          <w:rFonts w:ascii="Calibri" w:hAnsi="Calibri" w:cs="Calibri"/>
          <w:bCs/>
          <w:szCs w:val="24"/>
        </w:rPr>
        <w:t>–</w:t>
      </w:r>
      <w:r w:rsidRPr="000B4AF0">
        <w:rPr>
          <w:rFonts w:ascii="Calibri" w:hAnsi="Calibri" w:cs="Calibri"/>
          <w:b/>
          <w:bCs/>
          <w:szCs w:val="24"/>
        </w:rPr>
        <w:t xml:space="preserve"> </w:t>
      </w:r>
      <w:r w:rsidRPr="00061871" w:rsidR="00061871">
        <w:rPr>
          <w:rFonts w:ascii="Calibri" w:hAnsi="Calibri" w:cs="Calibri"/>
          <w:bCs/>
          <w:szCs w:val="24"/>
        </w:rPr>
        <w:t>Institui no âmbito do Município de Valinhos a Semana da Bíblia</w:t>
      </w:r>
      <w:r w:rsidRPr="00061871" w:rsidR="004253B9">
        <w:rPr>
          <w:rFonts w:ascii="Calibri" w:hAnsi="Calibri" w:cs="Calibri"/>
          <w:szCs w:val="24"/>
        </w:rPr>
        <w:t>.</w:t>
      </w:r>
    </w:p>
    <w:p w:rsidR="00582000" w:rsidRPr="00061871" w:rsidP="00B6516B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 w:rsidRPr="00061871">
        <w:rPr>
          <w:rFonts w:ascii="Calibri" w:hAnsi="Calibri" w:cs="Calibri"/>
          <w:b/>
          <w:szCs w:val="24"/>
        </w:rPr>
        <w:t>Autor(</w:t>
      </w:r>
      <w:r w:rsidRPr="00061871">
        <w:rPr>
          <w:rFonts w:ascii="Calibri" w:hAnsi="Calibri" w:cs="Calibri"/>
          <w:b/>
          <w:szCs w:val="24"/>
        </w:rPr>
        <w:t xml:space="preserve">a): </w:t>
      </w:r>
      <w:r w:rsidRPr="00061871">
        <w:rPr>
          <w:rFonts w:ascii="Calibri" w:hAnsi="Calibri" w:cs="Calibri"/>
          <w:szCs w:val="24"/>
        </w:rPr>
        <w:t>Vereador</w:t>
      </w:r>
      <w:r w:rsidRPr="00061871" w:rsidR="00D61860">
        <w:rPr>
          <w:rFonts w:ascii="Calibri" w:hAnsi="Calibri" w:cs="Calibri"/>
          <w:szCs w:val="24"/>
        </w:rPr>
        <w:t>(</w:t>
      </w:r>
      <w:r w:rsidRPr="00061871">
        <w:rPr>
          <w:rFonts w:ascii="Calibri" w:hAnsi="Calibri" w:cs="Calibri"/>
          <w:szCs w:val="24"/>
        </w:rPr>
        <w:t>a</w:t>
      </w:r>
      <w:r w:rsidRPr="00061871" w:rsidR="00D61860">
        <w:rPr>
          <w:rFonts w:ascii="Calibri" w:hAnsi="Calibri" w:cs="Calibri"/>
          <w:szCs w:val="24"/>
        </w:rPr>
        <w:t>)</w:t>
      </w:r>
      <w:r w:rsidRPr="00061871" w:rsidR="00DA5745">
        <w:rPr>
          <w:rFonts w:ascii="Calibri" w:hAnsi="Calibri" w:cs="Calibri"/>
          <w:szCs w:val="24"/>
        </w:rPr>
        <w:t xml:space="preserve"> </w:t>
      </w:r>
      <w:r w:rsidR="00061871">
        <w:rPr>
          <w:rFonts w:ascii="Calibri" w:hAnsi="Calibri" w:cs="Calibri"/>
          <w:szCs w:val="24"/>
        </w:rPr>
        <w:t>Simoni Bellini</w:t>
      </w:r>
      <w:r w:rsidRPr="00061871">
        <w:rPr>
          <w:rFonts w:ascii="Calibri" w:hAnsi="Calibri" w:cs="Calibri"/>
          <w:szCs w:val="24"/>
        </w:rPr>
        <w:t>.</w:t>
      </w:r>
    </w:p>
    <w:p w:rsidR="006E1D73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6E1D73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61871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0B4AF0">
        <w:rPr>
          <w:rFonts w:ascii="Calibri" w:hAnsi="Calibri" w:cs="Calibri"/>
          <w:b/>
          <w:i/>
          <w:color w:val="auto"/>
        </w:rPr>
        <w:t>À Comissão de Justiça e Redação,</w:t>
      </w:r>
    </w:p>
    <w:p w:rsidR="00230290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0B4AF0">
        <w:rPr>
          <w:rFonts w:ascii="Calibri" w:hAnsi="Calibri" w:cs="Calibri"/>
          <w:b/>
          <w:i/>
          <w:color w:val="auto"/>
        </w:rPr>
        <w:t xml:space="preserve">Exmo. </w:t>
      </w:r>
      <w:r w:rsidRPr="000B4AF0" w:rsidR="00B14DD5">
        <w:rPr>
          <w:rFonts w:ascii="Calibri" w:hAnsi="Calibri" w:cs="Calibri"/>
          <w:b/>
          <w:i/>
          <w:color w:val="auto"/>
        </w:rPr>
        <w:t>Sr.</w:t>
      </w:r>
      <w:r w:rsidRPr="000B4AF0" w:rsidR="00B14DD5">
        <w:rPr>
          <w:rFonts w:ascii="Calibri" w:hAnsi="Calibri" w:cs="Calibri"/>
          <w:b/>
          <w:i/>
          <w:color w:val="auto"/>
        </w:rPr>
        <w:t xml:space="preserve"> Presidente </w:t>
      </w:r>
      <w:r w:rsidRPr="000B4AF0" w:rsidR="00A02FF7">
        <w:rPr>
          <w:rFonts w:ascii="Calibri" w:hAnsi="Calibri" w:cs="Calibri"/>
          <w:b/>
          <w:i/>
          <w:color w:val="auto"/>
        </w:rPr>
        <w:t>Vereador Gabriel Bueno</w:t>
      </w:r>
      <w:r w:rsidRPr="000B4AF0">
        <w:rPr>
          <w:rFonts w:ascii="Calibri" w:hAnsi="Calibri" w:cs="Calibri"/>
          <w:b/>
          <w:i/>
          <w:color w:val="auto"/>
        </w:rPr>
        <w:t>.</w:t>
      </w:r>
    </w:p>
    <w:p w:rsidR="00230290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61871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13192" w:rsidRPr="000B4AF0" w:rsidP="00D13192">
      <w:pPr>
        <w:spacing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  <w:shd w:val="clear" w:color="auto" w:fill="FFFFFF"/>
        </w:rPr>
      </w:pPr>
      <w:r w:rsidRPr="000B4AF0">
        <w:rPr>
          <w:rFonts w:ascii="Calibri" w:hAnsi="Calibri" w:cs="Calibri"/>
          <w:szCs w:val="24"/>
        </w:rPr>
        <w:t xml:space="preserve">Trata-se de parecer jurídico relativo ao projeto em epígrafe que </w:t>
      </w:r>
      <w:r w:rsidRPr="000B4AF0" w:rsidR="00A039F0">
        <w:rPr>
          <w:rFonts w:ascii="Calibri" w:hAnsi="Calibri" w:cs="Calibri"/>
          <w:i/>
          <w:szCs w:val="24"/>
        </w:rPr>
        <w:t>“</w:t>
      </w:r>
      <w:r w:rsidRPr="00061871" w:rsidR="00061871">
        <w:rPr>
          <w:rFonts w:ascii="Calibri" w:hAnsi="Calibri" w:cs="Calibri"/>
          <w:bCs/>
          <w:i/>
          <w:szCs w:val="24"/>
        </w:rPr>
        <w:t>Institui no âmbito do Município de Valinhos a Semana da Bíblia”</w:t>
      </w:r>
      <w:r w:rsidRPr="000B4AF0">
        <w:rPr>
          <w:rFonts w:asciiTheme="minorHAnsi" w:hAnsiTheme="minorHAnsi" w:cstheme="minorHAnsi"/>
          <w:i/>
          <w:szCs w:val="24"/>
          <w:shd w:val="clear" w:color="auto" w:fill="FFFFFF"/>
        </w:rPr>
        <w:t>.</w:t>
      </w:r>
    </w:p>
    <w:p w:rsidR="00230290" w:rsidRPr="000B4AF0" w:rsidP="003774B8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i/>
          <w:szCs w:val="24"/>
        </w:rPr>
        <w:t>Ab initio</w:t>
      </w:r>
      <w:r w:rsidRPr="000B4AF0">
        <w:rPr>
          <w:rFonts w:ascii="Calibri" w:hAnsi="Calibri" w:cs="Calibri"/>
          <w:szCs w:val="24"/>
        </w:rPr>
        <w:t xml:space="preserve">, cumpre destacar a competência regimental da Comissão </w:t>
      </w:r>
      <w:r w:rsidRPr="000B4AF0" w:rsidR="00267046">
        <w:rPr>
          <w:rFonts w:ascii="Calibri" w:hAnsi="Calibri" w:cs="Calibri"/>
          <w:szCs w:val="24"/>
        </w:rPr>
        <w:t xml:space="preserve">de Justiça e Redação </w:t>
      </w:r>
      <w:r w:rsidRPr="000B4AF0">
        <w:rPr>
          <w:rFonts w:ascii="Calibri" w:hAnsi="Calibri" w:cs="Calibri"/>
          <w:szCs w:val="24"/>
        </w:rPr>
        <w:t>estabelecida no artigo 38.</w:t>
      </w:r>
    </w:p>
    <w:p w:rsidR="00230290" w:rsidRPr="000B4AF0" w:rsidP="00061871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szCs w:val="24"/>
        </w:rPr>
        <w:t xml:space="preserve"> </w:t>
      </w:r>
      <w:r w:rsidRPr="000B4AF0">
        <w:rPr>
          <w:rFonts w:ascii="Calibri" w:hAnsi="Calibri" w:cs="Calibri"/>
          <w:szCs w:val="24"/>
        </w:rPr>
        <w:tab/>
      </w:r>
      <w:r w:rsidRPr="000B4AF0">
        <w:rPr>
          <w:rFonts w:ascii="Calibri" w:hAnsi="Calibri" w:cs="Calibri"/>
          <w:szCs w:val="24"/>
        </w:rPr>
        <w:t>Outrossim</w:t>
      </w:r>
      <w:r w:rsidRPr="000B4AF0">
        <w:rPr>
          <w:rFonts w:ascii="Calibri" w:hAnsi="Calibri" w:cs="Calibri"/>
          <w:szCs w:val="24"/>
        </w:rPr>
        <w:t xml:space="preserve">, ressalta-se que a opinião jurídica </w:t>
      </w:r>
      <w:r w:rsidRPr="000B4AF0" w:rsidR="00641AD2">
        <w:rPr>
          <w:rFonts w:ascii="Calibri" w:hAnsi="Calibri" w:cs="Calibri"/>
          <w:szCs w:val="24"/>
        </w:rPr>
        <w:t>exarada neste</w:t>
      </w:r>
      <w:r w:rsidRPr="000B4AF0">
        <w:rPr>
          <w:rFonts w:ascii="Calibri" w:hAnsi="Calibri" w:cs="Calibri"/>
          <w:szCs w:val="24"/>
        </w:rPr>
        <w:t xml:space="preserve"> parecer </w:t>
      </w:r>
      <w:r w:rsidRPr="00061871">
        <w:rPr>
          <w:rFonts w:ascii="Calibri" w:hAnsi="Calibri" w:cs="Calibri"/>
          <w:szCs w:val="24"/>
          <w:u w:val="single"/>
        </w:rPr>
        <w:t>não</w:t>
      </w:r>
      <w:r w:rsidRPr="00061871">
        <w:rPr>
          <w:rFonts w:ascii="Calibri" w:hAnsi="Calibri" w:cs="Calibri"/>
          <w:szCs w:val="24"/>
          <w:u w:val="single"/>
        </w:rPr>
        <w:t xml:space="preserve"> tem força vinculante</w:t>
      </w:r>
      <w:r>
        <w:rPr>
          <w:rStyle w:val="FootnoteReference"/>
          <w:rFonts w:ascii="Calibri" w:hAnsi="Calibri" w:cs="Calibri"/>
          <w:szCs w:val="24"/>
        </w:rPr>
        <w:footnoteReference w:id="2"/>
      </w:r>
      <w:r w:rsidRPr="000B4AF0">
        <w:rPr>
          <w:rFonts w:ascii="Calibri" w:hAnsi="Calibri" w:cs="Calibri"/>
          <w:szCs w:val="24"/>
        </w:rPr>
        <w:t>, portanto é peça opinativa, não fundamentando decisão proferida pelas Comissões.</w:t>
      </w:r>
      <w:r w:rsidRPr="000B4AF0" w:rsidR="000C474F">
        <w:rPr>
          <w:rFonts w:ascii="Calibri" w:hAnsi="Calibri" w:cs="Calibri"/>
          <w:szCs w:val="24"/>
        </w:rPr>
        <w:t xml:space="preserve"> </w:t>
      </w:r>
    </w:p>
    <w:p w:rsidR="00230290" w:rsidRPr="000B4AF0" w:rsidP="00230290">
      <w:pPr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 xml:space="preserve">Desse modo, passamos à </w:t>
      </w:r>
      <w:r w:rsidRPr="000B4AF0">
        <w:rPr>
          <w:rFonts w:ascii="Calibri" w:hAnsi="Calibri" w:cs="Calibri"/>
          <w:b/>
          <w:szCs w:val="24"/>
        </w:rPr>
        <w:t>análise técnica</w:t>
      </w:r>
      <w:r w:rsidRPr="000B4AF0">
        <w:rPr>
          <w:rFonts w:ascii="Calibri" w:hAnsi="Calibri" w:cs="Calibri"/>
          <w:szCs w:val="24"/>
        </w:rPr>
        <w:t xml:space="preserve"> do projeto em epígrafe referenciado.</w:t>
      </w:r>
    </w:p>
    <w:p w:rsidR="000C474F" w:rsidRPr="000B4AF0" w:rsidP="000C474F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B4AF0">
        <w:rPr>
          <w:rFonts w:asciiTheme="minorHAnsi" w:hAnsiTheme="minorHAnsi" w:cstheme="minorHAnsi"/>
          <w:color w:val="auto"/>
        </w:rPr>
        <w:t>No</w:t>
      </w:r>
      <w:r w:rsidRPr="000B4AF0">
        <w:rPr>
          <w:rFonts w:asciiTheme="minorHAnsi" w:hAnsiTheme="minorHAnsi" w:cstheme="minorHAnsi"/>
          <w:color w:val="auto"/>
        </w:rPr>
        <w:t xml:space="preserve"> que tange à </w:t>
      </w:r>
      <w:r w:rsidRPr="000B4AF0">
        <w:rPr>
          <w:rFonts w:asciiTheme="minorHAnsi" w:hAnsiTheme="minorHAnsi" w:cstheme="minorHAnsi"/>
          <w:b/>
          <w:color w:val="auto"/>
        </w:rPr>
        <w:t xml:space="preserve">competência </w:t>
      </w:r>
      <w:r w:rsidRPr="000B4AF0" w:rsidR="00CD2DAD">
        <w:rPr>
          <w:rFonts w:asciiTheme="minorHAnsi" w:hAnsiTheme="minorHAnsi" w:cstheme="minorHAnsi"/>
          <w:b/>
          <w:color w:val="auto"/>
        </w:rPr>
        <w:t>legislativa</w:t>
      </w:r>
      <w:r w:rsidRPr="000B4AF0" w:rsidR="00B14DD5">
        <w:rPr>
          <w:rFonts w:asciiTheme="minorHAnsi" w:hAnsiTheme="minorHAnsi" w:cstheme="minorHAnsi"/>
          <w:b/>
          <w:color w:val="auto"/>
        </w:rPr>
        <w:t xml:space="preserve"> municipal</w:t>
      </w:r>
      <w:r w:rsidRPr="000B4AF0" w:rsidR="00CD2DAD">
        <w:rPr>
          <w:rFonts w:asciiTheme="minorHAnsi" w:hAnsiTheme="minorHAnsi" w:cstheme="minorHAnsi"/>
          <w:color w:val="auto"/>
        </w:rPr>
        <w:t xml:space="preserve"> a propositura </w:t>
      </w:r>
      <w:r w:rsidRPr="000B4AF0">
        <w:rPr>
          <w:rFonts w:asciiTheme="minorHAnsi" w:hAnsiTheme="minorHAnsi" w:cstheme="minorHAnsi"/>
          <w:color w:val="auto"/>
        </w:rPr>
        <w:t>afigura-se r</w:t>
      </w:r>
      <w:r w:rsidRPr="000B4AF0">
        <w:rPr>
          <w:rFonts w:asciiTheme="minorHAnsi" w:hAnsiTheme="minorHAnsi" w:cstheme="minorHAnsi"/>
          <w:color w:val="auto"/>
        </w:rPr>
        <w:t>evestida de constitucionalidade</w:t>
      </w:r>
      <w:r w:rsidR="00F40654">
        <w:rPr>
          <w:rFonts w:asciiTheme="minorHAnsi" w:hAnsiTheme="minorHAnsi" w:cstheme="minorHAnsi"/>
          <w:color w:val="auto"/>
        </w:rPr>
        <w:t xml:space="preserve"> por</w:t>
      </w:r>
      <w:r w:rsidRPr="000B4AF0">
        <w:rPr>
          <w:rFonts w:asciiTheme="minorHAnsi" w:hAnsiTheme="minorHAnsi" w:cstheme="minorHAnsi"/>
          <w:color w:val="auto"/>
        </w:rPr>
        <w:t xml:space="preserve"> força da Constituição</w:t>
      </w:r>
      <w:r w:rsidRPr="000B4AF0">
        <w:rPr>
          <w:rFonts w:asciiTheme="minorHAnsi" w:hAnsiTheme="minorHAnsi" w:cstheme="minorHAnsi"/>
          <w:color w:val="auto"/>
        </w:rPr>
        <w:t xml:space="preserve"> Federal que </w:t>
      </w:r>
      <w:r w:rsidRPr="000B4AF0">
        <w:rPr>
          <w:rFonts w:asciiTheme="minorHAnsi" w:hAnsiTheme="minorHAnsi" w:cstheme="minorHAnsi"/>
          <w:color w:val="auto"/>
        </w:rPr>
        <w:t>atribuiu aos</w:t>
      </w:r>
      <w:r w:rsidRPr="000B4AF0">
        <w:rPr>
          <w:rFonts w:asciiTheme="minorHAnsi" w:hAnsiTheme="minorHAnsi" w:cstheme="minorHAnsi"/>
          <w:color w:val="auto"/>
        </w:rPr>
        <w:t xml:space="preserve"> Municípios autonomia legislativa, consubstanciada na capacidade de legislar sobre assuntos de interesse local (art. 30, inciso I, da CRFB). </w:t>
      </w:r>
    </w:p>
    <w:p w:rsidR="005B347A" w:rsidRPr="000B4AF0" w:rsidP="005B347A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B4AF0">
        <w:rPr>
          <w:rFonts w:asciiTheme="minorHAnsi" w:hAnsiTheme="minorHAnsi" w:cstheme="minorHAnsi"/>
          <w:szCs w:val="24"/>
        </w:rPr>
        <w:t>Nessa linha, a Lei Orgânica do Município de Valinhos estabelece:</w:t>
      </w:r>
    </w:p>
    <w:p w:rsidR="005B347A" w:rsidRPr="000B4AF0" w:rsidP="009C607C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AF0">
        <w:rPr>
          <w:rFonts w:asciiTheme="minorHAnsi" w:hAnsiTheme="minorHAnsi" w:cstheme="minorHAnsi"/>
          <w:i/>
          <w:sz w:val="22"/>
          <w:szCs w:val="22"/>
        </w:rPr>
        <w:t>“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Art. 5º Compete ao Município, no exercício de sua autonomia, legislar sobre tudo quanto respeite ao </w:t>
      </w:r>
      <w:r w:rsidRPr="000B4AF0">
        <w:rPr>
          <w:rFonts w:asciiTheme="minorHAnsi" w:hAnsiTheme="minorHAnsi" w:cstheme="minorHAnsi"/>
          <w:i/>
          <w:sz w:val="22"/>
          <w:szCs w:val="22"/>
          <w:u w:val="single"/>
        </w:rPr>
        <w:t>interesse local, tendo como objetivo o pleno desenvolvimento de suas funções sociais e garantir o bem-estar de seus habitantes,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 cabendo-lhe privativamente, entre outras, as seguintes atribuições:</w:t>
      </w:r>
      <w:r w:rsidRPr="000B4AF0"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0B4AF0" w:rsidP="009C607C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AF0">
        <w:rPr>
          <w:rFonts w:asciiTheme="minorHAnsi" w:hAnsiTheme="minorHAnsi" w:cstheme="minorHAnsi"/>
          <w:i/>
          <w:sz w:val="22"/>
          <w:szCs w:val="22"/>
        </w:rPr>
        <w:t>“</w:t>
      </w:r>
      <w:r w:rsidRPr="000B4AF0">
        <w:rPr>
          <w:rFonts w:asciiTheme="minorHAnsi" w:hAnsiTheme="minorHAnsi" w:cstheme="minorHAnsi"/>
          <w:i/>
          <w:sz w:val="22"/>
          <w:szCs w:val="22"/>
        </w:rPr>
        <w:t>Art.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5B347A" w:rsidRPr="000B4AF0" w:rsidP="009C607C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AF0">
        <w:rPr>
          <w:rFonts w:asciiTheme="minorHAnsi" w:hAnsiTheme="minorHAnsi" w:cstheme="minorHAnsi"/>
          <w:i/>
          <w:sz w:val="22"/>
          <w:szCs w:val="22"/>
        </w:rPr>
        <w:t>I - legislar sobre assuntos de interesse local;</w:t>
      </w:r>
      <w:r w:rsidRPr="000B4AF0" w:rsidR="00B73ABA"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0B4AF0" w:rsidP="005B3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B4AF0">
        <w:rPr>
          <w:rFonts w:asciiTheme="minorHAnsi" w:hAnsiTheme="minorHAnsi" w:cstheme="minorHAnsi"/>
          <w:szCs w:val="24"/>
        </w:rPr>
        <w:tab/>
      </w:r>
      <w:r w:rsidRPr="000B4AF0">
        <w:rPr>
          <w:rFonts w:asciiTheme="minorHAnsi" w:hAnsiTheme="minorHAnsi" w:cstheme="minorHAnsi"/>
          <w:szCs w:val="24"/>
        </w:rPr>
        <w:tab/>
        <w:t xml:space="preserve">      Acerca do conceito de interesse local o saudoso professor Hely Lopes Meirelles leciona:</w:t>
      </w:r>
    </w:p>
    <w:p w:rsidR="005B347A" w:rsidRPr="000B4AF0" w:rsidP="009C607C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0B4AF0">
        <w:rPr>
          <w:rFonts w:eastAsia="Calibri" w:asciiTheme="minorHAnsi" w:hAnsiTheme="minorHAnsi" w:cstheme="minorHAnsi"/>
          <w:i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 xml:space="preserve">essa 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privatividade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, essa unicidade, bem reduzido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0B4AF0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O que define e caracteriza o 'interesse local', inscrito como dogma constitucional, é a predominância do interesse do Município sobre o do Estado ou da 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União". (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gn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)(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in Direito Municipal Brasileiro, 6ª ed., atualizada por Izabel Camargo Lopes Monteiro e Yara Darcy Police Monteiro, 1993, Malheiros, p. 98)</w:t>
      </w:r>
    </w:p>
    <w:p w:rsidR="00230290" w:rsidRPr="000B4AF0" w:rsidP="00DF5B72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4"/>
        </w:rPr>
      </w:pPr>
      <w:r w:rsidRPr="000B4AF0">
        <w:rPr>
          <w:rFonts w:asciiTheme="minorHAnsi" w:hAnsiTheme="minorHAnsi" w:cstheme="minorHAnsi"/>
          <w:szCs w:val="24"/>
        </w:rPr>
        <w:t xml:space="preserve"> </w:t>
      </w:r>
      <w:r w:rsidRPr="000B4AF0">
        <w:rPr>
          <w:rFonts w:asciiTheme="minorHAnsi" w:hAnsiTheme="minorHAnsi" w:cstheme="minorHAnsi"/>
          <w:szCs w:val="24"/>
        </w:rPr>
        <w:tab/>
      </w:r>
      <w:r w:rsidRPr="000B4AF0">
        <w:rPr>
          <w:rFonts w:ascii="Calibri" w:hAnsi="Calibri" w:cs="Calibri"/>
          <w:szCs w:val="24"/>
        </w:rPr>
        <w:t>Outrossim</w:t>
      </w:r>
      <w:r w:rsidRPr="000B4AF0">
        <w:rPr>
          <w:rFonts w:ascii="Calibri" w:hAnsi="Calibri" w:cs="Calibri"/>
          <w:szCs w:val="24"/>
        </w:rPr>
        <w:t xml:space="preserve">, no que tange à </w:t>
      </w:r>
      <w:r w:rsidRPr="000B4AF0" w:rsidR="00A02EF7">
        <w:rPr>
          <w:rFonts w:ascii="Calibri" w:hAnsi="Calibri" w:cs="Calibri"/>
          <w:b/>
          <w:szCs w:val="24"/>
        </w:rPr>
        <w:t>iniciativa</w:t>
      </w:r>
      <w:r w:rsidRPr="000B4AF0">
        <w:rPr>
          <w:rFonts w:ascii="Calibri" w:hAnsi="Calibri" w:cs="Calibri"/>
          <w:b/>
          <w:szCs w:val="24"/>
        </w:rPr>
        <w:t xml:space="preserve"> para deflagrar o processo legislativo, </w:t>
      </w:r>
      <w:r w:rsidRPr="000B4AF0" w:rsidR="00061871">
        <w:rPr>
          <w:rFonts w:ascii="Calibri" w:hAnsi="Calibri" w:cs="Calibri"/>
          <w:szCs w:val="24"/>
        </w:rPr>
        <w:t xml:space="preserve">artigo 24, § 2º </w:t>
      </w:r>
      <w:r w:rsidR="00061871">
        <w:rPr>
          <w:rFonts w:ascii="Calibri" w:hAnsi="Calibri" w:cs="Calibri"/>
          <w:szCs w:val="24"/>
        </w:rPr>
        <w:t>d</w:t>
      </w:r>
      <w:r w:rsidRPr="000B4AF0" w:rsidR="00061871">
        <w:rPr>
          <w:rFonts w:ascii="Calibri" w:hAnsi="Calibri" w:cs="Calibri"/>
          <w:szCs w:val="24"/>
        </w:rPr>
        <w:t>a Constituição do Estado de São Paulo</w:t>
      </w:r>
      <w:r w:rsidR="00061871">
        <w:rPr>
          <w:rFonts w:ascii="Calibri" w:hAnsi="Calibri" w:cs="Calibri"/>
          <w:szCs w:val="24"/>
        </w:rPr>
        <w:t>, em simetria com o</w:t>
      </w:r>
      <w:r w:rsidRPr="000B4AF0" w:rsidR="00061871">
        <w:rPr>
          <w:rFonts w:ascii="Calibri" w:hAnsi="Calibri" w:cs="Calibri"/>
          <w:szCs w:val="24"/>
        </w:rPr>
        <w:t xml:space="preserve"> </w:t>
      </w:r>
      <w:r w:rsidRPr="000B4AF0">
        <w:rPr>
          <w:rFonts w:ascii="Calibri" w:hAnsi="Calibri" w:cs="Calibri"/>
          <w:szCs w:val="24"/>
        </w:rPr>
        <w:t>o artigo 61, § 1º, da CF</w:t>
      </w:r>
      <w:r w:rsidR="00061871">
        <w:rPr>
          <w:rFonts w:ascii="Calibri" w:hAnsi="Calibri" w:cs="Calibri"/>
          <w:szCs w:val="24"/>
        </w:rPr>
        <w:t>,</w:t>
      </w:r>
      <w:r w:rsidRPr="000B4AF0">
        <w:rPr>
          <w:rFonts w:ascii="Calibri" w:hAnsi="Calibri" w:cs="Calibri"/>
          <w:szCs w:val="24"/>
        </w:rPr>
        <w:t xml:space="preserve"> estabelece as hipóteses de iniciativa privativa:</w:t>
      </w:r>
    </w:p>
    <w:p w:rsidR="00230290" w:rsidRPr="000B4AF0" w:rsidP="009C607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230290" w:rsidRPr="000B4AF0" w:rsidP="009C607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[...]</w:t>
      </w:r>
    </w:p>
    <w:p w:rsidR="00230290" w:rsidRPr="000B4AF0" w:rsidP="009C607C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230290" w:rsidRPr="000B4AF0" w:rsidP="009C607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0B4AF0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230290" w:rsidRPr="000B4AF0" w:rsidP="009C607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0B4AF0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230290" w:rsidRPr="000B4AF0" w:rsidP="009C607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0B4AF0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230290" w:rsidRPr="000B4AF0" w:rsidP="009C607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0B4AF0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230290" w:rsidRPr="000B4AF0" w:rsidP="009C607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230290" w:rsidRPr="000B4AF0" w:rsidP="009C607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230290" w:rsidRPr="000B4AF0" w:rsidP="00230290">
      <w:pPr>
        <w:pStyle w:val="item"/>
        <w:spacing w:before="0" w:beforeAutospacing="0" w:after="120" w:afterAutospacing="0" w:line="300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230290" w:rsidRPr="000B4AF0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>Do mesmo modo, a Lei Orgânica do Município de Valinhos no artigo 48 estabelece as matérias de deflagração exclusiva pelo Prefeito Municipal:</w:t>
      </w:r>
    </w:p>
    <w:p w:rsidR="00230290" w:rsidRPr="000B4AF0" w:rsidP="009C607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230290" w:rsidRPr="000B4AF0" w:rsidP="009C607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230290" w:rsidRPr="000B4AF0" w:rsidP="009C607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230290" w:rsidRPr="000B4AF0" w:rsidP="009C607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B13A6C" w:rsidRPr="000B4AF0" w:rsidP="009C607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B13A6C" w:rsidRPr="000B4AF0" w:rsidP="00B13A6C">
      <w:pPr>
        <w:spacing w:after="40"/>
        <w:ind w:left="2835"/>
        <w:jc w:val="both"/>
        <w:rPr>
          <w:rFonts w:ascii="Calibri" w:hAnsi="Calibri" w:cs="Calibri"/>
          <w:i/>
          <w:sz w:val="22"/>
          <w:szCs w:val="22"/>
        </w:rPr>
      </w:pPr>
    </w:p>
    <w:p w:rsidR="003774B8" w:rsidRPr="000B4AF0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>Dess</w:t>
      </w:r>
      <w:r w:rsidRPr="000B4AF0" w:rsidR="00230290">
        <w:rPr>
          <w:rFonts w:ascii="Calibri" w:hAnsi="Calibri" w:cs="Calibri"/>
          <w:szCs w:val="24"/>
        </w:rPr>
        <w:t xml:space="preserve">e modo, a princípio, no que tange à competência, a Constituição vigente não contém </w:t>
      </w:r>
      <w:r w:rsidRPr="000B4AF0" w:rsidR="00A02EF7">
        <w:rPr>
          <w:rFonts w:ascii="Calibri" w:hAnsi="Calibri" w:cs="Calibri"/>
          <w:szCs w:val="24"/>
        </w:rPr>
        <w:t>óbice ao</w:t>
      </w:r>
      <w:r w:rsidRPr="000B4AF0" w:rsidR="00230290">
        <w:rPr>
          <w:rFonts w:ascii="Calibri" w:hAnsi="Calibri" w:cs="Calibri"/>
          <w:szCs w:val="24"/>
        </w:rPr>
        <w:t xml:space="preserve"> Poder Legislativo </w:t>
      </w:r>
      <w:r w:rsidRPr="000B4AF0" w:rsidR="00A02EF7">
        <w:rPr>
          <w:rFonts w:ascii="Calibri" w:hAnsi="Calibri" w:cs="Calibri"/>
          <w:szCs w:val="24"/>
        </w:rPr>
        <w:t>para</w:t>
      </w:r>
      <w:r w:rsidRPr="000B4AF0" w:rsidR="00D13192">
        <w:rPr>
          <w:rFonts w:ascii="Calibri" w:hAnsi="Calibri" w:cs="Calibri"/>
          <w:szCs w:val="24"/>
        </w:rPr>
        <w:t xml:space="preserve"> </w:t>
      </w:r>
      <w:r w:rsidRPr="000B4AF0" w:rsidR="0007139A">
        <w:rPr>
          <w:rFonts w:ascii="Calibri" w:hAnsi="Calibri" w:cs="Calibri"/>
          <w:szCs w:val="24"/>
        </w:rPr>
        <w:t>legislar sobre a matéria.</w:t>
      </w:r>
    </w:p>
    <w:p w:rsidR="00230290" w:rsidRPr="000B4AF0" w:rsidP="00DF5B72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0B4AF0">
        <w:rPr>
          <w:rFonts w:asciiTheme="minorHAnsi" w:hAnsiTheme="minorHAnsi" w:cs="Calibri"/>
        </w:rPr>
        <w:t>Aliás, acerca dos limites da competência legislativa municipal dos membros do Poder Legislativo destacamos</w:t>
      </w:r>
      <w:r w:rsidRPr="000B4AF0">
        <w:rPr>
          <w:rFonts w:asciiTheme="minorHAnsi" w:hAnsiTheme="minorHAnsi" w:cs="Calibri"/>
          <w:b/>
        </w:rPr>
        <w:t xml:space="preserve"> </w:t>
      </w:r>
      <w:r w:rsidRPr="000B4AF0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Legislativo desta esfera fe</w:t>
      </w:r>
      <w:r w:rsidRPr="000B4AF0" w:rsidR="00DF5B72">
        <w:rPr>
          <w:rFonts w:asciiTheme="minorHAnsi" w:hAnsiTheme="minorHAnsi" w:cs="Calibri"/>
          <w:u w:val="single"/>
        </w:rPr>
        <w:t>derativa</w:t>
      </w:r>
      <w:r w:rsidRPr="000B4AF0" w:rsidR="00DF5B72">
        <w:rPr>
          <w:rFonts w:asciiTheme="minorHAnsi" w:hAnsiTheme="minorHAnsi" w:cs="Calibri"/>
        </w:rPr>
        <w:t>, t</w:t>
      </w:r>
      <w:r w:rsidRPr="000B4AF0">
        <w:rPr>
          <w:rFonts w:asciiTheme="minorHAnsi" w:hAnsiTheme="minorHAnsi" w:cs="Calibri"/>
        </w:rPr>
        <w:t xml:space="preserve">rata-se do </w:t>
      </w:r>
      <w:r w:rsidRPr="000B4AF0">
        <w:rPr>
          <w:rFonts w:asciiTheme="minorHAnsi" w:hAnsiTheme="minorHAnsi" w:cs="Calibri"/>
          <w:b/>
        </w:rPr>
        <w:t>Tema nº 917 Repercussão geral (Paradigma ARE 878911)</w:t>
      </w:r>
      <w:r w:rsidRPr="000B4AF0">
        <w:rPr>
          <w:rFonts w:asciiTheme="minorHAnsi" w:hAnsiTheme="minorHAnsi" w:cs="Calibri"/>
        </w:rPr>
        <w:t xml:space="preserve"> que recebeu a seguinte redação:</w:t>
      </w:r>
    </w:p>
    <w:p w:rsidR="00230290" w:rsidRPr="000B4AF0" w:rsidP="009C607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230290" w:rsidRPr="000B4AF0" w:rsidP="009C607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0B4A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230290" w:rsidRPr="000B4AF0" w:rsidP="00230290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B4AF0">
        <w:rPr>
          <w:rFonts w:asciiTheme="minorHAnsi" w:hAnsiTheme="minorHAnsi" w:cstheme="minorHAnsi"/>
          <w:color w:val="auto"/>
        </w:rPr>
        <w:t xml:space="preserve">Assim, consoante entendimento da Suprema Corte (Tema nº917 Repercussão Geral) a iniciativa dos vereadores </w:t>
      </w:r>
      <w:r w:rsidRPr="000B4AF0">
        <w:rPr>
          <w:rFonts w:asciiTheme="minorHAnsi" w:hAnsiTheme="minorHAnsi" w:cstheme="minorHAnsi"/>
          <w:color w:val="auto"/>
        </w:rPr>
        <w:t>é</w:t>
      </w:r>
      <w:r w:rsidRPr="000B4AF0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8A2A1B" w:rsidRPr="000B4AF0" w:rsidP="008A2A1B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B4AF0">
        <w:rPr>
          <w:rFonts w:asciiTheme="minorHAnsi" w:hAnsiTheme="minorHAnsi" w:cstheme="minorHAnsi"/>
          <w:color w:val="auto"/>
        </w:rPr>
        <w:t xml:space="preserve">Destarte, infere-se que o projeto em análise não viola as regras de iniciativa, porquanto </w:t>
      </w:r>
      <w:r w:rsidRPr="009C607C">
        <w:rPr>
          <w:rFonts w:asciiTheme="minorHAnsi" w:hAnsiTheme="minorHAnsi" w:cstheme="minorHAnsi"/>
          <w:color w:val="auto"/>
          <w:u w:val="single"/>
        </w:rPr>
        <w:t>não</w:t>
      </w:r>
      <w:r w:rsidRPr="000B4AF0">
        <w:rPr>
          <w:rFonts w:asciiTheme="minorHAnsi" w:hAnsiTheme="minorHAnsi" w:cstheme="minorHAnsi"/>
          <w:color w:val="auto"/>
        </w:rPr>
        <w:t xml:space="preserve"> se trata de matéria de competência privativa do Chefe do Poder Executivo.</w:t>
      </w:r>
    </w:p>
    <w:p w:rsidR="00230290" w:rsidRPr="000B4AF0" w:rsidP="00230290">
      <w:pPr>
        <w:spacing w:before="240" w:after="240" w:line="360" w:lineRule="auto"/>
        <w:ind w:firstLine="1701"/>
        <w:jc w:val="both"/>
        <w:rPr>
          <w:rFonts w:ascii="Calibri" w:hAnsi="Calibri" w:cs="Calibri"/>
          <w:bCs/>
          <w:szCs w:val="24"/>
        </w:rPr>
      </w:pPr>
      <w:r w:rsidRPr="000B4AF0">
        <w:rPr>
          <w:rFonts w:ascii="Calibri" w:hAnsi="Calibri" w:cs="Calibri"/>
          <w:bCs/>
          <w:szCs w:val="24"/>
        </w:rPr>
        <w:t>Nesse mesmo sentido o entendimento do E. Tribunal de Justiça de São Paulo:</w:t>
      </w:r>
    </w:p>
    <w:p w:rsidR="009C607C" w:rsidP="009C607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ARTIGO 2º DA LEI Nº 4.594, DE 1º DE JULHO DE 2022, DO MUNICÍPIO DE MIRASSOL/SP, QUE "</w:t>
      </w:r>
      <w:r w:rsidRPr="00304CD1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INSTITUI O MÊS 'MAIO LARANJA' SOBRE A IMPORTÂNCIA DA CONSCIENTIZAÇÃO, PREVENÇÃO, ORIENTAÇÃO E COMBATE AO ABUSO E EXPLORAÇÃO SEXUAL DE CRIANÇA E ADOLESCENTE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 –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INICIATIVA ORIUNDA DO PODER LEGISLATIVO LOCAL – VIABILIDADE QUANTO AO TEMA – INCLUSÃO DE DATA COMEMORATIVA NO CALENDÁRIO OFICIAL DO MUNICÍPIO À LUZ DE INTERESSE LOCAL – TESE FIXADA EM REPERCUSSÃO GERAL NO ÂMBITO DO C. STF – TEMA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 917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– ARE 878.911/RJ – DISPOSITIVO QUE NÃO IMPÕE DIRETAMENTE FORMA DE EXECUÇÃO DO PROGRAMA EM QUESTÃO, TAMPOUCO DELIBERA SOBRE ATRIBUIÇÕES OU ESTRUTURA DOS ÓRGÃOS DO EXECUTIVO – VÍCIO DE INICIATIVA E ALEGADA OFENSA AO PRINCÍPIO DA SEPARAÇÃO DOS PODERES NÃO CARACTERIZADOS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9C607C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– PEDIDO IMPROCEDENTE.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 </w:t>
      </w:r>
    </w:p>
    <w:p w:rsidR="009C607C" w:rsidP="009C607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2180713-67.2022.8.26.0000; Relator (a): Francisco Casconi; Órgão Julgador: Órgão Especial; Tribunal de Justiça de São Paulo - N/A; Data do Julgamento: 15/02/2023; Data de Registro: 17/02/2023)</w:t>
      </w:r>
    </w:p>
    <w:p w:rsidR="002A4F02" w:rsidRPr="00304CD1" w:rsidP="009C607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</w:p>
    <w:p w:rsidR="009C607C" w:rsidRPr="00E3552B" w:rsidP="009C607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9C607C" w:rsidRPr="009C607C" w:rsidP="009C607C">
      <w:pPr>
        <w:pStyle w:val="Default"/>
        <w:pBdr>
          <w:bottom w:val="single" w:sz="12" w:space="1" w:color="auto"/>
        </w:pBdr>
        <w:spacing w:before="240"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Lei nº 5.507, de 15 de agosto de 2019, do Município de Mauá, que "</w:t>
      </w:r>
      <w:r w:rsidRPr="00E3552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institui a 'Semana Municipal de Conscientização e Prevenção à Anorexia Nervosa e Bulimia Nervosa', a qual passará a integrar o Calendário Oficial de Eventos do Município de Mauá, e dá outras providências"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–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 – Ausência de inconstitucionalidade.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improcedente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 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br/>
      </w:r>
      <w:r w:rsidRPr="009C607C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</w:t>
      </w:r>
      <w:r w:rsidRPr="009C607C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TJSP;  Direta de Inconstitucionalidade 2103255-42.2020.8.26.0000; Relator (a): João Carlos </w:t>
      </w:r>
      <w:r w:rsidRPr="009C607C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Saletti</w:t>
      </w:r>
      <w:r w:rsidRPr="009C607C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9C607C" w:rsidRPr="00E3552B" w:rsidP="009C607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536F9C" w:rsidRPr="000B4AF0" w:rsidP="0004095E">
      <w:pPr>
        <w:spacing w:after="120" w:line="360" w:lineRule="auto"/>
        <w:ind w:firstLine="1701"/>
        <w:jc w:val="both"/>
        <w:rPr>
          <w:rFonts w:asciiTheme="minorHAnsi" w:hAnsiTheme="minorHAnsi" w:cstheme="minorHAnsi"/>
          <w:i/>
          <w:iCs/>
        </w:rPr>
      </w:pPr>
      <w:r w:rsidRPr="000B4AF0">
        <w:rPr>
          <w:rFonts w:ascii="Calibri" w:hAnsi="Calibri" w:cs="Calibri"/>
        </w:rPr>
        <w:t>Todavia,</w:t>
      </w:r>
      <w:r w:rsidRPr="000B4AF0">
        <w:rPr>
          <w:rFonts w:ascii="Calibri" w:hAnsi="Calibri" w:cs="Calibri"/>
          <w:b/>
        </w:rPr>
        <w:t xml:space="preserve"> </w:t>
      </w:r>
      <w:r w:rsidRPr="000B4AF0">
        <w:rPr>
          <w:rFonts w:ascii="Calibri" w:hAnsi="Calibri" w:cs="Calibri"/>
          <w:i/>
        </w:rPr>
        <w:t xml:space="preserve">data máxima vênia, </w:t>
      </w:r>
      <w:r w:rsidRPr="000B4AF0">
        <w:rPr>
          <w:rFonts w:ascii="Calibri" w:hAnsi="Calibri" w:cs="Calibri"/>
          <w:b/>
        </w:rPr>
        <w:t>sugerimos a supressão</w:t>
      </w:r>
      <w:r w:rsidRPr="000B4AF0" w:rsidR="00991E39">
        <w:rPr>
          <w:rFonts w:ascii="Calibri" w:hAnsi="Calibri" w:cs="Calibri"/>
          <w:b/>
        </w:rPr>
        <w:t xml:space="preserve"> do</w:t>
      </w:r>
      <w:r w:rsidR="009C607C">
        <w:rPr>
          <w:rFonts w:ascii="Calibri" w:hAnsi="Calibri" w:cs="Calibri"/>
          <w:b/>
        </w:rPr>
        <w:t>s</w:t>
      </w:r>
      <w:r w:rsidRPr="000B4AF0" w:rsidR="00991E39">
        <w:rPr>
          <w:rFonts w:ascii="Calibri" w:hAnsi="Calibri" w:cs="Calibri"/>
          <w:b/>
        </w:rPr>
        <w:t xml:space="preserve"> </w:t>
      </w:r>
      <w:r w:rsidRPr="000B4AF0">
        <w:rPr>
          <w:rFonts w:ascii="Calibri" w:hAnsi="Calibri" w:cs="Calibri"/>
          <w:b/>
        </w:rPr>
        <w:t xml:space="preserve">art. </w:t>
      </w:r>
      <w:r w:rsidR="009C607C">
        <w:rPr>
          <w:rFonts w:ascii="Calibri" w:hAnsi="Calibri" w:cs="Calibri"/>
          <w:b/>
        </w:rPr>
        <w:t>4</w:t>
      </w:r>
      <w:r w:rsidRPr="000B4AF0">
        <w:rPr>
          <w:rFonts w:ascii="Calibri" w:hAnsi="Calibri" w:cs="Calibri"/>
          <w:b/>
        </w:rPr>
        <w:t>º</w:t>
      </w:r>
      <w:r w:rsidR="009C607C">
        <w:rPr>
          <w:rFonts w:ascii="Calibri" w:hAnsi="Calibri" w:cs="Calibri"/>
          <w:b/>
        </w:rPr>
        <w:t xml:space="preserve"> e 5</w:t>
      </w:r>
      <w:r w:rsidR="002A4F02">
        <w:rPr>
          <w:rFonts w:ascii="Calibri" w:hAnsi="Calibri" w:cs="Calibri"/>
          <w:b/>
        </w:rPr>
        <w:t>º</w:t>
      </w:r>
      <w:r w:rsidRPr="000B4AF0">
        <w:rPr>
          <w:rFonts w:ascii="Calibri" w:hAnsi="Calibri" w:cs="Calibri"/>
          <w:b/>
        </w:rPr>
        <w:t xml:space="preserve"> do projeto</w:t>
      </w:r>
      <w:r w:rsidRPr="000B4AF0" w:rsidR="007B1B19">
        <w:rPr>
          <w:rFonts w:ascii="Calibri" w:hAnsi="Calibri" w:cs="Calibri"/>
        </w:rPr>
        <w:t xml:space="preserve">, </w:t>
      </w:r>
      <w:r w:rsidR="00407B26">
        <w:rPr>
          <w:rFonts w:ascii="Calibri" w:hAnsi="Calibri" w:cs="Calibri"/>
        </w:rPr>
        <w:t>porquanto</w:t>
      </w:r>
      <w:r w:rsidRPr="000B4AF0">
        <w:rPr>
          <w:rFonts w:ascii="Calibri" w:hAnsi="Calibri" w:cs="Calibri"/>
        </w:rPr>
        <w:t xml:space="preserve"> ao dispor sobre </w:t>
      </w:r>
      <w:r w:rsidR="009C607C">
        <w:rPr>
          <w:rFonts w:ascii="Calibri" w:hAnsi="Calibri" w:cs="Calibri"/>
        </w:rPr>
        <w:t>o agendamento na Prefeitur</w:t>
      </w:r>
      <w:r w:rsidR="002A4F02">
        <w:rPr>
          <w:rFonts w:ascii="Calibri" w:hAnsi="Calibri" w:cs="Calibri"/>
        </w:rPr>
        <w:t>a para</w:t>
      </w:r>
      <w:r w:rsidR="009C607C">
        <w:rPr>
          <w:rFonts w:ascii="Calibri" w:hAnsi="Calibri" w:cs="Calibri"/>
        </w:rPr>
        <w:t xml:space="preserve"> utilização de praças e logradouros, bem como sobre chamamento público de entidades interessadas para a regulamentação da lei</w:t>
      </w:r>
      <w:r w:rsidR="00A97F45">
        <w:rPr>
          <w:rFonts w:ascii="Calibri" w:hAnsi="Calibri" w:cs="Calibri"/>
        </w:rPr>
        <w:t xml:space="preserve"> no prazo de 60 (sessenta) dias</w:t>
      </w:r>
      <w:r w:rsidR="00900711">
        <w:rPr>
          <w:rFonts w:ascii="Calibri" w:hAnsi="Calibri" w:cs="Calibri"/>
        </w:rPr>
        <w:t>,</w:t>
      </w:r>
      <w:r w:rsidR="009C607C">
        <w:rPr>
          <w:rFonts w:ascii="Calibri" w:hAnsi="Calibri" w:cs="Calibri"/>
        </w:rPr>
        <w:t xml:space="preserve"> </w:t>
      </w:r>
      <w:r w:rsidRPr="000B4AF0">
        <w:rPr>
          <w:rFonts w:asciiTheme="minorHAnsi" w:hAnsiTheme="minorHAnsi" w:cstheme="minorHAnsi"/>
          <w:szCs w:val="24"/>
          <w:shd w:val="clear" w:color="auto" w:fill="FFFFFF"/>
        </w:rPr>
        <w:t>afronta o princípio da separação dos poderes e da reserva de administração dispostos nos</w:t>
      </w:r>
      <w:r w:rsidRPr="000B4AF0" w:rsidR="004F44D9">
        <w:rPr>
          <w:rFonts w:asciiTheme="minorHAnsi" w:hAnsiTheme="minorHAnsi" w:cstheme="minorHAnsi"/>
          <w:szCs w:val="24"/>
          <w:shd w:val="clear" w:color="auto" w:fill="FFFFFF"/>
        </w:rPr>
        <w:t xml:space="preserve"> artigos 5º e</w:t>
      </w:r>
      <w:r w:rsidRPr="000B4AF0">
        <w:rPr>
          <w:rFonts w:asciiTheme="minorHAnsi" w:hAnsiTheme="minorHAnsi" w:cstheme="minorHAnsi"/>
          <w:szCs w:val="24"/>
          <w:shd w:val="clear" w:color="auto" w:fill="FFFFFF"/>
        </w:rPr>
        <w:t xml:space="preserve"> 47, incisos </w:t>
      </w:r>
      <w:r w:rsidRPr="000B4AF0">
        <w:rPr>
          <w:rFonts w:asciiTheme="minorHAnsi" w:hAnsiTheme="minorHAnsi" w:cstheme="minorHAnsi"/>
        </w:rPr>
        <w:t xml:space="preserve">II e XIV, da Constituição Estadual, que constituem dispositivos de observância obrigatória aos Municípios, in </w:t>
      </w:r>
      <w:r w:rsidRPr="000B4AF0">
        <w:rPr>
          <w:rFonts w:asciiTheme="minorHAnsi" w:hAnsiTheme="minorHAnsi" w:cstheme="minorHAnsi"/>
          <w:i/>
          <w:iCs/>
        </w:rPr>
        <w:t>verbis:</w:t>
      </w:r>
    </w:p>
    <w:p w:rsidR="005F46C8" w:rsidRPr="000B4AF0" w:rsidP="009C607C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“Art. 5º - São Poderes do Estado, independentes e harmônicos entre si, o Legislativo, o Executivo e o Judiciário.”</w:t>
      </w:r>
    </w:p>
    <w:p w:rsidR="005F46C8" w:rsidRPr="000B4AF0" w:rsidP="009C607C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</w:p>
    <w:p w:rsidR="005F46C8" w:rsidRPr="000B4AF0" w:rsidP="009C607C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 xml:space="preserve">“Art. 47 - Compete privativamente ao Governador, além de outras atribuições previstas nesta Constituição: </w:t>
      </w:r>
    </w:p>
    <w:p w:rsidR="005F46C8" w:rsidRPr="000B4AF0" w:rsidP="009C607C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 xml:space="preserve"> [...]</w:t>
      </w:r>
    </w:p>
    <w:p w:rsidR="005F46C8" w:rsidRPr="000B4AF0" w:rsidP="009C607C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II - exercer, com o auxílio dos Secretários de Estado, a direção superior da administração estadual;</w:t>
      </w:r>
    </w:p>
    <w:p w:rsidR="005F46C8" w:rsidRPr="000B4AF0" w:rsidP="009C607C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[...]</w:t>
      </w:r>
    </w:p>
    <w:p w:rsidR="005F46C8" w:rsidRPr="000B4AF0" w:rsidP="009C607C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XIV - praticar os demais atos de administração, nos limites da competência do Executivo;”</w:t>
      </w: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;</w:t>
      </w:r>
    </w:p>
    <w:p w:rsidR="005F46C8" w:rsidRPr="000B4AF0" w:rsidP="005F46C8">
      <w:pPr>
        <w:autoSpaceDE w:val="0"/>
        <w:autoSpaceDN w:val="0"/>
        <w:adjustRightInd w:val="0"/>
        <w:spacing w:after="80"/>
        <w:ind w:left="2835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</w:p>
    <w:p w:rsidR="005F46C8" w:rsidRPr="000B4AF0" w:rsidP="005F46C8">
      <w:pPr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B4AF0">
        <w:rPr>
          <w:rFonts w:asciiTheme="minorHAnsi" w:hAnsiTheme="minorHAnsi" w:cstheme="minorHAnsi"/>
          <w:szCs w:val="24"/>
        </w:rPr>
        <w:t>Nessa senda segue entendimento doutrinário</w:t>
      </w:r>
      <w:r>
        <w:rPr>
          <w:rFonts w:asciiTheme="minorHAnsi" w:hAnsiTheme="minorHAnsi" w:cstheme="minorHAnsi"/>
          <w:szCs w:val="24"/>
          <w:vertAlign w:val="superscript"/>
        </w:rPr>
        <w:footnoteReference w:id="3"/>
      </w:r>
      <w:r w:rsidRPr="000B4AF0">
        <w:rPr>
          <w:rFonts w:asciiTheme="minorHAnsi" w:hAnsiTheme="minorHAnsi" w:cstheme="minorHAnsi"/>
          <w:szCs w:val="24"/>
        </w:rPr>
        <w:t>:</w:t>
      </w:r>
    </w:p>
    <w:p w:rsidR="005F46C8" w:rsidRPr="000B4AF0" w:rsidP="002A4F02">
      <w:pPr>
        <w:spacing w:after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B4AF0">
        <w:rPr>
          <w:rFonts w:asciiTheme="minorHAnsi" w:hAnsiTheme="minorHAnsi" w:cstheme="minorHAnsi"/>
          <w:b/>
          <w:i/>
          <w:sz w:val="22"/>
          <w:szCs w:val="22"/>
        </w:rPr>
        <w:t>A liberdade de conformação do legislador encontra limites no texto constitucional</w:t>
      </w:r>
      <w:r w:rsidRPr="000B4AF0">
        <w:rPr>
          <w:rFonts w:asciiTheme="minorHAnsi" w:hAnsiTheme="minorHAnsi" w:cstheme="minorHAnsi"/>
          <w:i/>
          <w:sz w:val="22"/>
          <w:szCs w:val="22"/>
        </w:rPr>
        <w:t>. Entre esses limites, costuma-se apontar, no Direito Comparado, a existência da denominada “</w:t>
      </w:r>
      <w:r w:rsidRPr="000B4AF0">
        <w:rPr>
          <w:rFonts w:asciiTheme="minorHAnsi" w:hAnsiTheme="minorHAnsi" w:cstheme="minorHAnsi"/>
          <w:b/>
          <w:i/>
          <w:sz w:val="22"/>
          <w:szCs w:val="22"/>
        </w:rPr>
        <w:t xml:space="preserve">reserva de administração” como um verdadeiro “núcleo funcional da administração ‘resistente’ à lei”. Daí a Constituição, em situações específicas, determinar que o tratamento de determinadas matérias </w:t>
      </w:r>
      <w:r w:rsidRPr="000B4AF0">
        <w:rPr>
          <w:rFonts w:asciiTheme="minorHAnsi" w:hAnsiTheme="minorHAnsi" w:cstheme="minorHAnsi"/>
          <w:b/>
          <w:i/>
          <w:sz w:val="22"/>
          <w:szCs w:val="22"/>
        </w:rPr>
        <w:t>fica</w:t>
      </w:r>
      <w:r w:rsidRPr="000B4AF0">
        <w:rPr>
          <w:rFonts w:asciiTheme="minorHAnsi" w:hAnsiTheme="minorHAnsi" w:cstheme="minorHAnsi"/>
          <w:b/>
          <w:i/>
          <w:sz w:val="22"/>
          <w:szCs w:val="22"/>
        </w:rPr>
        <w:t xml:space="preserve"> adstrito ao âmbito exclusivo da Administração Pública, não sendo lícita a ingerência do parlamento.</w:t>
      </w:r>
      <w:r w:rsidRPr="000B4AF0">
        <w:rPr>
          <w:rFonts w:ascii="MS Gothic" w:eastAsia="MS Gothic" w:hAnsi="MS Gothic" w:cs="MS Gothic" w:hint="eastAsia"/>
          <w:b/>
          <w:i/>
          <w:sz w:val="22"/>
          <w:szCs w:val="22"/>
        </w:rPr>
        <w:t> </w:t>
      </w:r>
    </w:p>
    <w:p w:rsidR="005F46C8" w:rsidRPr="000B4AF0" w:rsidP="002A4F02">
      <w:pPr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AF0">
        <w:rPr>
          <w:rFonts w:asciiTheme="minorHAnsi" w:hAnsiTheme="minorHAnsi" w:cstheme="minorHAnsi"/>
          <w:i/>
          <w:sz w:val="22"/>
          <w:szCs w:val="22"/>
        </w:rPr>
        <w:t xml:space="preserve">A reserva de administração pode ser dividida em duas </w:t>
      </w:r>
      <w:r w:rsidRPr="000B4AF0">
        <w:rPr>
          <w:rFonts w:asciiTheme="minorHAnsi" w:hAnsiTheme="minorHAnsi" w:cstheme="minorHAnsi"/>
          <w:i/>
          <w:sz w:val="22"/>
          <w:szCs w:val="22"/>
        </w:rPr>
        <w:t>categorias:</w:t>
      </w:r>
      <w:r w:rsidRPr="000B4AF0">
        <w:rPr>
          <w:rFonts w:ascii="MS Gothic" w:eastAsia="MS Gothic" w:hAnsi="MS Gothic" w:cs="MS Gothic" w:hint="eastAsia"/>
          <w:i/>
          <w:sz w:val="22"/>
          <w:szCs w:val="22"/>
        </w:rPr>
        <w:t> </w:t>
      </w:r>
    </w:p>
    <w:p w:rsidR="005F46C8" w:rsidRPr="000B4AF0" w:rsidP="002A4F02">
      <w:pPr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AF0">
        <w:rPr>
          <w:rFonts w:asciiTheme="minorHAnsi" w:hAnsiTheme="minorHAnsi" w:cstheme="minorHAnsi"/>
          <w:i/>
          <w:sz w:val="22"/>
          <w:szCs w:val="22"/>
        </w:rPr>
        <w:t xml:space="preserve">a) reserva geral de administração: fundamenta-se no </w:t>
      </w:r>
      <w:r w:rsidRPr="000B4AF0">
        <w:rPr>
          <w:rFonts w:asciiTheme="minorHAnsi" w:hAnsiTheme="minorHAnsi" w:cstheme="minorHAnsi"/>
          <w:b/>
          <w:i/>
          <w:sz w:val="22"/>
          <w:szCs w:val="22"/>
        </w:rPr>
        <w:t>princípio da separação de poderes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 e significa que a atuação de cada órgão estatal não pode invadir ou cercear o “núcleo essencial” da competência dos outros órgãos, cabendo exclusivamente à Administração executar as leis, especialmente no exercício da discricionariedade administrativa; e</w:t>
      </w:r>
      <w:r w:rsidRPr="000B4AF0">
        <w:rPr>
          <w:rFonts w:ascii="MS Gothic" w:eastAsia="MS Gothic" w:hAnsi="MS Gothic" w:cs="MS Gothic" w:hint="eastAsia"/>
          <w:i/>
          <w:sz w:val="22"/>
          <w:szCs w:val="22"/>
        </w:rPr>
        <w:t> </w:t>
      </w:r>
    </w:p>
    <w:p w:rsidR="005F46C8" w:rsidRPr="000B4AF0" w:rsidP="002A4F02">
      <w:pPr>
        <w:spacing w:after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B4AF0">
        <w:rPr>
          <w:rFonts w:asciiTheme="minorHAnsi" w:hAnsiTheme="minorHAnsi" w:cstheme="minorHAnsi"/>
          <w:i/>
          <w:sz w:val="22"/>
          <w:szCs w:val="22"/>
        </w:rPr>
        <w:t xml:space="preserve">b) reserva específica de administração: </w:t>
      </w:r>
      <w:r w:rsidRPr="000B4AF0">
        <w:rPr>
          <w:rFonts w:asciiTheme="minorHAnsi" w:hAnsiTheme="minorHAnsi" w:cstheme="minorHAnsi"/>
          <w:b/>
          <w:i/>
          <w:sz w:val="22"/>
          <w:szCs w:val="22"/>
        </w:rPr>
        <w:t xml:space="preserve">quando a Constituição destaca determinadas matérias, submetendo-as à competência exclusiva do Poder </w:t>
      </w:r>
      <w:r w:rsidRPr="000B4AF0">
        <w:rPr>
          <w:rFonts w:asciiTheme="minorHAnsi" w:hAnsiTheme="minorHAnsi" w:cstheme="minorHAnsi"/>
          <w:b/>
          <w:i/>
          <w:sz w:val="22"/>
          <w:szCs w:val="22"/>
        </w:rPr>
        <w:t>Executivo.</w:t>
      </w:r>
      <w:r w:rsidRPr="000B4AF0">
        <w:rPr>
          <w:rFonts w:ascii="MS Gothic" w:eastAsia="MS Gothic" w:hAnsi="MS Gothic" w:cs="MS Gothic" w:hint="eastAsia"/>
          <w:b/>
          <w:i/>
          <w:sz w:val="22"/>
          <w:szCs w:val="22"/>
        </w:rPr>
        <w:t> </w:t>
      </w:r>
    </w:p>
    <w:p w:rsidR="005F46C8" w:rsidRPr="000B4AF0" w:rsidP="002A4F02">
      <w:pPr>
        <w:spacing w:after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07B26">
        <w:rPr>
          <w:rFonts w:asciiTheme="minorHAnsi" w:hAnsiTheme="minorHAnsi" w:cstheme="minorHAnsi"/>
          <w:b/>
          <w:i/>
          <w:sz w:val="22"/>
          <w:szCs w:val="22"/>
        </w:rPr>
        <w:t>No Brasil, o Supremo Tribunal Federal já reconheceu a existência de um verdadeiro princípio constitucional da reserva de administração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, com fulcro no princípio da separação de poderes, </w:t>
      </w:r>
      <w:r w:rsidRPr="000B4AF0">
        <w:rPr>
          <w:rFonts w:asciiTheme="minorHAnsi" w:hAnsiTheme="minorHAnsi" w:cstheme="minorHAnsi"/>
          <w:b/>
          <w:i/>
          <w:sz w:val="22"/>
          <w:szCs w:val="22"/>
        </w:rPr>
        <w:t xml:space="preserve">cujo conteúdo impediria “a ingerência normativa do Poder Legislativo em matérias sujeitas à exclusiva </w:t>
      </w:r>
      <w:bookmarkStart w:id="4" w:name="_GoBack"/>
      <w:r w:rsidRPr="00407B26">
        <w:rPr>
          <w:rFonts w:asciiTheme="minorHAnsi" w:hAnsiTheme="minorHAnsi" w:cstheme="minorHAnsi"/>
          <w:b/>
          <w:i/>
          <w:sz w:val="22"/>
          <w:szCs w:val="22"/>
          <w:u w:val="single"/>
        </w:rPr>
        <w:t>competência administrativa do Poder Executivo”</w:t>
      </w:r>
      <w:bookmarkEnd w:id="4"/>
      <w:r w:rsidRPr="000B4AF0">
        <w:rPr>
          <w:rFonts w:asciiTheme="minorHAnsi" w:hAnsiTheme="minorHAnsi" w:cstheme="minorHAnsi"/>
          <w:b/>
          <w:i/>
          <w:sz w:val="22"/>
          <w:szCs w:val="22"/>
        </w:rPr>
        <w:t>.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 No caso levado ao conhecimento e julgamento da Suprema Corte, entendeu-se pela inconstitucionalidade da declaração pelo Legislativo da nulidade de concurso público realizado pelo Executivo por suposta violação às normas legais, pois uma declaração dessa natureza revelaria o exercício de autotutela que só poderia ser 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exercida com exclusividade por quem realizou o certame (Enunciado 473 da súmula predominante do STF).” </w:t>
      </w:r>
      <w:r w:rsidRPr="000B4AF0">
        <w:rPr>
          <w:rFonts w:asciiTheme="minorHAnsi" w:hAnsiTheme="minorHAnsi" w:cstheme="minorHAnsi"/>
          <w:i/>
          <w:sz w:val="22"/>
          <w:szCs w:val="22"/>
        </w:rPr>
        <w:t>(OLIVEIRA, Rezende, R. C.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 Curso de Direito Administrativo, 6ª edição, p. 267. Grifo nosso.</w:t>
      </w:r>
    </w:p>
    <w:p w:rsidR="005F46C8" w:rsidRPr="000B4AF0" w:rsidP="005F46C8">
      <w:pPr>
        <w:ind w:left="2268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5F46C8" w:rsidRPr="000B4AF0" w:rsidP="005F46C8">
      <w:pPr>
        <w:spacing w:after="120" w:line="360" w:lineRule="auto"/>
        <w:ind w:firstLine="1701"/>
        <w:jc w:val="both"/>
        <w:rPr>
          <w:rFonts w:ascii="Calibri" w:hAnsi="Calibri" w:cs="Calibri"/>
        </w:rPr>
      </w:pPr>
      <w:r w:rsidRPr="000B4AF0">
        <w:rPr>
          <w:rFonts w:asciiTheme="minorHAnsi" w:hAnsiTheme="minorHAnsi" w:cstheme="minorHAnsi"/>
          <w:szCs w:val="24"/>
        </w:rPr>
        <w:t>No mesmo diapasão, colacionamos decisões do E. Tribunal de Justiça do Estado de São Paulo</w:t>
      </w:r>
      <w:r w:rsidRPr="000B4AF0">
        <w:rPr>
          <w:rFonts w:ascii="Calibri" w:hAnsi="Calibri" w:cs="Calibri"/>
        </w:rPr>
        <w:t>:</w:t>
      </w:r>
    </w:p>
    <w:p w:rsidR="009C607C" w:rsidRPr="009C607C" w:rsidP="009C607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b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LEI Nº 14.685, DE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2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DE MAIO DE 2022, DO MUNICÍPIO DE RIBEIRÃO PRETO/SP, QUE </w:t>
      </w:r>
      <w:r w:rsidRPr="002A4F02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"INSTITUI NO DIA 21 DE JANEIRO O DIA MUNICIPAL DE COMBATE À INTOLERÂNCIA A RELIGIÕES DE MATRIZ AFRICANA, E EM 21 DE MARÇO A SEMANA MUNICIPAL DE ELIMINAÇÃO DA DISCRIMINAÇÃO RACIAL E A INTOLERÂNCIA ÀS RELIGIÕES DE MATRIZ AFRICANA EM RIBEIRÃO PRETO E DÁ OUTRAS PROVIDÊNCIAS CONFORME ESPECIFICA – LEI MÃE GILDA</w:t>
      </w:r>
      <w:r w:rsidRPr="002A4F02">
        <w:rPr>
          <w:rFonts w:asciiTheme="minorHAnsi" w:hAnsiTheme="minorHAnsi"/>
          <w:i/>
          <w:sz w:val="22"/>
          <w:szCs w:val="22"/>
          <w:shd w:val="clear" w:color="auto" w:fill="FFFFFF"/>
        </w:rPr>
        <w:t>"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</w:t>
      </w:r>
      <w:r w:rsidRPr="002A4F02">
        <w:rPr>
          <w:rFonts w:asciiTheme="minorHAnsi" w:hAnsiTheme="minorHAnsi"/>
          <w:i/>
          <w:sz w:val="22"/>
          <w:szCs w:val="22"/>
          <w:shd w:val="clear" w:color="auto" w:fill="FFFFFF"/>
        </w:rPr>
        <w:t>INICIATIVA ORIUNDA DO PODER LEGISLATIVO LOCAL – VIABILIDADE QUANTO AO TEMA – INCLUSÃO DE DATA COMEMORATIVA NO CALENDÁRIO OFICIAL DO MUNICÍPIO À LUZ DE INTERESSE LOCAL – TESE FIXADA EM REPERCUSSÃO GERAL NO ÂMBITO DO C. STF – TEMA NO 917 – ARE 878.911/RJ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RESSALVA QUANTO ÀS EXPRESSÕES "EXECUTIVO" E "E OS CONSELHOS MUNICIPAIS" DO ARTIGO 3º, BEM COMO NAS DISPOSIÇÕES DOS INCISOS I A IV DO ARTIGO 4º, E DOS ARTIGOS 5º E 6º, </w:t>
      </w:r>
      <w:r w:rsidRPr="002A4F02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POR DISCIPLINAREM OBRIGAÇÕES E FORMA DE EXECUÇÃO AO EXECUTIVO E SEUS ÓRGÃOS – MATÉRIA DE RESERVA DE ADMINISTRAÇÃO </w:t>
      </w:r>
      <w:r w:rsidRPr="009C607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– INCONSTITUCIONALIDADE, NO PONTO – VIOLAÇÃO DO PRINCÍPIO DA SEPARAÇÃO DOS PODERES (ARTIGOS 5º, 24, §2º, ITEM 2, 47, INCISOS II, XIV E XIX, ALÍNEA 'A', DA CE) – PEDIDO PROCEDENTE EM PARTE PARA RECONHECER A INCONSTITUCIONALIDADE DAS EXPRESSÕES "EXECUTIVO" E "E OS CONSELHOS MUNICIPAIS" DO ARTIGO 3º, BEM COMO A INCONSTITUCIONALIDADE PARCIAL, SEM REDUÇÃO DE TEXTO, DOS INCISOS I A IV DO ARTIGO 4º, E DOS ARTIGOS 5º E 6º DA NORMA CONTRASTADA, PARA AFASTAR SUA APLICABILIDADE EM RELAÇÃO AO EXECUTIVO E SEUS ÓRGÃOS. </w:t>
      </w:r>
    </w:p>
    <w:p w:rsidR="009C607C" w:rsidP="009C607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Direta de Inconstitucionalidade 2150619-39.2022.8.26.0000; Relator (a): Francisco Casconi; Órgão Julgador: Órgão Especial; Tribunal de Justiça de São Paulo - N/A; Data do Julgamento: 01/03/2023; Data de Registro: 02/03/2023)</w:t>
      </w:r>
    </w:p>
    <w:p w:rsidR="002A4F02" w:rsidRPr="00304CD1" w:rsidP="009C607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2A4F02" w:rsidP="009C607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"AÇÃO DIRETA DE INCONSTITUCIONALIDADE – Lei nº 4.771, de 23-4-2012, do Município de Mauá, que </w:t>
      </w:r>
      <w:r w:rsidRPr="002A4F02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 xml:space="preserve">'Institui, no calendário oficial de eventos do município, a 'Festa do Pentecostes', que se </w:t>
      </w:r>
      <w:r w:rsidRPr="002A4F02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>realizará</w:t>
      </w:r>
      <w:r w:rsidRPr="002A4F02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 xml:space="preserve"> a cada dois anos, no mês de maio, e dá outras providências'</w:t>
      </w:r>
      <w:r w:rsidRPr="00806E4C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.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 – Usurpação de competência. Inocorrência</w:t>
      </w:r>
      <w:r w:rsidRPr="002A4F0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 Norma que institui data comemorativa no calendário oficial do município. Inexistência de conflito entre o Poder Legislativo e o Poder Executivo, no âmbito do Município de Mauá. Lei que não veicula atos de gestão. Competência legislativa comum. Tema de Repercussão Geral nº 917</w:t>
      </w:r>
      <w:r w:rsidRPr="00806E4C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.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II – Criação de despesas. Possibilidade. Somente é vedado ao Poder Legislativo iniciar projeto de lei que acarrete aumento de despesa para o Poder Executivo se a legislação tratar de alguma das matérias constantes do art. 61, § 1º, da CF/88. Tema de Repercussão Geral nº 917. III – Criação de despesas. Eventual ausência de receitas acarreta, no máximo, a inexequibilidade da norma no mesmo exercício em que foi promulgada. </w:t>
      </w:r>
      <w:r w:rsidRPr="009C607C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IV – Fixação de prazo para que o Poder Executivo regulamentar lei. Violação do princípio da separação dos poderes. Direção superior da Administração. Ato da reserva da Administração.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2A4F02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Atuação administrativa amparada por critérios de conveniência e oportunidade. Inconstitucionalidade da expressão 'no prazo de 90 (noventa) dias a contar da data de sua publicação'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prevista no art. 3º da Lei nº 4.771, de 23-4-2012, de Mauá, e incidental da expressão 'no prazo nelas estabelecido, não inferior a trinta nem superior a cento e oitenta dias' constante do inciso III do art. 47 da CE/89. </w:t>
      </w:r>
      <w:r w:rsidRPr="009C607C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procedente em parte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." 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</w:t>
      </w:r>
    </w:p>
    <w:p w:rsidR="009C607C" w:rsidP="009C607C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TJSP;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2097432-24.2019.8.26.0000; Relator (a): Carlos Bueno; Órgão Julgador: Órgão Especial; Tribunal de Justiça de São Paulo - N/A; Data do Julgamento: 21/08/2019; Data de Registro: 23/08/2019)</w:t>
      </w:r>
    </w:p>
    <w:p w:rsidR="002A4F02" w:rsidRPr="00304CD1" w:rsidP="002A4F02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</w:p>
    <w:p w:rsidR="009C607C" w:rsidRPr="002A4F02" w:rsidP="002A4F02">
      <w:pPr>
        <w:spacing w:after="120" w:line="360" w:lineRule="auto"/>
        <w:ind w:left="2268" w:firstLine="1701"/>
        <w:jc w:val="both"/>
        <w:rPr>
          <w:rFonts w:ascii="Calibri" w:hAnsi="Calibri" w:cs="Calibri"/>
          <w:sz w:val="4"/>
          <w:szCs w:val="4"/>
        </w:rPr>
      </w:pPr>
    </w:p>
    <w:p w:rsidR="00951E50" w:rsidP="002A4F02">
      <w:pPr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Lei nº 10.291, de 12 de março de 2020, do Município de Santo André, que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"institui no calendário oficial do município a celebração da campanha 'Julho Verde'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e dá outras providências" –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Lei que, ao instituir aludida data comemorativa, não trata de nenhuma das matérias de iniciativa legislativa exclusiva do Chefe do Poder Executivo, não viola o princípio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da separação de poderes (ao instituir a data comemorativa),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mas invade a esfera da gestão administrativa, ao impor atribuições ao Poder Executivo,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em seu art. 2º, incisos I e II – Artigo 2º, incisos I e II da Lei 10.291/2020 que impõe ao Poder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Executivo a realização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, "durante o mês de julho de cada ano", "nas escolas públicas do Município", de "atividades e debates que terão como objetivo: I – conscientizar as crianças das necessidades de cuidados precoces e dos bons hábitos para evitar o câncer; II – promover diagnósticos e identificar dentre os alunos possíveis casos clínicos" –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Dispositivos que criam e disciplinam obrigações e tarefas para os órgãos do Poder Executivo, atos típicos de gestão administrativa, destinados à sua organização e funcionamento – Ofensa aos princípios da separação de poderes, de iniciativa e da reserva de administração (arts. 5º, caput, §§ 1º e 2º; 24, § 2º, "2"; 47, II, XI, XIV e XIX, "a", da Constituição do Estado, aplicáveis aos Municípios por força do art. 144 da mesma Carta) – Inconstitucionalidade configurada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. AÇÃO DIRETA DE INCONSTITUCIONALIDADE – Alegação de violação do artigo 25 da CE – Improcedência – Ausência de previsão de dotação orçamentária que não implica a existência de vício de inconstitucionalidade, mas apenas a inexequibilidade da lei no exercício orçamentário em que aprovada – Entendimento, pacífico, segundo o qual a falta de especificação da fonte de recursos pode resultar apenas a não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implementação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da norma no mesmo exercício em que posta em vigor, mas desde logo providenciada sua inserção no orçamento do exercício seguinte – Inexistência de inconstitucionalidade nesse ponto.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parcialmente procedente.</w:t>
      </w:r>
    </w:p>
    <w:p w:rsidR="00984F21" w:rsidRPr="000B4AF0" w:rsidP="002A4F02">
      <w:pPr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(TJSP;  Direta de Inconstitucionalidade 2216625-96.2020.8.26.0000; Relator (a): João Carlos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Saletti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; Órgão Julgador: Órgão Especial; Tribunal de Justiça de São Paulo - N/A; Data do Julgamento: 29/09/2021; Data de Registro: 07/10/2021)</w:t>
      </w:r>
    </w:p>
    <w:p w:rsidR="009403D3" w:rsidRPr="000B4AF0" w:rsidP="002A4F02">
      <w:pPr>
        <w:spacing w:after="120" w:line="360" w:lineRule="auto"/>
        <w:ind w:left="2268" w:firstLine="1701"/>
        <w:jc w:val="both"/>
        <w:rPr>
          <w:rFonts w:ascii="Calibri" w:hAnsi="Calibri" w:cs="Calibri"/>
        </w:rPr>
      </w:pPr>
    </w:p>
    <w:p w:rsidR="00230290" w:rsidRPr="000B4AF0" w:rsidP="00230290">
      <w:pPr>
        <w:spacing w:after="120" w:line="360" w:lineRule="auto"/>
        <w:ind w:firstLine="1701"/>
        <w:jc w:val="both"/>
        <w:rPr>
          <w:rFonts w:ascii="Calibri" w:hAnsi="Calibri" w:cs="Calibri"/>
          <w:u w:val="single"/>
        </w:rPr>
      </w:pPr>
      <w:r w:rsidRPr="000B4AF0">
        <w:rPr>
          <w:rFonts w:ascii="Calibri" w:hAnsi="Calibri" w:cs="Calibri"/>
        </w:rPr>
        <w:t xml:space="preserve">Por fim, </w:t>
      </w:r>
      <w:r w:rsidRPr="000B4AF0" w:rsidR="005D0942">
        <w:rPr>
          <w:rFonts w:ascii="Calibri" w:hAnsi="Calibri" w:cs="Calibri"/>
        </w:rPr>
        <w:t>extrai-se que a propositura observa as</w:t>
      </w:r>
      <w:r w:rsidRPr="000B4AF0" w:rsidR="009B0A6D">
        <w:rPr>
          <w:rFonts w:ascii="Calibri" w:hAnsi="Calibri" w:cs="Calibri"/>
        </w:rPr>
        <w:t xml:space="preserve"> disposições da </w:t>
      </w:r>
      <w:r w:rsidRPr="000B4AF0">
        <w:rPr>
          <w:rFonts w:ascii="Calibri" w:hAnsi="Calibri" w:cs="Calibri"/>
        </w:rPr>
        <w:t>Lei Complementar nº 95/98 q</w:t>
      </w:r>
      <w:r w:rsidRPr="000B4AF0" w:rsidR="00055FB2">
        <w:rPr>
          <w:rFonts w:ascii="Calibri" w:hAnsi="Calibri" w:cs="Calibri"/>
        </w:rPr>
        <w:t>ue dispõe sobre a elaboração, redação, alteração e</w:t>
      </w:r>
      <w:r w:rsidRPr="000B4AF0" w:rsidR="009D75A2">
        <w:rPr>
          <w:rFonts w:ascii="Calibri" w:hAnsi="Calibri" w:cs="Calibri"/>
        </w:rPr>
        <w:t xml:space="preserve"> </w:t>
      </w:r>
      <w:r w:rsidRPr="000B4AF0" w:rsidR="009D75A2">
        <w:rPr>
          <w:rFonts w:ascii="Calibri" w:hAnsi="Calibri" w:cs="Calibri"/>
        </w:rPr>
        <w:t>consolidação das leis</w:t>
      </w:r>
      <w:r w:rsidRPr="000B4AF0">
        <w:rPr>
          <w:rFonts w:ascii="Calibri" w:hAnsi="Calibri" w:cs="Calibri"/>
        </w:rPr>
        <w:t xml:space="preserve"> conf</w:t>
      </w:r>
      <w:r w:rsidRPr="000B4AF0" w:rsidR="00D775B5">
        <w:rPr>
          <w:rFonts w:ascii="Calibri" w:hAnsi="Calibri" w:cs="Calibri"/>
        </w:rPr>
        <w:t>orme determina o parágrafo único,</w:t>
      </w:r>
      <w:r w:rsidRPr="000B4AF0">
        <w:rPr>
          <w:rFonts w:ascii="Calibri" w:hAnsi="Calibri" w:cs="Calibri"/>
        </w:rPr>
        <w:t xml:space="preserve"> do a</w:t>
      </w:r>
      <w:r w:rsidRPr="000B4AF0" w:rsidR="006045B4">
        <w:rPr>
          <w:rFonts w:ascii="Calibri" w:hAnsi="Calibri" w:cs="Calibri"/>
        </w:rPr>
        <w:t>rt. 59 da Constituição Federal.</w:t>
      </w:r>
    </w:p>
    <w:p w:rsidR="00230290" w:rsidRPr="000B4AF0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0B4AF0">
        <w:rPr>
          <w:rFonts w:ascii="Calibri" w:eastAsia="Calibri" w:hAnsi="Calibri" w:cs="Calibri"/>
          <w:szCs w:val="24"/>
        </w:rPr>
        <w:t>Ante todo o exposto</w:t>
      </w:r>
      <w:r w:rsidRPr="000B4AF0" w:rsidR="00BF7288">
        <w:rPr>
          <w:rFonts w:ascii="Calibri" w:eastAsia="Calibri" w:hAnsi="Calibri" w:cs="Calibri"/>
          <w:szCs w:val="24"/>
        </w:rPr>
        <w:t xml:space="preserve"> </w:t>
      </w:r>
      <w:r w:rsidRPr="000B4AF0" w:rsidR="00A53F3E">
        <w:rPr>
          <w:rFonts w:ascii="Calibri" w:eastAsia="Calibri" w:hAnsi="Calibri" w:cs="Calibri"/>
          <w:szCs w:val="24"/>
        </w:rPr>
        <w:t>opinamos pela</w:t>
      </w:r>
      <w:r w:rsidRPr="000B4AF0">
        <w:rPr>
          <w:rFonts w:ascii="Calibri" w:eastAsia="Calibri" w:hAnsi="Calibri" w:cs="Calibri"/>
          <w:szCs w:val="24"/>
        </w:rPr>
        <w:t xml:space="preserve"> constitucionalidade e legalidade</w:t>
      </w:r>
      <w:r w:rsidRPr="000B4AF0" w:rsidR="008A2A1B">
        <w:rPr>
          <w:rFonts w:ascii="Calibri" w:eastAsia="Calibri" w:hAnsi="Calibri" w:cs="Calibri"/>
          <w:szCs w:val="24"/>
        </w:rPr>
        <w:t xml:space="preserve"> do projeto</w:t>
      </w:r>
      <w:r w:rsidRPr="000B4AF0" w:rsidR="009A3DDE">
        <w:rPr>
          <w:rFonts w:ascii="Calibri" w:eastAsia="Calibri" w:hAnsi="Calibri" w:cs="Calibri"/>
          <w:szCs w:val="24"/>
        </w:rPr>
        <w:t xml:space="preserve">, </w:t>
      </w:r>
      <w:r w:rsidRPr="000B4AF0" w:rsidR="009A3DDE">
        <w:rPr>
          <w:rFonts w:ascii="Calibri" w:eastAsia="Calibri" w:hAnsi="Calibri" w:cs="Calibri"/>
          <w:szCs w:val="24"/>
          <w:u w:val="single"/>
        </w:rPr>
        <w:t>ressalvada a observação acima quanto ao</w:t>
      </w:r>
      <w:r w:rsidR="009A3DDE">
        <w:rPr>
          <w:rFonts w:ascii="Calibri" w:eastAsia="Calibri" w:hAnsi="Calibri" w:cs="Calibri"/>
          <w:szCs w:val="24"/>
          <w:u w:val="single"/>
        </w:rPr>
        <w:t xml:space="preserve">s </w:t>
      </w:r>
      <w:r w:rsidRPr="000B4AF0" w:rsidR="009A3DDE">
        <w:rPr>
          <w:rFonts w:ascii="Calibri" w:eastAsia="Calibri" w:hAnsi="Calibri" w:cs="Calibri"/>
          <w:szCs w:val="24"/>
          <w:u w:val="single"/>
        </w:rPr>
        <w:t>art</w:t>
      </w:r>
      <w:r w:rsidR="009A3DDE">
        <w:rPr>
          <w:rFonts w:ascii="Calibri" w:eastAsia="Calibri" w:hAnsi="Calibri" w:cs="Calibri"/>
          <w:szCs w:val="24"/>
          <w:u w:val="single"/>
        </w:rPr>
        <w:t>s</w:t>
      </w:r>
      <w:r w:rsidRPr="000B4AF0" w:rsidR="009A3DDE">
        <w:rPr>
          <w:rFonts w:ascii="Calibri" w:eastAsia="Calibri" w:hAnsi="Calibri" w:cs="Calibri"/>
          <w:szCs w:val="24"/>
          <w:u w:val="single"/>
        </w:rPr>
        <w:t xml:space="preserve">. </w:t>
      </w:r>
      <w:r w:rsidR="009A3DDE">
        <w:rPr>
          <w:rFonts w:ascii="Calibri" w:eastAsia="Calibri" w:hAnsi="Calibri" w:cs="Calibri"/>
          <w:szCs w:val="24"/>
          <w:u w:val="single"/>
        </w:rPr>
        <w:t>4</w:t>
      </w:r>
      <w:r w:rsidRPr="000B4AF0" w:rsidR="009A3DDE">
        <w:rPr>
          <w:rFonts w:ascii="Calibri" w:eastAsia="Calibri" w:hAnsi="Calibri" w:cs="Calibri"/>
          <w:szCs w:val="24"/>
          <w:u w:val="single"/>
        </w:rPr>
        <w:t>º</w:t>
      </w:r>
      <w:r w:rsidR="009A3DDE">
        <w:rPr>
          <w:rFonts w:ascii="Calibri" w:eastAsia="Calibri" w:hAnsi="Calibri" w:cs="Calibri"/>
          <w:szCs w:val="24"/>
          <w:u w:val="single"/>
        </w:rPr>
        <w:t xml:space="preserve"> e 5º</w:t>
      </w:r>
      <w:r w:rsidRPr="000B4AF0" w:rsidR="00A039F0">
        <w:rPr>
          <w:rFonts w:ascii="Calibri" w:eastAsia="Calibri" w:hAnsi="Calibri" w:cs="Calibri"/>
          <w:szCs w:val="24"/>
        </w:rPr>
        <w:t xml:space="preserve">. </w:t>
      </w:r>
      <w:r w:rsidRPr="000B4AF0">
        <w:rPr>
          <w:rFonts w:ascii="Calibri" w:eastAsia="Calibri" w:hAnsi="Calibri" w:cs="Calibri"/>
          <w:szCs w:val="24"/>
        </w:rPr>
        <w:t>Sobre o mérito, manifestar-se-á o soberano Plenário.</w:t>
      </w:r>
    </w:p>
    <w:p w:rsidR="00230290" w:rsidRPr="000B4AF0" w:rsidP="00230290">
      <w:pPr>
        <w:pStyle w:val="BodyText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>É o parecer, a superior consideração.</w:t>
      </w:r>
    </w:p>
    <w:p w:rsidR="00230290" w:rsidRPr="000B4AF0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b/>
          <w:szCs w:val="24"/>
        </w:rPr>
      </w:pPr>
      <w:r w:rsidRPr="000B4AF0">
        <w:rPr>
          <w:rFonts w:ascii="Calibri" w:hAnsi="Calibri" w:cs="Calibri"/>
          <w:szCs w:val="24"/>
        </w:rPr>
        <w:t>Procuradoria,</w:t>
      </w:r>
      <w:r w:rsidRPr="000B4AF0" w:rsidR="00395D8C">
        <w:rPr>
          <w:rFonts w:ascii="Calibri" w:hAnsi="Calibri" w:cs="Calibri"/>
          <w:szCs w:val="24"/>
        </w:rPr>
        <w:t xml:space="preserve"> </w:t>
      </w:r>
      <w:r w:rsidR="00951E50">
        <w:rPr>
          <w:rFonts w:ascii="Calibri" w:hAnsi="Calibri" w:cs="Calibri"/>
          <w:szCs w:val="24"/>
        </w:rPr>
        <w:t>24</w:t>
      </w:r>
      <w:r w:rsidRPr="000B4AF0" w:rsidR="004253B9">
        <w:rPr>
          <w:rFonts w:ascii="Calibri" w:hAnsi="Calibri" w:cs="Calibri"/>
          <w:szCs w:val="24"/>
        </w:rPr>
        <w:t xml:space="preserve"> de </w:t>
      </w:r>
      <w:r w:rsidR="00951E50">
        <w:rPr>
          <w:rFonts w:ascii="Calibri" w:hAnsi="Calibri" w:cs="Calibri"/>
          <w:szCs w:val="24"/>
        </w:rPr>
        <w:t>maio</w:t>
      </w:r>
      <w:r w:rsidRPr="000B4AF0">
        <w:rPr>
          <w:rFonts w:ascii="Calibri" w:hAnsi="Calibri" w:cs="Calibri"/>
          <w:szCs w:val="24"/>
        </w:rPr>
        <w:t xml:space="preserve"> de 202</w:t>
      </w:r>
      <w:r w:rsidRPr="000B4AF0" w:rsidR="004253B9">
        <w:rPr>
          <w:rFonts w:ascii="Calibri" w:hAnsi="Calibri" w:cs="Calibri"/>
          <w:szCs w:val="24"/>
        </w:rPr>
        <w:t>3</w:t>
      </w:r>
      <w:r w:rsidRPr="000B4AF0">
        <w:rPr>
          <w:rFonts w:ascii="Calibri" w:hAnsi="Calibri" w:cs="Calibri"/>
          <w:szCs w:val="24"/>
        </w:rPr>
        <w:t>.</w:t>
      </w:r>
    </w:p>
    <w:p w:rsidR="003D7230" w:rsidRPr="000B4AF0" w:rsidP="00230290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B14DD5" w:rsidRPr="000B4AF0" w:rsidP="004253B9">
      <w:pPr>
        <w:pStyle w:val="BodyText"/>
        <w:spacing w:after="0"/>
        <w:jc w:val="center"/>
        <w:rPr>
          <w:rFonts w:ascii="Calibri" w:hAnsi="Calibri" w:cs="Calibri"/>
          <w:szCs w:val="24"/>
        </w:rPr>
      </w:pPr>
    </w:p>
    <w:p w:rsidR="00B14DD5" w:rsidRPr="000B4AF0" w:rsidP="00B14DD5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0B4AF0">
        <w:rPr>
          <w:rFonts w:asciiTheme="minorHAnsi" w:hAnsiTheme="minorHAnsi" w:cstheme="minorHAnsi"/>
          <w:b/>
          <w:szCs w:val="24"/>
        </w:rPr>
        <w:t>Rosemeire de Souza Cardoso Barbosa</w:t>
      </w:r>
    </w:p>
    <w:p w:rsidR="00B14DD5" w:rsidRPr="000B4AF0" w:rsidP="00B14DD5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0B4AF0">
        <w:rPr>
          <w:rFonts w:asciiTheme="minorHAnsi" w:hAnsiTheme="minorHAnsi" w:cstheme="minorHAnsi"/>
          <w:b/>
          <w:szCs w:val="24"/>
        </w:rPr>
        <w:t>Procuradora - OAB/SP 308.298</w:t>
      </w:r>
    </w:p>
    <w:p w:rsidR="00951E50" w:rsidP="00B14DD5">
      <w:pPr>
        <w:pStyle w:val="BodyText"/>
        <w:spacing w:after="0"/>
        <w:jc w:val="center"/>
        <w:rPr>
          <w:rFonts w:asciiTheme="minorHAnsi" w:hAnsiTheme="minorHAnsi" w:cstheme="minorHAnsi"/>
          <w:szCs w:val="24"/>
        </w:rPr>
        <w:sectPr w:rsidSect="00951E50">
          <w:headerReference w:type="default" r:id="rId6"/>
          <w:footerReference w:type="default" r:id="rId7"/>
          <w:type w:val="continuous"/>
          <w:pgSz w:w="11906" w:h="16838"/>
          <w:pgMar w:top="2806" w:right="1701" w:bottom="1418" w:left="1701" w:header="709" w:footer="709" w:gutter="0"/>
          <w:cols w:space="708"/>
          <w:docGrid w:linePitch="360"/>
        </w:sectPr>
      </w:pPr>
      <w:r w:rsidRPr="000B4AF0">
        <w:rPr>
          <w:rFonts w:asciiTheme="minorHAnsi" w:hAnsiTheme="minorHAnsi" w:cstheme="minorHAnsi"/>
          <w:szCs w:val="24"/>
        </w:rPr>
        <w:t>Assinado digitalmente</w:t>
      </w:r>
    </w:p>
    <w:p w:rsidR="00B14DD5" w:rsidRPr="000B4AF0" w:rsidP="00B14DD5">
      <w:pPr>
        <w:pStyle w:val="BodyText"/>
        <w:spacing w:after="0"/>
        <w:jc w:val="center"/>
      </w:pPr>
    </w:p>
    <w:sectPr w:rsidSect="00B14DD5">
      <w:type w:val="continuous"/>
      <w:pgSz w:w="11906" w:h="16838"/>
      <w:pgMar w:top="2806" w:right="1701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D13192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D13192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13192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13192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D13192" w:rsidP="000F6284">
            <w:pPr>
              <w:pStyle w:val="Footer"/>
              <w:ind w:left="-1985" w:right="-313"/>
              <w:jc w:val="center"/>
            </w:pPr>
          </w:p>
          <w:p w:rsidR="00D13192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07B26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07B26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13192">
      <w:pPr>
        <w:spacing w:after="0" w:line="240" w:lineRule="auto"/>
      </w:pPr>
      <w:r>
        <w:separator/>
      </w:r>
    </w:p>
  </w:footnote>
  <w:footnote w:type="continuationSeparator" w:id="1">
    <w:p w:rsidR="00D13192">
      <w:pPr>
        <w:spacing w:after="0" w:line="240" w:lineRule="auto"/>
      </w:pPr>
      <w:r>
        <w:continuationSeparator/>
      </w:r>
    </w:p>
  </w:footnote>
  <w:footnote w:id="2">
    <w:p w:rsidR="00061871" w:rsidRPr="00061871" w:rsidP="00061871">
      <w:pPr>
        <w:tabs>
          <w:tab w:val="left" w:pos="1701"/>
        </w:tabs>
        <w:spacing w:after="0" w:line="240" w:lineRule="auto"/>
        <w:jc w:val="both"/>
        <w:rPr>
          <w:rFonts w:ascii="Calibri" w:hAnsi="Calibri" w:cs="Calibri"/>
        </w:rPr>
      </w:pPr>
      <w:r>
        <w:rPr>
          <w:rStyle w:val="FootnoteReference"/>
        </w:rPr>
        <w:footnoteRef/>
      </w:r>
      <w:r>
        <w:t xml:space="preserve"> </w:t>
      </w:r>
      <w:r w:rsidRPr="00061871">
        <w:rPr>
          <w:rFonts w:ascii="Calibri" w:hAnsi="Calibri" w:cs="Calibri"/>
          <w:sz w:val="20"/>
        </w:rPr>
        <w:t xml:space="preserve">Nesse sentido é o entendimento do C. Supremo Tribunal Federal: </w:t>
      </w:r>
      <w:r w:rsidRPr="00061871">
        <w:rPr>
          <w:rFonts w:ascii="Calibri" w:hAnsi="Calibri" w:cs="Calibri"/>
          <w:i/>
          <w:sz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61871">
        <w:rPr>
          <w:rFonts w:ascii="Calibri" w:hAnsi="Calibri" w:cs="Calibri"/>
          <w:i/>
          <w:sz w:val="20"/>
        </w:rPr>
        <w:t>ex</w:t>
      </w:r>
      <w:r w:rsidRPr="00061871">
        <w:rPr>
          <w:rFonts w:ascii="Calibri" w:hAnsi="Calibri" w:cs="Calibri"/>
          <w:i/>
          <w:sz w:val="20"/>
        </w:rPr>
        <w:t xml:space="preserve"> </w:t>
      </w:r>
      <w:r w:rsidRPr="00061871">
        <w:rPr>
          <w:rFonts w:ascii="Calibri" w:hAnsi="Calibri" w:cs="Calibri"/>
          <w:i/>
          <w:sz w:val="20"/>
        </w:rPr>
        <w:t>oficio</w:t>
      </w:r>
      <w:r w:rsidRPr="00061871">
        <w:rPr>
          <w:rFonts w:ascii="Calibri" w:hAnsi="Calibri" w:cs="Calibr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0B4AF0">
        <w:rPr>
          <w:rFonts w:ascii="Calibri" w:hAnsi="Calibri" w:cs="Calibri"/>
          <w:i/>
          <w:sz w:val="22"/>
          <w:szCs w:val="22"/>
        </w:rPr>
        <w:t xml:space="preserve"> </w:t>
      </w:r>
    </w:p>
    <w:p w:rsidR="00061871">
      <w:pPr>
        <w:pStyle w:val="FootnoteText"/>
      </w:pPr>
    </w:p>
  </w:footnote>
  <w:footnote w:id="3">
    <w:p w:rsidR="005F46C8" w:rsidP="008444E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6992">
        <w:t xml:space="preserve">Disponível em: </w:t>
      </w:r>
      <w:hyperlink r:id="rId1" w:history="1">
        <w:r w:rsidRPr="00256992">
          <w:rPr>
            <w:rStyle w:val="Hyperlink"/>
          </w:rPr>
          <w:t>https://www.emagis.com.br/area-gratuita/que-negocio-e-esse/reserva-geral-de-administracao-versus-reserva-especifica-de-administracao/</w:t>
        </w:r>
      </w:hyperlink>
      <w:r w:rsidR="008444E5">
        <w:t>. Acesso em: 01/02/2023</w:t>
      </w:r>
      <w:r w:rsidRPr="0025699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3192" w:rsidP="000F6284">
    <w:pPr>
      <w:pStyle w:val="Header"/>
      <w:jc w:val="center"/>
      <w:rPr>
        <w:b/>
        <w:sz w:val="26"/>
        <w:lang w:val="pt-PT"/>
      </w:rPr>
    </w:pPr>
  </w:p>
  <w:p w:rsidR="00D13192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192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90020317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9927417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4660181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13192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081581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4645151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13192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13192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15EB9"/>
    <w:rsid w:val="00031E27"/>
    <w:rsid w:val="0004095E"/>
    <w:rsid w:val="00055FB2"/>
    <w:rsid w:val="00060CA0"/>
    <w:rsid w:val="00061871"/>
    <w:rsid w:val="0007139A"/>
    <w:rsid w:val="000724D1"/>
    <w:rsid w:val="00072745"/>
    <w:rsid w:val="00087763"/>
    <w:rsid w:val="00094FC8"/>
    <w:rsid w:val="000A7037"/>
    <w:rsid w:val="000B4ADE"/>
    <w:rsid w:val="000B4AF0"/>
    <w:rsid w:val="000C08B8"/>
    <w:rsid w:val="000C1D38"/>
    <w:rsid w:val="000C3EF3"/>
    <w:rsid w:val="000C474F"/>
    <w:rsid w:val="000C5FC0"/>
    <w:rsid w:val="000E086D"/>
    <w:rsid w:val="000E3CF3"/>
    <w:rsid w:val="000F6284"/>
    <w:rsid w:val="00117687"/>
    <w:rsid w:val="0013060F"/>
    <w:rsid w:val="00132107"/>
    <w:rsid w:val="00132824"/>
    <w:rsid w:val="00141BA0"/>
    <w:rsid w:val="001420FA"/>
    <w:rsid w:val="0014270F"/>
    <w:rsid w:val="00146CE5"/>
    <w:rsid w:val="00152692"/>
    <w:rsid w:val="001702F1"/>
    <w:rsid w:val="00174657"/>
    <w:rsid w:val="001A38C4"/>
    <w:rsid w:val="001C4D63"/>
    <w:rsid w:val="0022477A"/>
    <w:rsid w:val="002268B5"/>
    <w:rsid w:val="00230290"/>
    <w:rsid w:val="002324DA"/>
    <w:rsid w:val="002433C5"/>
    <w:rsid w:val="00252ADC"/>
    <w:rsid w:val="00256992"/>
    <w:rsid w:val="00261689"/>
    <w:rsid w:val="0026654A"/>
    <w:rsid w:val="00267046"/>
    <w:rsid w:val="00267382"/>
    <w:rsid w:val="00282C13"/>
    <w:rsid w:val="00287DF9"/>
    <w:rsid w:val="0029011B"/>
    <w:rsid w:val="002907F1"/>
    <w:rsid w:val="002A4F02"/>
    <w:rsid w:val="002B15C8"/>
    <w:rsid w:val="002B1985"/>
    <w:rsid w:val="002B4857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CD1"/>
    <w:rsid w:val="00304D47"/>
    <w:rsid w:val="00324DAA"/>
    <w:rsid w:val="0033080F"/>
    <w:rsid w:val="0036016D"/>
    <w:rsid w:val="00365F07"/>
    <w:rsid w:val="003774B8"/>
    <w:rsid w:val="0038135B"/>
    <w:rsid w:val="00387B4B"/>
    <w:rsid w:val="0039289D"/>
    <w:rsid w:val="00395D8C"/>
    <w:rsid w:val="003A2C23"/>
    <w:rsid w:val="003B02E8"/>
    <w:rsid w:val="003B0AE0"/>
    <w:rsid w:val="003B11BD"/>
    <w:rsid w:val="003C02A2"/>
    <w:rsid w:val="003C2EAD"/>
    <w:rsid w:val="003D0BDE"/>
    <w:rsid w:val="003D329B"/>
    <w:rsid w:val="003D3DD2"/>
    <w:rsid w:val="003D7230"/>
    <w:rsid w:val="003E0849"/>
    <w:rsid w:val="003E68E7"/>
    <w:rsid w:val="003F5D28"/>
    <w:rsid w:val="00402E15"/>
    <w:rsid w:val="00407B26"/>
    <w:rsid w:val="00412E7C"/>
    <w:rsid w:val="00415659"/>
    <w:rsid w:val="00421304"/>
    <w:rsid w:val="004253B9"/>
    <w:rsid w:val="00436EDC"/>
    <w:rsid w:val="00440E92"/>
    <w:rsid w:val="004411BA"/>
    <w:rsid w:val="00442AE0"/>
    <w:rsid w:val="00445AFC"/>
    <w:rsid w:val="00450D7D"/>
    <w:rsid w:val="00451D9D"/>
    <w:rsid w:val="00483A4D"/>
    <w:rsid w:val="00484EF7"/>
    <w:rsid w:val="00494E9F"/>
    <w:rsid w:val="00497A57"/>
    <w:rsid w:val="004A1DBC"/>
    <w:rsid w:val="004B170A"/>
    <w:rsid w:val="004B1CA3"/>
    <w:rsid w:val="004D3AA4"/>
    <w:rsid w:val="004F1E85"/>
    <w:rsid w:val="004F2F14"/>
    <w:rsid w:val="004F44D9"/>
    <w:rsid w:val="00515A76"/>
    <w:rsid w:val="00516A25"/>
    <w:rsid w:val="00521E8D"/>
    <w:rsid w:val="00526E32"/>
    <w:rsid w:val="00526FB6"/>
    <w:rsid w:val="00536F9C"/>
    <w:rsid w:val="00541851"/>
    <w:rsid w:val="00546E3D"/>
    <w:rsid w:val="00564577"/>
    <w:rsid w:val="00565CBD"/>
    <w:rsid w:val="00582000"/>
    <w:rsid w:val="0058201A"/>
    <w:rsid w:val="005B347A"/>
    <w:rsid w:val="005B5B3A"/>
    <w:rsid w:val="005C61FE"/>
    <w:rsid w:val="005D0942"/>
    <w:rsid w:val="005E0943"/>
    <w:rsid w:val="005E0CC1"/>
    <w:rsid w:val="005E6F3B"/>
    <w:rsid w:val="005F28BA"/>
    <w:rsid w:val="005F46C8"/>
    <w:rsid w:val="00600907"/>
    <w:rsid w:val="006045B4"/>
    <w:rsid w:val="00605D93"/>
    <w:rsid w:val="00620FEF"/>
    <w:rsid w:val="0062714B"/>
    <w:rsid w:val="00633897"/>
    <w:rsid w:val="00636BBC"/>
    <w:rsid w:val="00641AD2"/>
    <w:rsid w:val="00680952"/>
    <w:rsid w:val="00683121"/>
    <w:rsid w:val="00684901"/>
    <w:rsid w:val="006930B5"/>
    <w:rsid w:val="00696105"/>
    <w:rsid w:val="006969A0"/>
    <w:rsid w:val="006B19C9"/>
    <w:rsid w:val="006B2858"/>
    <w:rsid w:val="006B7254"/>
    <w:rsid w:val="006C1ABF"/>
    <w:rsid w:val="006C1E37"/>
    <w:rsid w:val="006C37F5"/>
    <w:rsid w:val="006D7024"/>
    <w:rsid w:val="006E1D73"/>
    <w:rsid w:val="006E288F"/>
    <w:rsid w:val="006E59A6"/>
    <w:rsid w:val="006F29C6"/>
    <w:rsid w:val="006F674F"/>
    <w:rsid w:val="00700B2A"/>
    <w:rsid w:val="007042A1"/>
    <w:rsid w:val="007125D7"/>
    <w:rsid w:val="0072713C"/>
    <w:rsid w:val="00737702"/>
    <w:rsid w:val="00743B3E"/>
    <w:rsid w:val="00743FE1"/>
    <w:rsid w:val="00745F2C"/>
    <w:rsid w:val="00747C65"/>
    <w:rsid w:val="0075062B"/>
    <w:rsid w:val="00750FEA"/>
    <w:rsid w:val="0075403B"/>
    <w:rsid w:val="00757B87"/>
    <w:rsid w:val="007627E3"/>
    <w:rsid w:val="00777ACF"/>
    <w:rsid w:val="007949FB"/>
    <w:rsid w:val="00795897"/>
    <w:rsid w:val="007A7435"/>
    <w:rsid w:val="007B039B"/>
    <w:rsid w:val="007B1B19"/>
    <w:rsid w:val="007C28D8"/>
    <w:rsid w:val="007C2ECA"/>
    <w:rsid w:val="007D453B"/>
    <w:rsid w:val="007D5186"/>
    <w:rsid w:val="007E5326"/>
    <w:rsid w:val="007E6039"/>
    <w:rsid w:val="007F01A5"/>
    <w:rsid w:val="007F2CCB"/>
    <w:rsid w:val="00804D3E"/>
    <w:rsid w:val="00805EF5"/>
    <w:rsid w:val="00806D16"/>
    <w:rsid w:val="00806E4C"/>
    <w:rsid w:val="00813CA7"/>
    <w:rsid w:val="00814806"/>
    <w:rsid w:val="008152AD"/>
    <w:rsid w:val="00815AF8"/>
    <w:rsid w:val="00822E24"/>
    <w:rsid w:val="008349E3"/>
    <w:rsid w:val="00834F2B"/>
    <w:rsid w:val="00837714"/>
    <w:rsid w:val="008444E5"/>
    <w:rsid w:val="00844764"/>
    <w:rsid w:val="00853783"/>
    <w:rsid w:val="00857D8D"/>
    <w:rsid w:val="00872C12"/>
    <w:rsid w:val="008831C3"/>
    <w:rsid w:val="008833EF"/>
    <w:rsid w:val="00884663"/>
    <w:rsid w:val="008923E9"/>
    <w:rsid w:val="008A2A1B"/>
    <w:rsid w:val="008B488E"/>
    <w:rsid w:val="008C03B4"/>
    <w:rsid w:val="008C16D5"/>
    <w:rsid w:val="008C1C27"/>
    <w:rsid w:val="008C24D7"/>
    <w:rsid w:val="008C51BE"/>
    <w:rsid w:val="0090054E"/>
    <w:rsid w:val="00900653"/>
    <w:rsid w:val="00900711"/>
    <w:rsid w:val="009028B1"/>
    <w:rsid w:val="00903636"/>
    <w:rsid w:val="0091480C"/>
    <w:rsid w:val="0091612B"/>
    <w:rsid w:val="0091678F"/>
    <w:rsid w:val="00923CD0"/>
    <w:rsid w:val="00935C32"/>
    <w:rsid w:val="009369FB"/>
    <w:rsid w:val="009403D3"/>
    <w:rsid w:val="00946FC6"/>
    <w:rsid w:val="00951E50"/>
    <w:rsid w:val="009610E3"/>
    <w:rsid w:val="00967B88"/>
    <w:rsid w:val="0097203E"/>
    <w:rsid w:val="0098472D"/>
    <w:rsid w:val="00984F21"/>
    <w:rsid w:val="00991E39"/>
    <w:rsid w:val="00996E6A"/>
    <w:rsid w:val="009975F7"/>
    <w:rsid w:val="009977A8"/>
    <w:rsid w:val="009A128E"/>
    <w:rsid w:val="009A3DDE"/>
    <w:rsid w:val="009B0A6D"/>
    <w:rsid w:val="009B4CD0"/>
    <w:rsid w:val="009B5F4D"/>
    <w:rsid w:val="009C607C"/>
    <w:rsid w:val="009D506E"/>
    <w:rsid w:val="009D511B"/>
    <w:rsid w:val="009D550A"/>
    <w:rsid w:val="009D75A2"/>
    <w:rsid w:val="009F0B51"/>
    <w:rsid w:val="009F136A"/>
    <w:rsid w:val="00A02EF7"/>
    <w:rsid w:val="00A02FF7"/>
    <w:rsid w:val="00A039F0"/>
    <w:rsid w:val="00A11357"/>
    <w:rsid w:val="00A172F8"/>
    <w:rsid w:val="00A31F50"/>
    <w:rsid w:val="00A33C51"/>
    <w:rsid w:val="00A35149"/>
    <w:rsid w:val="00A45EA3"/>
    <w:rsid w:val="00A53F3E"/>
    <w:rsid w:val="00A63ED4"/>
    <w:rsid w:val="00A67E63"/>
    <w:rsid w:val="00A7176E"/>
    <w:rsid w:val="00A71D06"/>
    <w:rsid w:val="00A97F45"/>
    <w:rsid w:val="00AA0F4F"/>
    <w:rsid w:val="00AA13F0"/>
    <w:rsid w:val="00AB004A"/>
    <w:rsid w:val="00AB498A"/>
    <w:rsid w:val="00AC01B0"/>
    <w:rsid w:val="00AC08AA"/>
    <w:rsid w:val="00AC6896"/>
    <w:rsid w:val="00AD05AC"/>
    <w:rsid w:val="00AD740D"/>
    <w:rsid w:val="00B05955"/>
    <w:rsid w:val="00B13A6C"/>
    <w:rsid w:val="00B14DD5"/>
    <w:rsid w:val="00B20A65"/>
    <w:rsid w:val="00B22C55"/>
    <w:rsid w:val="00B60874"/>
    <w:rsid w:val="00B6516B"/>
    <w:rsid w:val="00B73ABA"/>
    <w:rsid w:val="00B778AA"/>
    <w:rsid w:val="00B93ED4"/>
    <w:rsid w:val="00BA65D2"/>
    <w:rsid w:val="00BB3B11"/>
    <w:rsid w:val="00BC2ABB"/>
    <w:rsid w:val="00BC387A"/>
    <w:rsid w:val="00BE2D30"/>
    <w:rsid w:val="00BF55F6"/>
    <w:rsid w:val="00BF7288"/>
    <w:rsid w:val="00C0003E"/>
    <w:rsid w:val="00C02E72"/>
    <w:rsid w:val="00C24ABB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95E1E"/>
    <w:rsid w:val="00CA0157"/>
    <w:rsid w:val="00CB2D83"/>
    <w:rsid w:val="00CB369D"/>
    <w:rsid w:val="00CC1FE4"/>
    <w:rsid w:val="00CD2DAD"/>
    <w:rsid w:val="00CD39F0"/>
    <w:rsid w:val="00CE0C3C"/>
    <w:rsid w:val="00CE5172"/>
    <w:rsid w:val="00CF7799"/>
    <w:rsid w:val="00D05705"/>
    <w:rsid w:val="00D111F9"/>
    <w:rsid w:val="00D13192"/>
    <w:rsid w:val="00D23EDD"/>
    <w:rsid w:val="00D31E84"/>
    <w:rsid w:val="00D33D7D"/>
    <w:rsid w:val="00D344FF"/>
    <w:rsid w:val="00D37D32"/>
    <w:rsid w:val="00D4374D"/>
    <w:rsid w:val="00D61860"/>
    <w:rsid w:val="00D637D4"/>
    <w:rsid w:val="00D71FE6"/>
    <w:rsid w:val="00D72476"/>
    <w:rsid w:val="00D775B5"/>
    <w:rsid w:val="00D822CC"/>
    <w:rsid w:val="00DA1655"/>
    <w:rsid w:val="00DA4495"/>
    <w:rsid w:val="00DA485E"/>
    <w:rsid w:val="00DA5745"/>
    <w:rsid w:val="00DB1210"/>
    <w:rsid w:val="00DB2D3E"/>
    <w:rsid w:val="00DD4EC2"/>
    <w:rsid w:val="00DE5290"/>
    <w:rsid w:val="00DF4BF9"/>
    <w:rsid w:val="00DF576F"/>
    <w:rsid w:val="00DF5B72"/>
    <w:rsid w:val="00E06861"/>
    <w:rsid w:val="00E20AD6"/>
    <w:rsid w:val="00E307C3"/>
    <w:rsid w:val="00E3552B"/>
    <w:rsid w:val="00E60FD0"/>
    <w:rsid w:val="00E654B2"/>
    <w:rsid w:val="00E65F4B"/>
    <w:rsid w:val="00E661C5"/>
    <w:rsid w:val="00E67B0A"/>
    <w:rsid w:val="00E7515C"/>
    <w:rsid w:val="00E9216A"/>
    <w:rsid w:val="00EA0F15"/>
    <w:rsid w:val="00EA1A35"/>
    <w:rsid w:val="00EA1DB6"/>
    <w:rsid w:val="00EB228B"/>
    <w:rsid w:val="00EB315E"/>
    <w:rsid w:val="00ED1E87"/>
    <w:rsid w:val="00ED612E"/>
    <w:rsid w:val="00EF35F1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4"/>
    <w:rsid w:val="00F4065A"/>
    <w:rsid w:val="00F43DDE"/>
    <w:rsid w:val="00F53BEF"/>
    <w:rsid w:val="00F56203"/>
    <w:rsid w:val="00F752F1"/>
    <w:rsid w:val="00F82AEB"/>
    <w:rsid w:val="00F8645F"/>
    <w:rsid w:val="00F91600"/>
    <w:rsid w:val="00F94A2F"/>
    <w:rsid w:val="00FC3987"/>
    <w:rsid w:val="00FC6AF1"/>
    <w:rsid w:val="00FD38DB"/>
    <w:rsid w:val="00FF614D"/>
    <w:rsid w:val="00FF7E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paragrafo">
    <w:name w:val="paragrafo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Normal1">
    <w:name w:val="Normal1"/>
    <w:rsid w:val="0023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emagis.com.br/area-gratuita/que-negocio-e-esse/reserva-geral-de-administracao-versus-reserva-especifica-de-administracao/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E148-5BF0-447F-9DE2-50DF3A92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2969</Words>
  <Characters>16035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11</cp:revision>
  <cp:lastPrinted>2021-12-03T16:31:00Z</cp:lastPrinted>
  <dcterms:created xsi:type="dcterms:W3CDTF">2023-05-24T19:06:00Z</dcterms:created>
  <dcterms:modified xsi:type="dcterms:W3CDTF">2023-05-26T13:24:00Z</dcterms:modified>
</cp:coreProperties>
</file>