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634C01" w:rsidP="00E503EA">
      <w:pPr>
        <w:pStyle w:val="Default"/>
        <w:jc w:val="both"/>
        <w:rPr>
          <w:rFonts w:ascii="Calibri" w:hAnsi="Calibri" w:cs="Calibri"/>
          <w:b/>
          <w:color w:val="auto"/>
        </w:rPr>
      </w:pPr>
      <w:r w:rsidRPr="00634C01">
        <w:rPr>
          <w:rFonts w:ascii="Calibri" w:hAnsi="Calibri" w:cs="Calibri"/>
          <w:b/>
          <w:color w:val="auto"/>
        </w:rPr>
        <w:t>Parecer J</w:t>
      </w:r>
      <w:r w:rsidRPr="00634C01" w:rsidR="00E503EA">
        <w:rPr>
          <w:rFonts w:ascii="Calibri" w:hAnsi="Calibri" w:cs="Calibri"/>
          <w:b/>
          <w:color w:val="auto"/>
        </w:rPr>
        <w:t>urídico</w:t>
      </w:r>
      <w:r w:rsidRPr="00634C01">
        <w:rPr>
          <w:rFonts w:ascii="Calibri" w:hAnsi="Calibri" w:cs="Calibri"/>
          <w:b/>
          <w:color w:val="auto"/>
        </w:rPr>
        <w:t xml:space="preserve"> nº </w:t>
      </w:r>
      <w:r w:rsidR="00151999">
        <w:rPr>
          <w:rFonts w:ascii="Calibri" w:hAnsi="Calibri" w:cs="Calibri"/>
          <w:b/>
          <w:color w:val="auto"/>
        </w:rPr>
        <w:t>132</w:t>
      </w:r>
      <w:r w:rsidRPr="00634C01" w:rsidR="00943C53">
        <w:rPr>
          <w:rFonts w:ascii="Calibri" w:hAnsi="Calibri" w:cs="Calibri"/>
          <w:b/>
          <w:color w:val="auto"/>
        </w:rPr>
        <w:t>/</w:t>
      </w:r>
      <w:r w:rsidRPr="00634C01">
        <w:rPr>
          <w:rFonts w:ascii="Calibri" w:hAnsi="Calibri" w:cs="Calibri"/>
          <w:b/>
          <w:color w:val="auto"/>
        </w:rPr>
        <w:t>20</w:t>
      </w:r>
      <w:r w:rsidRPr="00634C01" w:rsidR="00C65153">
        <w:rPr>
          <w:rFonts w:ascii="Calibri" w:hAnsi="Calibri" w:cs="Calibri"/>
          <w:b/>
          <w:color w:val="auto"/>
        </w:rPr>
        <w:t>2</w:t>
      </w:r>
      <w:r w:rsidRPr="00634C01" w:rsidR="00D7781C">
        <w:rPr>
          <w:rFonts w:ascii="Calibri" w:hAnsi="Calibri" w:cs="Calibri"/>
          <w:b/>
          <w:color w:val="auto"/>
        </w:rPr>
        <w:t>3</w:t>
      </w:r>
      <w:r w:rsidRPr="00634C01" w:rsidR="00B762CD">
        <w:rPr>
          <w:rFonts w:ascii="Calibri" w:hAnsi="Calibri" w:cs="Calibri"/>
          <w:b/>
          <w:color w:val="auto"/>
        </w:rPr>
        <w:t>.</w:t>
      </w:r>
    </w:p>
    <w:p w:rsidR="00CE0D36" w:rsidRPr="00B60AB1" w:rsidP="00B42AB8">
      <w:pPr>
        <w:spacing w:after="0" w:line="240" w:lineRule="auto"/>
        <w:jc w:val="both"/>
        <w:rPr>
          <w:rFonts w:ascii="Calibri" w:eastAsia="Times New Roman" w:hAnsi="Calibri" w:cs="Calibri"/>
          <w:sz w:val="24"/>
          <w:szCs w:val="24"/>
          <w:lang w:eastAsia="pt-BR"/>
        </w:rPr>
      </w:pPr>
      <w:r w:rsidRPr="00634C01">
        <w:rPr>
          <w:rFonts w:ascii="Calibri" w:hAnsi="Calibri" w:cs="Calibri"/>
          <w:b/>
          <w:bCs/>
          <w:sz w:val="24"/>
          <w:szCs w:val="24"/>
        </w:rPr>
        <w:t xml:space="preserve">Assunto: Projeto de Lei nº </w:t>
      </w:r>
      <w:r w:rsidRPr="00634C01" w:rsidR="00D7781C">
        <w:rPr>
          <w:rFonts w:ascii="Calibri" w:hAnsi="Calibri" w:cs="Calibri"/>
          <w:b/>
          <w:bCs/>
          <w:sz w:val="24"/>
          <w:szCs w:val="24"/>
        </w:rPr>
        <w:t>0</w:t>
      </w:r>
      <w:r w:rsidR="000B27E4">
        <w:rPr>
          <w:rFonts w:ascii="Calibri" w:hAnsi="Calibri" w:cs="Calibri"/>
          <w:b/>
          <w:bCs/>
          <w:sz w:val="24"/>
          <w:szCs w:val="24"/>
        </w:rPr>
        <w:t>4</w:t>
      </w:r>
      <w:r>
        <w:rPr>
          <w:rFonts w:ascii="Calibri" w:hAnsi="Calibri" w:cs="Calibri"/>
          <w:b/>
          <w:bCs/>
          <w:sz w:val="24"/>
          <w:szCs w:val="24"/>
        </w:rPr>
        <w:t>1</w:t>
      </w:r>
      <w:r w:rsidRPr="00634C01">
        <w:rPr>
          <w:rFonts w:ascii="Calibri" w:hAnsi="Calibri" w:cs="Calibri"/>
          <w:b/>
          <w:bCs/>
          <w:sz w:val="24"/>
          <w:szCs w:val="24"/>
        </w:rPr>
        <w:t>/20</w:t>
      </w:r>
      <w:r w:rsidRPr="00634C01" w:rsidR="00C65153">
        <w:rPr>
          <w:rFonts w:ascii="Calibri" w:hAnsi="Calibri" w:cs="Calibri"/>
          <w:b/>
          <w:bCs/>
          <w:sz w:val="24"/>
          <w:szCs w:val="24"/>
        </w:rPr>
        <w:t>2</w:t>
      </w:r>
      <w:r w:rsidRPr="00634C01" w:rsidR="00D7781C">
        <w:rPr>
          <w:rFonts w:ascii="Calibri" w:hAnsi="Calibri" w:cs="Calibri"/>
          <w:b/>
          <w:bCs/>
          <w:sz w:val="24"/>
          <w:szCs w:val="24"/>
        </w:rPr>
        <w:t>3</w:t>
      </w:r>
      <w:r w:rsidRPr="00634C01" w:rsidR="00E503EA">
        <w:rPr>
          <w:rFonts w:ascii="Calibri" w:hAnsi="Calibri" w:cs="Calibri"/>
          <w:bCs/>
          <w:sz w:val="24"/>
          <w:szCs w:val="24"/>
        </w:rPr>
        <w:t xml:space="preserve"> – </w:t>
      </w:r>
      <w:r w:rsidRPr="00B60AB1">
        <w:rPr>
          <w:rFonts w:ascii="Calibri" w:eastAsia="Times New Roman" w:hAnsi="Calibri" w:cs="Calibri"/>
          <w:sz w:val="24"/>
          <w:szCs w:val="24"/>
          <w:lang w:eastAsia="pt-BR"/>
        </w:rPr>
        <w:t>Institui o Programa de Cultura de Paz e Combate à Violência em Ambientes Públicos e dá outras providências.</w:t>
      </w:r>
    </w:p>
    <w:p w:rsidR="00D7781C" w:rsidRPr="00634C01" w:rsidP="00B42AB8">
      <w:pPr>
        <w:spacing w:after="0" w:line="240" w:lineRule="auto"/>
        <w:jc w:val="both"/>
        <w:rPr>
          <w:rFonts w:ascii="Calibri" w:hAnsi="Calibri" w:cs="Calibri"/>
          <w:b/>
          <w:bCs/>
          <w:sz w:val="24"/>
          <w:szCs w:val="24"/>
        </w:rPr>
      </w:pPr>
      <w:r w:rsidRPr="00634C01">
        <w:rPr>
          <w:rFonts w:ascii="Calibri" w:hAnsi="Calibri" w:cs="Calibri"/>
          <w:b/>
          <w:bCs/>
          <w:sz w:val="24"/>
          <w:szCs w:val="24"/>
        </w:rPr>
        <w:t xml:space="preserve">Autoria: </w:t>
      </w:r>
      <w:r w:rsidRPr="00634C01" w:rsidR="00CC2312">
        <w:rPr>
          <w:rFonts w:ascii="Calibri" w:hAnsi="Calibri" w:cs="Calibri"/>
          <w:bCs/>
          <w:sz w:val="24"/>
          <w:szCs w:val="24"/>
        </w:rPr>
        <w:t>Vereador</w:t>
      </w:r>
      <w:r w:rsidR="00522489">
        <w:rPr>
          <w:rFonts w:ascii="Calibri" w:hAnsi="Calibri" w:cs="Calibri"/>
          <w:bCs/>
          <w:sz w:val="24"/>
          <w:szCs w:val="24"/>
        </w:rPr>
        <w:t xml:space="preserve"> </w:t>
      </w:r>
      <w:r w:rsidR="00CE0D36">
        <w:rPr>
          <w:rFonts w:ascii="Calibri" w:hAnsi="Calibri" w:cs="Calibri"/>
          <w:bCs/>
          <w:sz w:val="24"/>
          <w:szCs w:val="24"/>
        </w:rPr>
        <w:t>Marcelo Yoshida</w:t>
      </w:r>
      <w:r w:rsidRPr="00634C01" w:rsidR="00CC2312">
        <w:rPr>
          <w:rFonts w:ascii="Calibri" w:hAnsi="Calibri" w:cs="Calibri"/>
          <w:bCs/>
          <w:sz w:val="24"/>
          <w:szCs w:val="24"/>
        </w:rPr>
        <w:t>.</w:t>
      </w:r>
    </w:p>
    <w:p w:rsidR="00FD536E" w:rsidRPr="00634C01" w:rsidP="00E503EA">
      <w:pPr>
        <w:pStyle w:val="Default"/>
        <w:jc w:val="both"/>
        <w:rPr>
          <w:rFonts w:ascii="Calibri" w:hAnsi="Calibri" w:cs="Calibri"/>
          <w:b/>
          <w:i/>
          <w:color w:val="auto"/>
        </w:rPr>
      </w:pPr>
    </w:p>
    <w:p w:rsidR="00DB21D0" w:rsidRPr="00634C01" w:rsidP="00E503EA">
      <w:pPr>
        <w:pStyle w:val="Default"/>
        <w:jc w:val="both"/>
        <w:rPr>
          <w:rFonts w:ascii="Calibri" w:hAnsi="Calibri" w:cs="Calibri"/>
          <w:b/>
          <w:i/>
          <w:color w:val="auto"/>
        </w:rPr>
      </w:pPr>
    </w:p>
    <w:p w:rsidR="00B06343" w:rsidRPr="00634C01" w:rsidP="00E503EA">
      <w:pPr>
        <w:pStyle w:val="Default"/>
        <w:jc w:val="both"/>
        <w:rPr>
          <w:rFonts w:ascii="Calibri" w:hAnsi="Calibri" w:cs="Calibri"/>
          <w:b/>
          <w:i/>
          <w:color w:val="auto"/>
        </w:rPr>
      </w:pPr>
    </w:p>
    <w:p w:rsidR="00C65153" w:rsidRPr="00634C01" w:rsidP="00E503EA">
      <w:pPr>
        <w:pStyle w:val="Default"/>
        <w:jc w:val="both"/>
        <w:rPr>
          <w:rFonts w:ascii="Calibri" w:hAnsi="Calibri" w:cs="Calibri"/>
          <w:b/>
          <w:i/>
          <w:color w:val="auto"/>
        </w:rPr>
      </w:pPr>
      <w:r w:rsidRPr="00634C01">
        <w:rPr>
          <w:rFonts w:ascii="Calibri" w:hAnsi="Calibri" w:cs="Calibri"/>
          <w:b/>
          <w:i/>
          <w:color w:val="auto"/>
        </w:rPr>
        <w:t>À</w:t>
      </w:r>
      <w:r w:rsidRPr="00634C01" w:rsidR="00106ADB">
        <w:rPr>
          <w:rFonts w:ascii="Calibri" w:hAnsi="Calibri" w:cs="Calibri"/>
          <w:b/>
          <w:i/>
          <w:color w:val="auto"/>
        </w:rPr>
        <w:t xml:space="preserve"> </w:t>
      </w:r>
      <w:r w:rsidRPr="00634C01">
        <w:rPr>
          <w:rFonts w:ascii="Calibri" w:hAnsi="Calibri" w:cs="Calibri"/>
          <w:b/>
          <w:i/>
          <w:color w:val="auto"/>
        </w:rPr>
        <w:t>Comissão de Justiça e Redação</w:t>
      </w:r>
      <w:r w:rsidRPr="00634C01" w:rsidR="005C5FD9">
        <w:rPr>
          <w:rFonts w:ascii="Calibri" w:hAnsi="Calibri" w:cs="Calibri"/>
          <w:b/>
          <w:i/>
          <w:color w:val="auto"/>
        </w:rPr>
        <w:t>,</w:t>
      </w:r>
    </w:p>
    <w:p w:rsidR="0058062A" w:rsidRPr="00634C01" w:rsidP="00053466">
      <w:pPr>
        <w:pStyle w:val="Default"/>
        <w:spacing w:line="360" w:lineRule="auto"/>
        <w:jc w:val="both"/>
        <w:rPr>
          <w:rFonts w:ascii="Calibri" w:hAnsi="Calibri" w:cs="Calibri"/>
          <w:b/>
          <w:i/>
          <w:color w:val="auto"/>
        </w:rPr>
      </w:pPr>
      <w:r w:rsidRPr="00634C01">
        <w:rPr>
          <w:rFonts w:ascii="Calibri" w:hAnsi="Calibri" w:cs="Calibri"/>
          <w:b/>
          <w:i/>
          <w:color w:val="auto"/>
        </w:rPr>
        <w:t>Exmo.</w:t>
      </w:r>
      <w:r w:rsidRPr="00634C01" w:rsidR="00D33A1B">
        <w:rPr>
          <w:rFonts w:ascii="Calibri" w:hAnsi="Calibri" w:cs="Calibri"/>
          <w:b/>
          <w:i/>
          <w:color w:val="auto"/>
        </w:rPr>
        <w:t xml:space="preserve"> Sr. Presidente</w:t>
      </w:r>
      <w:r w:rsidRPr="00634C01">
        <w:rPr>
          <w:rFonts w:ascii="Calibri" w:hAnsi="Calibri" w:cs="Calibri"/>
          <w:b/>
          <w:i/>
          <w:color w:val="auto"/>
        </w:rPr>
        <w:t xml:space="preserve"> Vereador </w:t>
      </w:r>
      <w:r w:rsidRPr="00634C01" w:rsidR="00CC2312">
        <w:rPr>
          <w:rFonts w:ascii="Calibri" w:hAnsi="Calibri" w:cs="Calibri"/>
          <w:b/>
          <w:i/>
          <w:color w:val="auto"/>
        </w:rPr>
        <w:t>Gabriel Bueno.</w:t>
      </w:r>
    </w:p>
    <w:p w:rsidR="00623AD7" w:rsidP="00053466">
      <w:pPr>
        <w:pStyle w:val="Default"/>
        <w:spacing w:line="360" w:lineRule="auto"/>
        <w:jc w:val="both"/>
        <w:rPr>
          <w:rFonts w:ascii="Calibri" w:hAnsi="Calibri" w:cs="Calibri"/>
          <w:b/>
          <w:i/>
          <w:color w:val="auto"/>
        </w:rPr>
      </w:pPr>
    </w:p>
    <w:p w:rsidR="00B60AB1" w:rsidRPr="00634C01" w:rsidP="00053466">
      <w:pPr>
        <w:pStyle w:val="Default"/>
        <w:spacing w:line="360" w:lineRule="auto"/>
        <w:jc w:val="both"/>
        <w:rPr>
          <w:rFonts w:ascii="Calibri" w:hAnsi="Calibri" w:cs="Calibri"/>
          <w:b/>
          <w:i/>
          <w:color w:val="auto"/>
        </w:rPr>
      </w:pPr>
    </w:p>
    <w:p w:rsidR="00FD536E" w:rsidRPr="00634C01" w:rsidP="00053466">
      <w:pPr>
        <w:pStyle w:val="Default"/>
        <w:spacing w:line="360" w:lineRule="auto"/>
        <w:jc w:val="both"/>
        <w:rPr>
          <w:rFonts w:ascii="Calibri" w:hAnsi="Calibri" w:cs="Calibri"/>
          <w:b/>
          <w:i/>
          <w:color w:val="auto"/>
        </w:rPr>
      </w:pPr>
    </w:p>
    <w:p w:rsidR="00522489" w:rsidRPr="00CE0D36" w:rsidP="00CE0D36">
      <w:pPr>
        <w:spacing w:after="240" w:line="360" w:lineRule="auto"/>
        <w:ind w:firstLine="1701"/>
        <w:jc w:val="both"/>
        <w:rPr>
          <w:rFonts w:ascii="Calibri" w:eastAsia="Times New Roman" w:hAnsi="Calibri" w:cs="Calibri"/>
          <w:i/>
          <w:sz w:val="24"/>
          <w:szCs w:val="24"/>
          <w:lang w:eastAsia="pt-BR"/>
        </w:rPr>
      </w:pPr>
      <w:r w:rsidRPr="00634C01">
        <w:rPr>
          <w:rFonts w:ascii="Calibri" w:eastAsia="Times New Roman" w:hAnsi="Calibri" w:cs="Calibri"/>
          <w:sz w:val="24"/>
          <w:szCs w:val="24"/>
          <w:lang w:eastAsia="pt-BR"/>
        </w:rPr>
        <w:t xml:space="preserve">Trata-se de parecer jurídico </w:t>
      </w:r>
      <w:r w:rsidRPr="00634C01" w:rsidR="00A21FFC">
        <w:rPr>
          <w:rFonts w:ascii="Calibri" w:eastAsia="Times New Roman" w:hAnsi="Calibri" w:cs="Calibri"/>
          <w:sz w:val="24"/>
          <w:szCs w:val="24"/>
          <w:lang w:eastAsia="pt-BR"/>
        </w:rPr>
        <w:t>relativo ao projeto em epígrafe</w:t>
      </w:r>
      <w:r w:rsidRPr="00634C01">
        <w:rPr>
          <w:rFonts w:ascii="Calibri" w:eastAsia="Times New Roman" w:hAnsi="Calibri" w:cs="Calibri"/>
          <w:sz w:val="24"/>
          <w:szCs w:val="24"/>
          <w:lang w:eastAsia="pt-BR"/>
        </w:rPr>
        <w:t xml:space="preserve"> </w:t>
      </w:r>
      <w:r w:rsidRPr="00634C01" w:rsidR="00E503EA">
        <w:rPr>
          <w:rFonts w:ascii="Calibri" w:eastAsia="Times New Roman" w:hAnsi="Calibri" w:cs="Calibri"/>
          <w:sz w:val="24"/>
          <w:szCs w:val="24"/>
          <w:lang w:eastAsia="pt-BR"/>
        </w:rPr>
        <w:t xml:space="preserve">que </w:t>
      </w:r>
      <w:r w:rsidRPr="00634C01" w:rsidR="00943C53">
        <w:rPr>
          <w:rFonts w:ascii="Calibri" w:eastAsia="Times New Roman" w:hAnsi="Calibri" w:cs="Calibri"/>
          <w:sz w:val="24"/>
          <w:szCs w:val="24"/>
          <w:lang w:eastAsia="pt-BR"/>
        </w:rPr>
        <w:t>“</w:t>
      </w:r>
      <w:r w:rsidRPr="00CE0D36" w:rsidR="00CE0D36">
        <w:rPr>
          <w:i/>
        </w:rPr>
        <w:t>Institui o Programa de Cultura de Paz e Combate à Violência em Ambientes Públicos</w:t>
      </w:r>
      <w:r w:rsidR="00B60AB1">
        <w:rPr>
          <w:i/>
        </w:rPr>
        <w:t xml:space="preserve"> e dá outras providências</w:t>
      </w:r>
      <w:r w:rsidRPr="00CE0D36" w:rsidR="00B60AB1">
        <w:rPr>
          <w:rFonts w:ascii="Calibri" w:eastAsia="Times New Roman" w:hAnsi="Calibri" w:cs="Calibri"/>
          <w:i/>
          <w:sz w:val="24"/>
          <w:szCs w:val="24"/>
          <w:lang w:eastAsia="pt-BR"/>
        </w:rPr>
        <w:t>”.</w:t>
      </w:r>
    </w:p>
    <w:p w:rsidR="0059608B" w:rsidRPr="00634C01" w:rsidP="00894426">
      <w:pPr>
        <w:tabs>
          <w:tab w:val="left" w:pos="1701"/>
        </w:tabs>
        <w:spacing w:after="12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i/>
          <w:sz w:val="24"/>
          <w:szCs w:val="24"/>
          <w:lang w:eastAsia="pt-BR"/>
        </w:rPr>
        <w:t>Ab initio</w:t>
      </w:r>
      <w:r w:rsidRPr="00634C01">
        <w:rPr>
          <w:rFonts w:ascii="Calibri" w:eastAsia="Times New Roman" w:hAnsi="Calibri" w:cs="Calibri"/>
          <w:sz w:val="24"/>
          <w:szCs w:val="24"/>
          <w:lang w:eastAsia="pt-BR"/>
        </w:rPr>
        <w:t>, cumpre destacar a competência regimental da Comissão de Justiça e Re</w:t>
      </w:r>
      <w:r w:rsidRPr="00634C01" w:rsidR="00C80CBA">
        <w:rPr>
          <w:rFonts w:ascii="Calibri" w:eastAsia="Times New Roman" w:hAnsi="Calibri" w:cs="Calibri"/>
          <w:sz w:val="24"/>
          <w:szCs w:val="24"/>
          <w:lang w:eastAsia="pt-BR"/>
        </w:rPr>
        <w:t xml:space="preserve">dação estabelecida no artigo 38. </w:t>
      </w:r>
    </w:p>
    <w:p w:rsidR="00C65153" w:rsidRPr="00634C01" w:rsidP="00D33A1B">
      <w:pPr>
        <w:tabs>
          <w:tab w:val="left" w:pos="1701"/>
        </w:tabs>
        <w:spacing w:after="120" w:line="360" w:lineRule="auto"/>
        <w:ind w:firstLine="1701"/>
        <w:jc w:val="both"/>
        <w:rPr>
          <w:rFonts w:ascii="Calibri" w:hAnsi="Calibri" w:cs="Calibri"/>
          <w:sz w:val="24"/>
          <w:szCs w:val="24"/>
        </w:rPr>
      </w:pPr>
      <w:r w:rsidRPr="00634C01">
        <w:rPr>
          <w:rFonts w:ascii="Calibri" w:eastAsia="Times New Roman" w:hAnsi="Calibri" w:cs="Calibri"/>
          <w:sz w:val="24"/>
          <w:szCs w:val="24"/>
          <w:lang w:eastAsia="pt-BR"/>
        </w:rPr>
        <w:t>R</w:t>
      </w:r>
      <w:r w:rsidRPr="00634C01" w:rsidR="0066538A">
        <w:rPr>
          <w:rFonts w:ascii="Calibri" w:eastAsia="Times New Roman" w:hAnsi="Calibri" w:cs="Calibri"/>
          <w:sz w:val="24"/>
          <w:szCs w:val="24"/>
          <w:lang w:eastAsia="pt-BR"/>
        </w:rPr>
        <w:t xml:space="preserve">essalta-se que a opinião jurídica exarada </w:t>
      </w:r>
      <w:r w:rsidRPr="00634C01" w:rsidR="0066538A">
        <w:rPr>
          <w:rFonts w:ascii="Calibri" w:eastAsia="Times New Roman" w:hAnsi="Calibri" w:cs="Calibri"/>
          <w:b/>
          <w:sz w:val="24"/>
          <w:szCs w:val="24"/>
          <w:lang w:eastAsia="pt-BR"/>
        </w:rPr>
        <w:t>não tem força vinculante</w:t>
      </w:r>
      <w:r w:rsidRPr="00634C01" w:rsidR="0066538A">
        <w:rPr>
          <w:rFonts w:ascii="Calibri" w:eastAsia="Times New Roman" w:hAnsi="Calibri" w:cs="Calibri"/>
          <w:sz w:val="24"/>
          <w:szCs w:val="24"/>
          <w:lang w:eastAsia="pt-BR"/>
        </w:rPr>
        <w:t>, sendo meramente opinativo não vinculando o entendimento das Comissões.</w:t>
      </w:r>
      <w:r w:rsidRPr="00634C01" w:rsidR="00D33A1B">
        <w:rPr>
          <w:rFonts w:ascii="Calibri" w:eastAsia="Times New Roman" w:hAnsi="Calibri" w:cs="Calibri"/>
          <w:sz w:val="24"/>
          <w:szCs w:val="24"/>
          <w:lang w:eastAsia="pt-BR"/>
        </w:rPr>
        <w:t xml:space="preserve"> </w:t>
      </w:r>
      <w:r w:rsidRPr="00634C01">
        <w:rPr>
          <w:rFonts w:ascii="Calibri" w:hAnsi="Calibri" w:cs="Calibri"/>
          <w:sz w:val="24"/>
          <w:szCs w:val="24"/>
        </w:rPr>
        <w:t>Nesse sentido é o entendimento do</w:t>
      </w:r>
      <w:r w:rsidRPr="00634C01" w:rsidR="0059608B">
        <w:rPr>
          <w:rFonts w:ascii="Calibri" w:hAnsi="Calibri" w:cs="Calibri"/>
          <w:sz w:val="24"/>
          <w:szCs w:val="24"/>
        </w:rPr>
        <w:t xml:space="preserve"> C.</w:t>
      </w:r>
      <w:r w:rsidRPr="00634C01">
        <w:rPr>
          <w:rFonts w:ascii="Calibri" w:hAnsi="Calibri" w:cs="Calibri"/>
          <w:sz w:val="24"/>
          <w:szCs w:val="24"/>
        </w:rPr>
        <w:t xml:space="preserve"> Supremo Tribunal Federal</w:t>
      </w:r>
      <w:r>
        <w:rPr>
          <w:rStyle w:val="FootnoteReference"/>
          <w:rFonts w:ascii="Calibri" w:hAnsi="Calibri" w:cs="Calibri"/>
          <w:sz w:val="24"/>
          <w:szCs w:val="24"/>
        </w:rPr>
        <w:footnoteReference w:id="2"/>
      </w:r>
      <w:r w:rsidRPr="00634C01" w:rsidR="000865B7">
        <w:rPr>
          <w:rFonts w:ascii="Calibri" w:hAnsi="Calibri" w:cs="Calibri"/>
          <w:sz w:val="24"/>
          <w:szCs w:val="24"/>
        </w:rPr>
        <w:t>.</w:t>
      </w:r>
      <w:r w:rsidRPr="00634C01">
        <w:rPr>
          <w:rFonts w:ascii="Calibri" w:hAnsi="Calibri" w:cs="Calibri"/>
          <w:sz w:val="24"/>
          <w:szCs w:val="24"/>
        </w:rPr>
        <w:t xml:space="preserve"> </w:t>
      </w:r>
    </w:p>
    <w:p w:rsidR="00623AD7" w:rsidRPr="00634C01" w:rsidP="00053466">
      <w:pPr>
        <w:pStyle w:val="Default"/>
        <w:spacing w:after="240" w:line="360" w:lineRule="auto"/>
        <w:ind w:firstLine="1701"/>
        <w:jc w:val="both"/>
        <w:rPr>
          <w:rFonts w:ascii="Calibri" w:hAnsi="Calibri" w:cs="Calibri"/>
          <w:color w:val="auto"/>
        </w:rPr>
      </w:pPr>
      <w:r w:rsidRPr="00634C01">
        <w:rPr>
          <w:rFonts w:ascii="Calibri" w:hAnsi="Calibri" w:cs="Calibri"/>
          <w:color w:val="auto"/>
        </w:rPr>
        <w:t>Considerando-se o aspecto constituciona</w:t>
      </w:r>
      <w:r w:rsidRPr="00634C01" w:rsidR="00D33A1B">
        <w:rPr>
          <w:rFonts w:ascii="Calibri" w:hAnsi="Calibri" w:cs="Calibri"/>
          <w:color w:val="auto"/>
        </w:rPr>
        <w:t>l, legal e</w:t>
      </w:r>
      <w:r w:rsidRPr="00634C01" w:rsidR="0066538A">
        <w:rPr>
          <w:rFonts w:ascii="Calibri" w:hAnsi="Calibri" w:cs="Calibri"/>
          <w:color w:val="auto"/>
        </w:rPr>
        <w:t xml:space="preserve"> jurídico, passa-se à</w:t>
      </w:r>
      <w:r w:rsidRPr="00634C01">
        <w:rPr>
          <w:rFonts w:ascii="Calibri" w:hAnsi="Calibri" w:cs="Calibri"/>
          <w:color w:val="auto"/>
        </w:rPr>
        <w:t xml:space="preserve"> </w:t>
      </w:r>
      <w:r w:rsidRPr="00634C01">
        <w:rPr>
          <w:rFonts w:ascii="Calibri" w:hAnsi="Calibri" w:cs="Calibri"/>
          <w:b/>
          <w:color w:val="auto"/>
        </w:rPr>
        <w:t>análise técnica</w:t>
      </w:r>
      <w:r w:rsidRPr="00634C01">
        <w:rPr>
          <w:rFonts w:ascii="Calibri" w:hAnsi="Calibri" w:cs="Calibri"/>
          <w:color w:val="auto"/>
        </w:rPr>
        <w:t xml:space="preserve"> do projeto. </w:t>
      </w:r>
    </w:p>
    <w:p w:rsidR="0066538A" w:rsidRPr="00634C01" w:rsidP="0066538A">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 xml:space="preserve">Inicialmente, temos que por força da Constituição os Municípios foram dotados de autonomia legislativa, que vem consubstanciada na </w:t>
      </w:r>
      <w:r w:rsidRPr="00634C01" w:rsidR="00D23678">
        <w:rPr>
          <w:rFonts w:ascii="Calibri" w:eastAsia="Times New Roman" w:hAnsi="Calibri" w:cs="Calibri"/>
          <w:sz w:val="24"/>
          <w:szCs w:val="24"/>
          <w:lang w:eastAsia="pt-BR"/>
        </w:rPr>
        <w:t>competência para</w:t>
      </w:r>
      <w:r w:rsidRPr="00634C01">
        <w:rPr>
          <w:rFonts w:ascii="Calibri" w:eastAsia="Times New Roman" w:hAnsi="Calibri" w:cs="Calibri"/>
          <w:sz w:val="24"/>
          <w:szCs w:val="24"/>
          <w:lang w:eastAsia="pt-BR"/>
        </w:rPr>
        <w:t xml:space="preserve"> legislar sobre assuntos de interesse local e de suplementar a legislação federal e estadual no que couber (art. 30, </w:t>
      </w:r>
      <w:r w:rsidRPr="00634C01" w:rsidR="00D23678">
        <w:rPr>
          <w:rFonts w:ascii="Calibri" w:eastAsia="Times New Roman" w:hAnsi="Calibri" w:cs="Calibri"/>
          <w:sz w:val="24"/>
          <w:szCs w:val="24"/>
          <w:lang w:eastAsia="pt-BR"/>
        </w:rPr>
        <w:t xml:space="preserve">incisos I e </w:t>
      </w:r>
      <w:r w:rsidRPr="00634C01">
        <w:rPr>
          <w:rFonts w:ascii="Calibri" w:eastAsia="Times New Roman" w:hAnsi="Calibri" w:cs="Calibri"/>
          <w:sz w:val="24"/>
          <w:szCs w:val="24"/>
          <w:lang w:eastAsia="pt-BR"/>
        </w:rPr>
        <w:t>II</w:t>
      </w:r>
      <w:r w:rsidRPr="00634C01" w:rsidR="00D23678">
        <w:rPr>
          <w:rFonts w:ascii="Calibri" w:eastAsia="Times New Roman" w:hAnsi="Calibri" w:cs="Calibri"/>
          <w:sz w:val="24"/>
          <w:szCs w:val="24"/>
          <w:lang w:eastAsia="pt-BR"/>
        </w:rPr>
        <w:t>, da CF</w:t>
      </w:r>
      <w:r w:rsidRPr="00634C01">
        <w:rPr>
          <w:rFonts w:ascii="Calibri" w:eastAsia="Times New Roman" w:hAnsi="Calibri" w:cs="Calibri"/>
          <w:sz w:val="24"/>
          <w:szCs w:val="24"/>
          <w:lang w:eastAsia="pt-BR"/>
        </w:rPr>
        <w:t>).</w:t>
      </w:r>
    </w:p>
    <w:p w:rsidR="00FD536E" w:rsidRPr="00634C01" w:rsidP="00FD536E">
      <w:pPr>
        <w:autoSpaceDE w:val="0"/>
        <w:autoSpaceDN w:val="0"/>
        <w:adjustRightInd w:val="0"/>
        <w:spacing w:after="0" w:line="360" w:lineRule="auto"/>
        <w:jc w:val="both"/>
        <w:rPr>
          <w:rFonts w:ascii="Calibri" w:hAnsi="Calibri" w:cs="Calibri"/>
          <w:sz w:val="24"/>
          <w:szCs w:val="24"/>
        </w:rPr>
      </w:pPr>
      <w:r w:rsidRPr="00634C01">
        <w:rPr>
          <w:rFonts w:ascii="Calibri" w:hAnsi="Calibri" w:cs="Calibri"/>
          <w:sz w:val="24"/>
          <w:szCs w:val="24"/>
        </w:rPr>
        <w:t xml:space="preserve"> </w:t>
      </w:r>
      <w:r w:rsidRPr="00634C01">
        <w:rPr>
          <w:rFonts w:ascii="Calibri" w:hAnsi="Calibri" w:cs="Calibri"/>
          <w:sz w:val="24"/>
          <w:szCs w:val="24"/>
        </w:rPr>
        <w:tab/>
      </w:r>
      <w:r w:rsidRPr="00634C01">
        <w:rPr>
          <w:rFonts w:ascii="Calibri" w:hAnsi="Calibri" w:cs="Calibri"/>
          <w:sz w:val="24"/>
          <w:szCs w:val="24"/>
        </w:rPr>
        <w:tab/>
        <w:t xml:space="preserve">   </w:t>
      </w:r>
      <w:r w:rsidRPr="00634C01">
        <w:rPr>
          <w:rFonts w:ascii="Calibri" w:hAnsi="Calibri" w:cs="Calibri"/>
          <w:sz w:val="24"/>
          <w:szCs w:val="24"/>
        </w:rPr>
        <w:t xml:space="preserve">   Acerca do conceito de interesse local o saudoso professor Hely Lopes Meirelles leciona:</w:t>
      </w:r>
    </w:p>
    <w:p w:rsidR="00634C01" w:rsidP="00FD6FE5">
      <w:pPr>
        <w:autoSpaceDE w:val="0"/>
        <w:autoSpaceDN w:val="0"/>
        <w:adjustRightInd w:val="0"/>
        <w:spacing w:after="0"/>
        <w:ind w:left="2268"/>
        <w:jc w:val="both"/>
        <w:rPr>
          <w:rFonts w:ascii="Calibri" w:eastAsia="Calibri" w:hAnsi="Calibri" w:cs="Calibri"/>
          <w:b/>
          <w:i/>
        </w:rPr>
      </w:pPr>
      <w:r w:rsidRPr="001245F8">
        <w:rPr>
          <w:rFonts w:ascii="Calibri" w:eastAsia="Calibri" w:hAnsi="Calibri" w:cs="Calibri"/>
          <w:b/>
          <w:i/>
        </w:rPr>
        <w:t>"Interesse local não é interesse exclusivo do Município; não é interesse privativo da localidade; não é interesse único dos municípios.</w:t>
      </w:r>
      <w:r w:rsidRPr="00634C01">
        <w:rPr>
          <w:rFonts w:ascii="Calibri" w:eastAsia="Calibri" w:hAnsi="Calibri" w:cs="Calibri"/>
          <w:i/>
        </w:rPr>
        <w:t xml:space="preserve">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34C01">
        <w:rPr>
          <w:rFonts w:ascii="Calibri" w:eastAsia="Calibri" w:hAnsi="Calibri" w:cs="Calibri"/>
          <w:b/>
          <w:i/>
        </w:rPr>
        <w:t>O que define e caracteriza o 'interesse local', inscrito como dogma constitucional, é a predominância do interesse do Município sobre o do Estado ou da União". (gn)</w:t>
      </w:r>
    </w:p>
    <w:p w:rsidR="00FD536E" w:rsidRPr="00634C01" w:rsidP="00FD6FE5">
      <w:pPr>
        <w:autoSpaceDE w:val="0"/>
        <w:autoSpaceDN w:val="0"/>
        <w:adjustRightInd w:val="0"/>
        <w:spacing w:after="0"/>
        <w:ind w:left="2268"/>
        <w:jc w:val="both"/>
        <w:rPr>
          <w:rFonts w:ascii="Calibri" w:eastAsia="Calibri" w:hAnsi="Calibri" w:cs="Calibri"/>
          <w:i/>
        </w:rPr>
      </w:pPr>
      <w:r w:rsidRPr="00634C01">
        <w:rPr>
          <w:rFonts w:ascii="Calibri" w:eastAsia="Calibri" w:hAnsi="Calibri" w:cs="Calibri"/>
          <w:i/>
        </w:rPr>
        <w:t>(in Direito Municipal Brasileiro, 6ª ed., atualizada por Izabel Camargo Lopes Monteiro e Yara Darcy Police Monteiro, 1993, Malheiros, p. 98)</w:t>
      </w:r>
    </w:p>
    <w:p w:rsidR="00814080" w:rsidRPr="00634C01" w:rsidP="00D23678">
      <w:pPr>
        <w:autoSpaceDE w:val="0"/>
        <w:autoSpaceDN w:val="0"/>
        <w:adjustRightInd w:val="0"/>
        <w:spacing w:after="0" w:line="240" w:lineRule="auto"/>
        <w:ind w:left="2268"/>
        <w:jc w:val="both"/>
        <w:rPr>
          <w:rFonts w:ascii="Calibri" w:eastAsia="Calibri" w:hAnsi="Calibri" w:cs="Calibri"/>
          <w:i/>
        </w:rPr>
      </w:pPr>
    </w:p>
    <w:p w:rsidR="00623AD7" w:rsidRPr="00634C01" w:rsidP="00053466">
      <w:pPr>
        <w:autoSpaceDE w:val="0"/>
        <w:autoSpaceDN w:val="0"/>
        <w:adjustRightInd w:val="0"/>
        <w:spacing w:after="0" w:line="360" w:lineRule="auto"/>
        <w:jc w:val="both"/>
        <w:rPr>
          <w:rFonts w:ascii="Calibri" w:hAnsi="Calibri" w:cs="Calibri"/>
          <w:sz w:val="4"/>
          <w:szCs w:val="4"/>
        </w:rPr>
      </w:pPr>
    </w:p>
    <w:p w:rsidR="00BE0431" w:rsidRPr="00634C01" w:rsidP="00B60AB1">
      <w:pPr>
        <w:tabs>
          <w:tab w:val="left" w:pos="1701"/>
        </w:tabs>
        <w:autoSpaceDE w:val="0"/>
        <w:autoSpaceDN w:val="0"/>
        <w:adjustRightInd w:val="0"/>
        <w:spacing w:line="360" w:lineRule="auto"/>
        <w:jc w:val="both"/>
        <w:rPr>
          <w:rFonts w:ascii="Calibri" w:eastAsia="Times New Roman" w:hAnsi="Calibri" w:cs="Calibri"/>
          <w:sz w:val="24"/>
          <w:szCs w:val="24"/>
          <w:lang w:eastAsia="pt-BR"/>
        </w:rPr>
      </w:pPr>
      <w:r w:rsidRPr="00634C01">
        <w:rPr>
          <w:rFonts w:ascii="Calibri" w:hAnsi="Calibri" w:cs="Calibri"/>
          <w:sz w:val="24"/>
          <w:szCs w:val="24"/>
        </w:rPr>
        <w:t xml:space="preserve"> </w:t>
      </w:r>
      <w:r w:rsidRPr="00634C01">
        <w:rPr>
          <w:rFonts w:ascii="Calibri" w:hAnsi="Calibri" w:cs="Calibri"/>
          <w:sz w:val="24"/>
          <w:szCs w:val="24"/>
        </w:rPr>
        <w:tab/>
      </w:r>
      <w:r w:rsidRPr="00634C01">
        <w:rPr>
          <w:rFonts w:ascii="Calibri" w:eastAsia="Times New Roman" w:hAnsi="Calibri" w:cs="Calibri"/>
          <w:sz w:val="24"/>
          <w:szCs w:val="24"/>
          <w:lang w:eastAsia="pt-BR"/>
        </w:rPr>
        <w:t xml:space="preserve">No que tange à </w:t>
      </w:r>
      <w:r w:rsidRPr="00634C01">
        <w:rPr>
          <w:rFonts w:ascii="Calibri" w:eastAsia="Times New Roman" w:hAnsi="Calibri" w:cs="Calibri"/>
          <w:b/>
          <w:sz w:val="24"/>
          <w:szCs w:val="24"/>
          <w:lang w:eastAsia="pt-BR"/>
        </w:rPr>
        <w:t xml:space="preserve">competência para deflagrar </w:t>
      </w:r>
      <w:r w:rsidR="00F109F7">
        <w:rPr>
          <w:rFonts w:ascii="Calibri" w:eastAsia="Times New Roman" w:hAnsi="Calibri" w:cs="Calibri"/>
          <w:b/>
          <w:sz w:val="24"/>
          <w:szCs w:val="24"/>
          <w:lang w:eastAsia="pt-BR"/>
        </w:rPr>
        <w:t>o processo legislativo</w:t>
      </w:r>
      <w:r w:rsidRPr="00634C01" w:rsidR="00EC16C1">
        <w:rPr>
          <w:rFonts w:ascii="Calibri" w:eastAsia="Times New Roman" w:hAnsi="Calibri" w:cs="Calibri"/>
          <w:sz w:val="24"/>
          <w:szCs w:val="24"/>
          <w:lang w:eastAsia="pt-BR"/>
        </w:rPr>
        <w:t xml:space="preserve"> </w:t>
      </w:r>
      <w:r w:rsidRPr="00634C01">
        <w:rPr>
          <w:rFonts w:ascii="Calibri" w:eastAsia="Times New Roman" w:hAnsi="Calibri" w:cs="Calibri"/>
          <w:sz w:val="24"/>
          <w:szCs w:val="24"/>
          <w:lang w:eastAsia="pt-BR"/>
        </w:rPr>
        <w:t>a Constituição do Estado de São Paulo, no artigo 24, § 2º</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em simetria com o artigo 6</w:t>
      </w:r>
      <w:r w:rsidRPr="00634C01" w:rsidR="001F3657">
        <w:rPr>
          <w:rFonts w:ascii="Calibri" w:eastAsia="Times New Roman" w:hAnsi="Calibri" w:cs="Calibri"/>
          <w:sz w:val="24"/>
          <w:szCs w:val="24"/>
          <w:lang w:eastAsia="pt-BR"/>
        </w:rPr>
        <w:t>1, § 1º</w:t>
      </w:r>
      <w:r w:rsidRPr="00634C01" w:rsidR="00624D13">
        <w:rPr>
          <w:rFonts w:ascii="Calibri" w:eastAsia="Times New Roman" w:hAnsi="Calibri" w:cs="Calibri"/>
          <w:sz w:val="24"/>
          <w:szCs w:val="24"/>
          <w:lang w:eastAsia="pt-BR"/>
        </w:rPr>
        <w:t>,</w:t>
      </w:r>
      <w:r w:rsidRPr="00634C01" w:rsidR="001F3657">
        <w:rPr>
          <w:rFonts w:ascii="Calibri" w:eastAsia="Times New Roman" w:hAnsi="Calibri" w:cs="Calibri"/>
          <w:sz w:val="24"/>
          <w:szCs w:val="24"/>
          <w:lang w:eastAsia="pt-BR"/>
        </w:rPr>
        <w:t xml:space="preserve"> da Constituição Federal</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estabelece o rol de hipóteses de iniciativa privativa do Chefe do Poder Executivo</w:t>
      </w:r>
      <w:r w:rsidRPr="00634C01" w:rsidR="00600F21">
        <w:rPr>
          <w:rFonts w:ascii="Calibri" w:eastAsia="Times New Roman" w:hAnsi="Calibri" w:cs="Calibri"/>
          <w:sz w:val="24"/>
          <w:szCs w:val="24"/>
          <w:lang w:eastAsia="pt-BR"/>
        </w:rPr>
        <w:t>:</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b/>
          <w:i/>
          <w:lang w:eastAsia="pt-BR"/>
        </w:rPr>
        <w:t>Artigo 24 -</w:t>
      </w:r>
      <w:r w:rsidRPr="00634C01">
        <w:rPr>
          <w:rFonts w:ascii="Calibri" w:eastAsia="Times New Roman" w:hAnsi="Calibri" w:cs="Calibri"/>
          <w:i/>
          <w:lang w:eastAsia="pt-BR"/>
        </w:rPr>
        <w:t xml:space="preserve">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b/>
          <w:i/>
          <w:lang w:eastAsia="pt-BR"/>
        </w:rPr>
        <w:t>§ 2º</w:t>
      </w:r>
      <w:r w:rsidRPr="00634C01">
        <w:rPr>
          <w:rFonts w:ascii="Calibri" w:eastAsia="Times New Roman" w:hAnsi="Calibri" w:cs="Calibri"/>
          <w:i/>
          <w:lang w:eastAsia="pt-BR"/>
        </w:rPr>
        <w:t> - Compete, exclusivamente, ao Governador do Estado a iniciativa das leis que disponham sobre:</w:t>
      </w:r>
    </w:p>
    <w:p w:rsidR="00BE0431" w:rsidRPr="00634C01" w:rsidP="009761EB">
      <w:pPr>
        <w:spacing w:after="120"/>
        <w:ind w:left="2268"/>
        <w:jc w:val="both"/>
        <w:rPr>
          <w:rFonts w:ascii="Calibri" w:eastAsia="Times New Roman" w:hAnsi="Calibri" w:cs="Calibri"/>
          <w:i/>
          <w:lang w:eastAsia="pt-BR"/>
        </w:rPr>
      </w:pPr>
      <w:r w:rsidRPr="00B45AE8">
        <w:rPr>
          <w:rFonts w:ascii="Calibri" w:eastAsia="Times New Roman" w:hAnsi="Calibri" w:cs="Calibri"/>
          <w:i/>
          <w:lang w:eastAsia="pt-BR"/>
        </w:rPr>
        <w:t>1 - criação e extinção de cargos, funções ou empregos públicos n</w:t>
      </w:r>
      <w:r w:rsidRPr="00634C01">
        <w:rPr>
          <w:rFonts w:ascii="Calibri" w:eastAsia="Times New Roman" w:hAnsi="Calibri" w:cs="Calibri"/>
          <w:i/>
          <w:lang w:eastAsia="pt-BR"/>
        </w:rPr>
        <w:t>a administração direta e autárquica, bem como a fixação da respectiva remuneração;</w:t>
      </w:r>
    </w:p>
    <w:p w:rsidR="00BE0431" w:rsidRPr="00634C01" w:rsidP="009761EB">
      <w:pPr>
        <w:spacing w:after="120"/>
        <w:ind w:left="2268"/>
        <w:jc w:val="both"/>
        <w:rPr>
          <w:rFonts w:ascii="Calibri" w:eastAsia="Times New Roman" w:hAnsi="Calibri" w:cs="Calibri"/>
          <w:i/>
          <w:lang w:eastAsia="pt-BR"/>
        </w:rPr>
      </w:pPr>
      <w:r w:rsidRPr="00466B57">
        <w:rPr>
          <w:rFonts w:ascii="Calibri" w:eastAsia="Times New Roman" w:hAnsi="Calibri" w:cs="Calibri"/>
          <w:b/>
          <w:i/>
          <w:lang w:eastAsia="pt-BR"/>
        </w:rPr>
        <w:t>2 - criação e extinção das Secretarias de Estado e órgãos da administração pública, observado o disposto no art. 47, XIX;</w:t>
      </w:r>
      <w:r w:rsidRPr="00466B57">
        <w:rPr>
          <w:rFonts w:ascii="Calibri" w:eastAsia="Times New Roman" w:hAnsi="Calibri" w:cs="Calibri"/>
          <w:i/>
          <w:lang w:eastAsia="pt-BR"/>
        </w:rPr>
        <w:t xml:space="preserve"> (NR)-</w:t>
      </w:r>
      <w:r w:rsidRPr="00634C01">
        <w:rPr>
          <w:rFonts w:ascii="Calibri" w:eastAsia="Times New Roman" w:hAnsi="Calibri" w:cs="Calibri"/>
          <w:i/>
          <w:lang w:eastAsia="pt-BR"/>
        </w:rPr>
        <w:t xml:space="preserve"> Redação dada pela Emenda Constitucional nº 21, de 14/2/2006.</w:t>
      </w:r>
    </w:p>
    <w:p w:rsidR="00BE0431" w:rsidRPr="00466B57"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3 - organização da Procuradoria Geral do Estado e da Defensoria </w:t>
      </w:r>
      <w:r w:rsidRPr="00466B57">
        <w:rPr>
          <w:rFonts w:ascii="Calibri" w:eastAsia="Times New Roman" w:hAnsi="Calibri" w:cs="Calibri"/>
          <w:i/>
          <w:lang w:eastAsia="pt-BR"/>
        </w:rPr>
        <w:t>Pública do Estado, observadas as normas gerais da União;</w:t>
      </w:r>
    </w:p>
    <w:p w:rsidR="00BE0431" w:rsidRPr="00466B57" w:rsidP="009761EB">
      <w:pPr>
        <w:spacing w:after="120"/>
        <w:ind w:left="2268"/>
        <w:jc w:val="both"/>
        <w:rPr>
          <w:rFonts w:ascii="Calibri" w:eastAsia="Times New Roman" w:hAnsi="Calibri" w:cs="Calibri"/>
          <w:i/>
          <w:lang w:eastAsia="pt-BR"/>
        </w:rPr>
      </w:pPr>
      <w:r w:rsidRPr="00466B57">
        <w:rPr>
          <w:rFonts w:ascii="Calibri" w:eastAsia="Times New Roman" w:hAnsi="Calibri" w:cs="Calibri"/>
          <w:i/>
          <w:lang w:eastAsia="pt-BR"/>
        </w:rPr>
        <w:t xml:space="preserve">4 - servidores públicos do Estado, seu regime jurídico, provimento de cargos, estabilidade e aposentadoria; </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5 - militares, seu regime jurídico, provimento de cargos, promoções, estabilidade, remuneração, reforma e transferência para inatividade, bem como fixação ou alteração do efetivo da Polícia Militar; </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6 - criação, alteração ou supressão de cartórios notariais e de registros públicos.</w:t>
      </w:r>
    </w:p>
    <w:p w:rsidR="00292485" w:rsidRPr="00634C01" w:rsidP="00BE0431">
      <w:pPr>
        <w:spacing w:after="0"/>
        <w:ind w:left="2268"/>
        <w:jc w:val="both"/>
        <w:rPr>
          <w:rFonts w:ascii="Calibri" w:eastAsia="Times New Roman" w:hAnsi="Calibri" w:cs="Calibri"/>
          <w:i/>
          <w:lang w:eastAsia="pt-BR"/>
        </w:rPr>
      </w:pPr>
    </w:p>
    <w:p w:rsidR="00BE0431" w:rsidRPr="00634C01" w:rsidP="00BE0431">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Na mesma linha, o art. 48, da Lei Orgânica do Município de Valinhos estabelece as matérias de deflagração exclusiva do Prefeito Municipal:</w:t>
      </w:r>
    </w:p>
    <w:p w:rsidR="00BE0431" w:rsidRPr="00634C01" w:rsidP="00A603E0">
      <w:pPr>
        <w:spacing w:after="0" w:line="264"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Art. 48. Compete, exclusivamente, ao Prefeito a iniciativa dos projetos de lei que disponham sobre: </w:t>
      </w:r>
    </w:p>
    <w:p w:rsidR="00BE0431" w:rsidRPr="00634C01" w:rsidP="00A603E0">
      <w:pPr>
        <w:spacing w:after="0" w:line="264"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I </w:t>
      </w:r>
      <w:r w:rsidRPr="00F109F7">
        <w:rPr>
          <w:rFonts w:ascii="Calibri" w:eastAsia="Times New Roman" w:hAnsi="Calibri" w:cs="Calibri"/>
          <w:i/>
          <w:lang w:eastAsia="pt-BR"/>
        </w:rPr>
        <w:t>- criação e extinção de cargos, funções ou empregos públicos</w:t>
      </w:r>
      <w:r w:rsidRPr="00634C01">
        <w:rPr>
          <w:rFonts w:ascii="Calibri" w:eastAsia="Times New Roman" w:hAnsi="Calibri" w:cs="Calibri"/>
          <w:i/>
          <w:lang w:eastAsia="pt-BR"/>
        </w:rPr>
        <w:t xml:space="preserve"> na administração direta e autárquica, bem como a fixação da respectiva remuneração;</w:t>
      </w:r>
    </w:p>
    <w:p w:rsidR="00BE0431" w:rsidRPr="00466B57" w:rsidP="00A603E0">
      <w:pPr>
        <w:spacing w:after="0" w:line="264" w:lineRule="auto"/>
        <w:ind w:left="2268"/>
        <w:jc w:val="both"/>
        <w:rPr>
          <w:rFonts w:ascii="Calibri" w:eastAsia="Times New Roman" w:hAnsi="Calibri" w:cs="Calibri"/>
          <w:b/>
          <w:i/>
          <w:lang w:eastAsia="pt-BR"/>
        </w:rPr>
      </w:pPr>
      <w:r w:rsidRPr="00466B57">
        <w:rPr>
          <w:rFonts w:ascii="Calibri" w:eastAsia="Times New Roman" w:hAnsi="Calibri" w:cs="Calibri"/>
          <w:b/>
          <w:i/>
          <w:lang w:eastAsia="pt-BR"/>
        </w:rPr>
        <w:t xml:space="preserve"> II - criação, estruturação e atribuições das Secretarias Municipais e órgãos da administração pública; </w:t>
      </w:r>
    </w:p>
    <w:p w:rsidR="00BE0431" w:rsidRPr="00466B57" w:rsidP="00A603E0">
      <w:pPr>
        <w:spacing w:after="0" w:line="264" w:lineRule="auto"/>
        <w:ind w:left="2268"/>
        <w:jc w:val="both"/>
        <w:rPr>
          <w:rFonts w:ascii="Calibri" w:eastAsia="Times New Roman" w:hAnsi="Calibri" w:cs="Calibri"/>
          <w:i/>
          <w:lang w:eastAsia="pt-BR"/>
        </w:rPr>
      </w:pPr>
      <w:r w:rsidRPr="00466B57">
        <w:rPr>
          <w:rFonts w:ascii="Calibri" w:eastAsia="Times New Roman" w:hAnsi="Calibri" w:cs="Calibri"/>
          <w:i/>
          <w:lang w:eastAsia="pt-BR"/>
        </w:rPr>
        <w:t xml:space="preserve">III - servidores públicos do Município, seu regime jurídico, provimento de cargos, estabilidade e aposentadoria; </w:t>
      </w:r>
    </w:p>
    <w:p w:rsidR="00BE0431" w:rsidRPr="00F109F7" w:rsidP="00A603E0">
      <w:pPr>
        <w:spacing w:after="0" w:line="264" w:lineRule="auto"/>
        <w:ind w:left="2268"/>
        <w:jc w:val="both"/>
        <w:rPr>
          <w:rFonts w:ascii="Calibri" w:eastAsia="Times New Roman" w:hAnsi="Calibri" w:cs="Calibri"/>
          <w:i/>
          <w:lang w:eastAsia="pt-BR"/>
        </w:rPr>
      </w:pPr>
      <w:r w:rsidRPr="00F109F7">
        <w:rPr>
          <w:rFonts w:ascii="Calibri" w:eastAsia="Times New Roman" w:hAnsi="Calibri" w:cs="Calibri"/>
          <w:i/>
          <w:lang w:eastAsia="pt-BR"/>
        </w:rPr>
        <w:t>IV - abertura de créditos adicionais.</w:t>
      </w:r>
    </w:p>
    <w:p w:rsidR="00BE0431" w:rsidRPr="00634C01" w:rsidP="004D12BA">
      <w:pPr>
        <w:tabs>
          <w:tab w:val="left" w:pos="1701"/>
        </w:tabs>
        <w:autoSpaceDE w:val="0"/>
        <w:autoSpaceDN w:val="0"/>
        <w:adjustRightInd w:val="0"/>
        <w:spacing w:line="360" w:lineRule="auto"/>
        <w:jc w:val="both"/>
        <w:rPr>
          <w:rFonts w:ascii="Calibri" w:eastAsia="Calibri" w:hAnsi="Calibri" w:cs="Calibri"/>
          <w:sz w:val="4"/>
          <w:szCs w:val="4"/>
        </w:rPr>
      </w:pPr>
    </w:p>
    <w:p w:rsidR="004752D0" w:rsidRPr="00634C01" w:rsidP="004752D0">
      <w:pPr>
        <w:pStyle w:val="Default"/>
        <w:tabs>
          <w:tab w:val="left" w:pos="1701"/>
        </w:tabs>
        <w:spacing w:after="120" w:line="360" w:lineRule="auto"/>
        <w:ind w:firstLine="1701"/>
        <w:jc w:val="both"/>
        <w:rPr>
          <w:rFonts w:ascii="Calibri" w:hAnsi="Calibri" w:cs="Calibri"/>
          <w:color w:val="auto"/>
          <w:u w:val="single"/>
        </w:rPr>
      </w:pPr>
      <w:r w:rsidRPr="00634C01">
        <w:rPr>
          <w:rFonts w:ascii="Calibri" w:hAnsi="Calibri" w:cs="Calibri"/>
          <w:color w:val="auto"/>
        </w:rPr>
        <w:t>Acerca dos limites da competência legislativa municipal dos membros do Poder Legislativo destacamos</w:t>
      </w:r>
      <w:r w:rsidRPr="00634C01">
        <w:rPr>
          <w:rFonts w:ascii="Calibri" w:hAnsi="Calibri" w:cs="Calibri"/>
          <w:b/>
          <w:color w:val="auto"/>
        </w:rPr>
        <w:t xml:space="preserve"> </w:t>
      </w:r>
      <w:r w:rsidRPr="00634C01">
        <w:rPr>
          <w:rFonts w:ascii="Calibri" w:hAnsi="Calibri" w:cs="Calibri"/>
          <w:color w:val="auto"/>
        </w:rPr>
        <w:t>decisão do Colendo Supremo Tribunal Federal que f</w:t>
      </w:r>
      <w:r w:rsidRPr="00634C01" w:rsidR="00292485">
        <w:rPr>
          <w:rFonts w:ascii="Calibri" w:hAnsi="Calibri" w:cs="Calibri"/>
          <w:color w:val="auto"/>
        </w:rPr>
        <w:t>orneceu paradigma nesse sentido, t</w:t>
      </w:r>
      <w:r w:rsidRPr="00634C01">
        <w:rPr>
          <w:rFonts w:ascii="Calibri" w:hAnsi="Calibri" w:cs="Calibri"/>
          <w:color w:val="auto"/>
        </w:rPr>
        <w:t xml:space="preserve">rata-se do </w:t>
      </w:r>
      <w:r w:rsidRPr="00634C01">
        <w:rPr>
          <w:rFonts w:ascii="Calibri" w:hAnsi="Calibri" w:cs="Calibri"/>
          <w:b/>
          <w:color w:val="auto"/>
        </w:rPr>
        <w:t>Tema nº 917 de repercussão geral (Paradigma ARE 878911)</w:t>
      </w:r>
      <w:r w:rsidRPr="00634C01">
        <w:rPr>
          <w:rFonts w:ascii="Calibri" w:hAnsi="Calibri" w:cs="Calibri"/>
          <w:color w:val="auto"/>
        </w:rPr>
        <w:t xml:space="preserve"> com a seguinte redação:</w:t>
      </w:r>
    </w:p>
    <w:p w:rsidR="004752D0" w:rsidRPr="00634C01" w:rsidP="00A603E0">
      <w:pPr>
        <w:pStyle w:val="Default"/>
        <w:spacing w:after="120" w:line="276" w:lineRule="auto"/>
        <w:ind w:left="2268"/>
        <w:jc w:val="both"/>
        <w:rPr>
          <w:rFonts w:ascii="Calibri" w:hAnsi="Calibri" w:cs="Calibri"/>
          <w:b/>
          <w:i/>
          <w:color w:val="auto"/>
          <w:sz w:val="22"/>
          <w:szCs w:val="22"/>
        </w:rPr>
      </w:pPr>
      <w:r w:rsidRPr="00634C01">
        <w:rPr>
          <w:rFonts w:ascii="Calibri" w:hAnsi="Calibri" w:cs="Calibr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466B57" w:rsidP="00A603E0">
      <w:pPr>
        <w:pStyle w:val="Default"/>
        <w:spacing w:after="120" w:line="276" w:lineRule="auto"/>
        <w:ind w:left="2268"/>
        <w:jc w:val="both"/>
        <w:rPr>
          <w:rFonts w:ascii="Calibri" w:hAnsi="Calibri" w:cs="Calibri"/>
          <w:i/>
          <w:color w:val="auto"/>
          <w:sz w:val="22"/>
          <w:szCs w:val="22"/>
        </w:rPr>
      </w:pPr>
      <w:r w:rsidRPr="00634C01">
        <w:rPr>
          <w:rFonts w:ascii="Calibri" w:hAnsi="Calibri" w:cs="Calibr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p>
    <w:p w:rsidR="00466B57" w:rsidP="00A603E0">
      <w:pPr>
        <w:pStyle w:val="Default"/>
        <w:spacing w:after="120" w:line="276" w:lineRule="auto"/>
        <w:ind w:left="2268"/>
        <w:jc w:val="both"/>
        <w:rPr>
          <w:rFonts w:ascii="Calibri" w:hAnsi="Calibri" w:cs="Calibri"/>
          <w:i/>
          <w:color w:val="auto"/>
          <w:sz w:val="22"/>
          <w:szCs w:val="22"/>
        </w:rPr>
      </w:pPr>
      <w:r w:rsidRPr="00634C01">
        <w:rPr>
          <w:rFonts w:ascii="Calibri" w:hAnsi="Calibri" w:cs="Calibr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634C01">
        <w:rPr>
          <w:rFonts w:ascii="Calibri" w:hAnsi="Calibri" w:cs="Calibri"/>
          <w:i/>
          <w:color w:val="auto"/>
          <w:sz w:val="22"/>
          <w:szCs w:val="22"/>
        </w:rPr>
        <w:t xml:space="preserve"> 4. Repercussão geral reconhecida com reafirmação da jurisprudência desta Corte. 5. Recurso extraordinário provido. </w:t>
      </w:r>
    </w:p>
    <w:p w:rsidR="0019746E" w:rsidP="00A603E0">
      <w:pPr>
        <w:pStyle w:val="Default"/>
        <w:spacing w:after="120" w:line="276" w:lineRule="auto"/>
        <w:ind w:left="2268"/>
        <w:jc w:val="both"/>
        <w:rPr>
          <w:rFonts w:ascii="Calibri" w:hAnsi="Calibri" w:cs="Calibri"/>
          <w:i/>
          <w:color w:val="auto"/>
          <w:sz w:val="20"/>
          <w:szCs w:val="20"/>
        </w:rPr>
      </w:pPr>
      <w:r w:rsidRPr="00634C01">
        <w:rPr>
          <w:rFonts w:ascii="Calibri" w:hAnsi="Calibri" w:cs="Calibri"/>
          <w:i/>
          <w:color w:val="auto"/>
          <w:sz w:val="22"/>
          <w:szCs w:val="22"/>
        </w:rPr>
        <w:t>(</w:t>
      </w:r>
      <w:r w:rsidRPr="00634C01">
        <w:rPr>
          <w:rFonts w:ascii="Calibri" w:hAnsi="Calibri" w:cs="Calibri"/>
          <w:i/>
          <w:color w:val="auto"/>
          <w:sz w:val="20"/>
          <w:szCs w:val="20"/>
        </w:rPr>
        <w:t xml:space="preserve">ARE 878911 RG, Relator(a): Min. GILMAR MENDES, julgado em 29/09/2016, PROCESSO ELETRÔNICO REPERCUSSÃO GERAL - MÉRITO DJe-217 DIVULG 10-10-2016 PUBLIC 11-10-2016 ) </w:t>
      </w:r>
      <w:r w:rsidRPr="00634C01">
        <w:rPr>
          <w:rFonts w:ascii="Calibri" w:hAnsi="Calibri" w:cs="Calibri"/>
          <w:i/>
          <w:color w:val="auto"/>
          <w:sz w:val="20"/>
          <w:szCs w:val="20"/>
        </w:rPr>
        <w:t>.Grifo nosso.</w:t>
      </w:r>
    </w:p>
    <w:p w:rsidR="00F813FC" w:rsidRPr="00634C01" w:rsidP="00A603E0">
      <w:pPr>
        <w:pStyle w:val="Default"/>
        <w:spacing w:after="120" w:line="276" w:lineRule="auto"/>
        <w:ind w:left="2268"/>
        <w:jc w:val="both"/>
        <w:rPr>
          <w:rFonts w:ascii="Calibri" w:hAnsi="Calibri" w:cs="Calibri"/>
          <w:i/>
          <w:color w:val="auto"/>
          <w:sz w:val="20"/>
          <w:szCs w:val="20"/>
        </w:rPr>
      </w:pPr>
    </w:p>
    <w:p w:rsidR="00F0355F" w:rsidRPr="00F109F7" w:rsidP="00571D71">
      <w:pPr>
        <w:pStyle w:val="Default"/>
        <w:spacing w:after="120" w:line="360" w:lineRule="auto"/>
        <w:ind w:firstLine="1701"/>
        <w:jc w:val="both"/>
        <w:rPr>
          <w:rFonts w:ascii="Calibri" w:hAnsi="Calibri" w:cs="Calibri"/>
          <w:color w:val="auto"/>
        </w:rPr>
      </w:pPr>
      <w:r w:rsidRPr="00634C01">
        <w:rPr>
          <w:rFonts w:ascii="Calibri" w:hAnsi="Calibri" w:cs="Calibri"/>
          <w:color w:val="auto"/>
        </w:rPr>
        <w:t xml:space="preserve">Consoante entendimento da C. </w:t>
      </w:r>
      <w:r w:rsidRPr="00634C01" w:rsidR="005B491E">
        <w:rPr>
          <w:rFonts w:ascii="Calibri" w:hAnsi="Calibri" w:cs="Calibri"/>
          <w:color w:val="auto"/>
        </w:rPr>
        <w:t>Suprema Corte (tese</w:t>
      </w:r>
      <w:r w:rsidRPr="00634C01">
        <w:rPr>
          <w:rFonts w:ascii="Calibri" w:hAnsi="Calibri" w:cs="Calibri"/>
          <w:color w:val="auto"/>
        </w:rPr>
        <w:t xml:space="preserve"> de repercussão geral nº 917) extrai-se que a </w:t>
      </w:r>
      <w:r w:rsidRPr="00466B57">
        <w:rPr>
          <w:rFonts w:ascii="Calibri" w:hAnsi="Calibri" w:cs="Calibri"/>
          <w:color w:val="auto"/>
        </w:rPr>
        <w:t>iniciativa dos vereadores é ampla, encontrando limites naqueles assuntos afetos diretamente ao Chefe do Poder Executivo, notadamente, a estruturação da Administração Pública, a atribuição de seus órgãos e o regime jurídico de servidores públicos,</w:t>
      </w:r>
      <w:r w:rsidRPr="00634C01">
        <w:rPr>
          <w:rFonts w:ascii="Calibri" w:hAnsi="Calibri" w:cs="Calibri"/>
          <w:color w:val="auto"/>
        </w:rPr>
        <w:t xml:space="preserve"> </w:t>
      </w:r>
      <w:r w:rsidRPr="00F109F7">
        <w:rPr>
          <w:rFonts w:ascii="Calibri" w:hAnsi="Calibri" w:cs="Calibri"/>
          <w:color w:val="auto"/>
        </w:rPr>
        <w:t>ainda que as propostas legislativas impliquem em criação de despesas.</w:t>
      </w:r>
    </w:p>
    <w:p w:rsidR="00E90B76" w:rsidRPr="00466B57" w:rsidP="0086451D">
      <w:pPr>
        <w:spacing w:before="120" w:after="240" w:line="360" w:lineRule="auto"/>
        <w:ind w:firstLine="1701"/>
        <w:jc w:val="both"/>
        <w:rPr>
          <w:rFonts w:ascii="Calibri" w:hAnsi="Calibri" w:cs="Calibri"/>
          <w:sz w:val="24"/>
          <w:szCs w:val="24"/>
        </w:rPr>
      </w:pPr>
      <w:r w:rsidRPr="00466B57">
        <w:rPr>
          <w:rFonts w:ascii="Calibri" w:hAnsi="Calibri" w:cs="Calibri"/>
          <w:sz w:val="24"/>
          <w:szCs w:val="24"/>
        </w:rPr>
        <w:t>No</w:t>
      </w:r>
      <w:r w:rsidRPr="00466B57" w:rsidR="001D3E74">
        <w:rPr>
          <w:rFonts w:ascii="Calibri" w:hAnsi="Calibri" w:cs="Calibri"/>
          <w:sz w:val="24"/>
          <w:szCs w:val="24"/>
        </w:rPr>
        <w:t xml:space="preserve"> caso em apreço </w:t>
      </w:r>
      <w:r w:rsidRPr="00466B57" w:rsidR="00FE4DD9">
        <w:rPr>
          <w:rFonts w:ascii="Calibri" w:hAnsi="Calibri" w:cs="Calibri"/>
          <w:sz w:val="24"/>
          <w:szCs w:val="24"/>
        </w:rPr>
        <w:t xml:space="preserve">verifica-se que </w:t>
      </w:r>
      <w:r w:rsidRPr="00466B57" w:rsidR="005B491E">
        <w:rPr>
          <w:rFonts w:ascii="Calibri" w:hAnsi="Calibri" w:cs="Calibri"/>
          <w:sz w:val="24"/>
          <w:szCs w:val="24"/>
        </w:rPr>
        <w:t>a propositura almeja</w:t>
      </w:r>
      <w:r w:rsidRPr="00466B57" w:rsidR="00292485">
        <w:rPr>
          <w:rFonts w:ascii="Calibri" w:hAnsi="Calibri" w:cs="Calibri"/>
          <w:sz w:val="24"/>
          <w:szCs w:val="24"/>
        </w:rPr>
        <w:t xml:space="preserve"> </w:t>
      </w:r>
      <w:r w:rsidRPr="00466B57" w:rsidR="00CE0D36">
        <w:rPr>
          <w:rFonts w:ascii="Calibri" w:hAnsi="Calibri" w:cs="Calibri"/>
          <w:sz w:val="24"/>
          <w:szCs w:val="24"/>
        </w:rPr>
        <w:t>i</w:t>
      </w:r>
      <w:r w:rsidRPr="00466B57" w:rsidR="00CE0D36">
        <w:rPr>
          <w:sz w:val="24"/>
          <w:szCs w:val="24"/>
        </w:rPr>
        <w:t>nstituir programa de</w:t>
      </w:r>
      <w:r w:rsidR="00466B57">
        <w:rPr>
          <w:sz w:val="24"/>
          <w:szCs w:val="24"/>
        </w:rPr>
        <w:t>stinado à</w:t>
      </w:r>
      <w:r w:rsidRPr="00466B57" w:rsidR="00CE0D36">
        <w:rPr>
          <w:sz w:val="24"/>
          <w:szCs w:val="24"/>
        </w:rPr>
        <w:t xml:space="preserve"> cultura de paz e combate à violência em ambientes públicos.</w:t>
      </w:r>
      <w:r w:rsidRPr="00466B57">
        <w:rPr>
          <w:rFonts w:ascii="Calibri" w:hAnsi="Calibri" w:cs="Calibri"/>
          <w:sz w:val="24"/>
          <w:szCs w:val="24"/>
        </w:rPr>
        <w:t xml:space="preserve"> Destarte, a princípio, no que tange à competência para deflagrar o processo legislativo, a Constituição vigente não contém nenhuma disposição que impeça a Câmara de Vereadores a dispor sobre a matéria.</w:t>
      </w:r>
    </w:p>
    <w:p w:rsidR="009A615D" w:rsidRPr="00634C01" w:rsidP="009A615D">
      <w:pPr>
        <w:spacing w:before="120" w:after="240" w:line="360" w:lineRule="auto"/>
        <w:ind w:firstLine="1701"/>
        <w:jc w:val="both"/>
        <w:rPr>
          <w:rFonts w:ascii="Calibri" w:hAnsi="Calibri" w:cs="Calibri"/>
          <w:sz w:val="24"/>
          <w:szCs w:val="24"/>
        </w:rPr>
      </w:pPr>
      <w:r w:rsidRPr="00634C01">
        <w:rPr>
          <w:rFonts w:ascii="Calibri" w:hAnsi="Calibri" w:cs="Calibri"/>
          <w:sz w:val="24"/>
          <w:szCs w:val="24"/>
        </w:rPr>
        <w:t xml:space="preserve">Em verdade, na essência, </w:t>
      </w:r>
      <w:r w:rsidR="00B60AB1">
        <w:rPr>
          <w:rFonts w:ascii="Calibri" w:hAnsi="Calibri" w:cs="Calibri"/>
          <w:sz w:val="24"/>
          <w:szCs w:val="24"/>
        </w:rPr>
        <w:t>temos</w:t>
      </w:r>
      <w:r w:rsidRPr="00634C01">
        <w:rPr>
          <w:rFonts w:ascii="Calibri" w:hAnsi="Calibri" w:cs="Calibri"/>
          <w:sz w:val="24"/>
          <w:szCs w:val="24"/>
        </w:rPr>
        <w:t xml:space="preserve"> que a norma</w:t>
      </w:r>
      <w:r>
        <w:rPr>
          <w:rFonts w:ascii="Calibri" w:hAnsi="Calibri" w:cs="Calibri"/>
          <w:sz w:val="24"/>
          <w:szCs w:val="24"/>
        </w:rPr>
        <w:t xml:space="preserve"> que</w:t>
      </w:r>
      <w:r w:rsidRPr="00634C01">
        <w:rPr>
          <w:rFonts w:ascii="Calibri" w:hAnsi="Calibri" w:cs="Calibri"/>
          <w:sz w:val="24"/>
          <w:szCs w:val="24"/>
        </w:rPr>
        <w:t xml:space="preserve"> possui natureza programática na visão da E. Corte Estadual de Justiça é possível ser veiculada via lei de origem parlamentar, e.g.: </w:t>
      </w:r>
    </w:p>
    <w:p w:rsidR="009A615D" w:rsidRPr="009A615D" w:rsidP="009A615D">
      <w:pPr>
        <w:pBdr>
          <w:bottom w:val="single" w:sz="12" w:space="1" w:color="auto"/>
        </w:pBdr>
        <w:spacing w:before="120" w:after="120" w:line="300" w:lineRule="auto"/>
        <w:ind w:left="2268"/>
        <w:jc w:val="both"/>
        <w:rPr>
          <w:rFonts w:ascii="Calibri" w:hAnsi="Calibri" w:cs="Calibri"/>
          <w:i/>
          <w:sz w:val="20"/>
          <w:szCs w:val="20"/>
          <w:shd w:val="clear" w:color="auto" w:fill="FFFFFF"/>
        </w:rPr>
      </w:pPr>
      <w:r w:rsidRPr="00F946DE">
        <w:rPr>
          <w:rFonts w:ascii="Calibri" w:hAnsi="Calibri" w:cs="Calibri"/>
          <w:i/>
          <w:shd w:val="clear" w:color="auto" w:fill="FFFFFF"/>
        </w:rPr>
        <w:t xml:space="preserve">Ação direta de inconstitucionalidade. Lei n. 1.361, de 03.04.2018, do Município de Nazaré Paulista, que </w:t>
      </w:r>
      <w:r w:rsidRPr="009A615D">
        <w:rPr>
          <w:rFonts w:ascii="Calibri" w:hAnsi="Calibri" w:cs="Calibri"/>
          <w:i/>
          <w:shd w:val="clear" w:color="auto" w:fill="FFFFFF"/>
        </w:rPr>
        <w:t>"autoriza a instituição de</w:t>
      </w:r>
      <w:r w:rsidRPr="00F946DE">
        <w:rPr>
          <w:rFonts w:ascii="Calibri" w:hAnsi="Calibri" w:cs="Calibri"/>
          <w:i/>
          <w:u w:val="single"/>
          <w:shd w:val="clear" w:color="auto" w:fill="FFFFFF"/>
        </w:rPr>
        <w:t xml:space="preserve"> </w:t>
      </w:r>
      <w:r w:rsidRPr="00B45AE8">
        <w:rPr>
          <w:rFonts w:ascii="Calibri" w:hAnsi="Calibri" w:cs="Calibri"/>
          <w:i/>
          <w:shd w:val="clear" w:color="auto" w:fill="FFFFFF"/>
        </w:rPr>
        <w:t>equoterapia nas escolas de rede municipal de ensino como política de educação inclusiva e dá outras providências".</w:t>
      </w:r>
      <w:r w:rsidRPr="00F946DE">
        <w:rPr>
          <w:rFonts w:ascii="Calibri" w:hAnsi="Calibri" w:cs="Calibri"/>
          <w:b/>
          <w:i/>
          <w:shd w:val="clear" w:color="auto" w:fill="FFFFFF"/>
        </w:rPr>
        <w:t xml:space="preserve"> Instituição, em si, de programa de atendimento à saúde dos alunos da rede municipal, por disposições genéricas e abstratas, que não afronta o princípio da reserva da Administração</w:t>
      </w:r>
      <w:r w:rsidRPr="00F946DE">
        <w:rPr>
          <w:rFonts w:ascii="Calibri" w:hAnsi="Calibri" w:cs="Calibri"/>
          <w:i/>
          <w:shd w:val="clear" w:color="auto" w:fill="FFFFFF"/>
        </w:rPr>
        <w:t>. Ofensa que, porém, a este título se dá quando se cometem atribuições e obrigações específicas de gestão ao Executivo.</w:t>
      </w:r>
      <w:r w:rsidRPr="00F946DE">
        <w:rPr>
          <w:rFonts w:ascii="Calibri" w:hAnsi="Calibri" w:cs="Calibri"/>
          <w:b/>
          <w:i/>
          <w:shd w:val="clear" w:color="auto" w:fill="FFFFFF"/>
        </w:rPr>
        <w:t xml:space="preserve"> </w:t>
      </w:r>
      <w:r w:rsidRPr="00F946DE">
        <w:rPr>
          <w:rFonts w:ascii="Calibri" w:hAnsi="Calibri" w:cs="Calibri"/>
          <w:i/>
          <w:shd w:val="clear" w:color="auto" w:fill="FFFFFF"/>
        </w:rPr>
        <w:t>Solução que se reserva ao feito na esteira de precedente recente do Colegiado, julgando hipótese análoga. Sanção que não afasta o vício, na parte da lei em que ele se verifica. Irregularidade reconhecida apenas em expressões dos artigos 1º e 3º, além do art. 4º. Ação julgada parcialmente procedente. </w:t>
      </w:r>
      <w:r w:rsidRPr="009A615D">
        <w:rPr>
          <w:rFonts w:ascii="Calibri" w:hAnsi="Calibri" w:cs="Calibri"/>
          <w:i/>
          <w:sz w:val="20"/>
          <w:szCs w:val="20"/>
          <w:shd w:val="clear" w:color="auto" w:fill="FFFFFF"/>
        </w:rPr>
        <w:t>(TJSP;  Direta de Inconstitucionalidade 2132436-54.2021.8.26.0000; Relator (a): Claudio Godoy; Órgão Julgador: Órgão Especial; Tribunal de Justiça de São Paulo - N/A; Data do Julgamento: 23/02/2022; Data de Registro: 24/02/2022)</w:t>
      </w:r>
    </w:p>
    <w:p w:rsidR="009A615D" w:rsidRPr="009A615D" w:rsidP="009A615D">
      <w:pPr>
        <w:spacing w:before="120" w:after="240" w:line="360" w:lineRule="auto"/>
        <w:ind w:firstLine="1701"/>
        <w:jc w:val="both"/>
        <w:rPr>
          <w:rFonts w:ascii="Calibri" w:hAnsi="Calibri" w:cs="Calibri"/>
          <w:sz w:val="4"/>
          <w:szCs w:val="4"/>
        </w:rPr>
      </w:pPr>
    </w:p>
    <w:p w:rsidR="009A615D" w:rsidRPr="00F813FC" w:rsidP="009A615D">
      <w:pPr>
        <w:spacing w:after="120" w:line="300" w:lineRule="auto"/>
        <w:jc w:val="both"/>
        <w:rPr>
          <w:rFonts w:ascii="Calibri" w:hAnsi="Calibri" w:cs="Calibri"/>
          <w:sz w:val="4"/>
          <w:szCs w:val="4"/>
        </w:rPr>
      </w:pPr>
    </w:p>
    <w:p w:rsidR="009A615D" w:rsidRPr="00CA76D1" w:rsidP="009A615D">
      <w:pPr>
        <w:spacing w:before="120" w:after="120" w:line="300" w:lineRule="auto"/>
        <w:ind w:left="2268"/>
        <w:jc w:val="both"/>
        <w:rPr>
          <w:rFonts w:ascii="Calibri" w:hAnsi="Calibri" w:cs="Calibri"/>
          <w:i/>
        </w:rPr>
      </w:pPr>
      <w:r w:rsidRPr="00634C01">
        <w:rPr>
          <w:rFonts w:ascii="Calibri" w:hAnsi="Calibri" w:cs="Calibri"/>
          <w:i/>
        </w:rPr>
        <w:t>“I. Ação Direta de Inconstitucionalidade. Lei n° 5.626, de 12 de novembro de 2018, do Município de Caçapava, "</w:t>
      </w:r>
      <w:r w:rsidRPr="00634C01">
        <w:rPr>
          <w:rFonts w:ascii="Calibri" w:hAnsi="Calibri" w:cs="Calibri"/>
          <w:b/>
          <w:i/>
        </w:rPr>
        <w:t>que dispõe sobre a instituição do Programa de Proteção à Saúde Bucal da Pessoa com Transtorno Global do Desenvolvimento (TGD) e dá outras providências".</w:t>
      </w:r>
      <w:r w:rsidRPr="00634C01">
        <w:rPr>
          <w:rFonts w:ascii="Calibri" w:hAnsi="Calibri" w:cs="Calibri"/>
          <w:i/>
        </w:rPr>
        <w:t xml:space="preserve"> II. </w:t>
      </w:r>
      <w:r w:rsidRPr="00634C01">
        <w:rPr>
          <w:rFonts w:ascii="Calibri" w:hAnsi="Calibri" w:cs="Calibri"/>
          <w:b/>
          <w:i/>
          <w:u w:val="single"/>
        </w:rPr>
        <w:t>Vício formal de inconstitucionalidade. Inocorrência.</w:t>
      </w:r>
      <w:r w:rsidRPr="00634C01">
        <w:rPr>
          <w:rFonts w:ascii="Calibri" w:hAnsi="Calibri" w:cs="Calibri"/>
          <w:i/>
        </w:rPr>
        <w:t xml:space="preserve"> De origem parlamentar, </w:t>
      </w:r>
      <w:r w:rsidRPr="00634C01">
        <w:rPr>
          <w:rFonts w:ascii="Calibri" w:hAnsi="Calibri" w:cs="Calibri"/>
          <w:b/>
          <w:i/>
          <w:u w:val="single"/>
        </w:rPr>
        <w:t>a legislação impugnada não trata de matéria inserida no rol taxativo do artigo 24, §2°, da CE. Tema 917, STF.</w:t>
      </w:r>
      <w:r w:rsidRPr="00634C01">
        <w:rPr>
          <w:rFonts w:ascii="Calibri" w:hAnsi="Calibri" w:cs="Calibri"/>
          <w:i/>
        </w:rPr>
        <w:t xml:space="preserve"> Precedentes deste Órgão Especial. III. </w:t>
      </w:r>
      <w:r w:rsidRPr="00634C01">
        <w:rPr>
          <w:rFonts w:ascii="Calibri" w:hAnsi="Calibri" w:cs="Calibri"/>
          <w:b/>
          <w:i/>
        </w:rPr>
        <w:t>Não constatada, igualmente, invasão das atribuições de competência privativa do Chefe do Poder Executivo.</w:t>
      </w:r>
      <w:r w:rsidRPr="00634C01">
        <w:rPr>
          <w:rFonts w:ascii="Calibri" w:hAnsi="Calibri" w:cs="Calibri"/>
          <w:i/>
        </w:rPr>
        <w:t xml:space="preserve"> A lei analisada não disciplina a prática de ato de administração, </w:t>
      </w:r>
      <w:r w:rsidRPr="00E44C96">
        <w:rPr>
          <w:rFonts w:ascii="Calibri" w:hAnsi="Calibri" w:cs="Calibri"/>
          <w:b/>
          <w:i/>
        </w:rPr>
        <w:t xml:space="preserve">limitando-se a instituir programa de proteção à saúde da pessoa com Transtorno Global do Desenvolvimento (TGD), em âmbito local, e estabelecer regras </w:t>
      </w:r>
      <w:r w:rsidRPr="00E44C96">
        <w:rPr>
          <w:rFonts w:ascii="Calibri" w:hAnsi="Calibri" w:cs="Calibri"/>
          <w:b/>
          <w:i/>
        </w:rPr>
        <w:t>dotadas de abstração e generalidade</w:t>
      </w:r>
      <w:r w:rsidRPr="00634C01">
        <w:rPr>
          <w:rFonts w:ascii="Calibri" w:hAnsi="Calibri" w:cs="Calibri"/>
          <w:i/>
        </w:rPr>
        <w:t xml:space="preserve">. </w:t>
      </w:r>
      <w:r w:rsidRPr="00634C01">
        <w:rPr>
          <w:rFonts w:ascii="Calibri" w:hAnsi="Calibri" w:cs="Calibri"/>
          <w:b/>
          <w:i/>
          <w:u w:val="single"/>
        </w:rPr>
        <w:t>Previsão, apenas, de instrumentos mínimos destinados a garantir sua exequibilidade e a eficácia de suas disposições. Constitui dever do Poder Executivo levar as determinações do diploma impugnado à concreção por meio de provisões especiais, com respaldo em seu poder regulamentar</w:t>
      </w:r>
      <w:r w:rsidRPr="00634C01">
        <w:rPr>
          <w:rFonts w:ascii="Calibri" w:hAnsi="Calibri" w:cs="Calibri"/>
          <w:i/>
        </w:rPr>
        <w:t xml:space="preserve">. Diversos precedentes deste Colegiado. Doutrina. VI. </w:t>
      </w:r>
      <w:r w:rsidRPr="00E44C96">
        <w:rPr>
          <w:rFonts w:ascii="Calibri" w:hAnsi="Calibri" w:cs="Calibri"/>
          <w:i/>
        </w:rPr>
        <w:t>Artigo 4°, parte final. Inconstitucionalidade verificada</w:t>
      </w:r>
      <w:r w:rsidRPr="00634C01">
        <w:rPr>
          <w:rFonts w:ascii="Calibri" w:hAnsi="Calibri" w:cs="Calibri"/>
          <w:i/>
        </w:rPr>
        <w:t xml:space="preserve">. Ressalvada a posição pessoal desta Relatoria, de acordo com o entendimento consolidado neste Órgão Especial, </w:t>
      </w:r>
      <w:r w:rsidRPr="00E44C96">
        <w:rPr>
          <w:rFonts w:ascii="Calibri" w:hAnsi="Calibri" w:cs="Calibri"/>
          <w:i/>
        </w:rPr>
        <w:t>a fixação de prazo rígido para que o Poder Executivo regulamente determinada disposição legal representa indevida interferência do Poder Legislativo em seu típico juízo de conveniência e oportunidade.</w:t>
      </w:r>
      <w:r w:rsidRPr="00634C01">
        <w:rPr>
          <w:rFonts w:ascii="Calibri" w:hAnsi="Calibri" w:cs="Calibri"/>
          <w:i/>
        </w:rPr>
        <w:t xml:space="preserve"> Violação ao princípio da separação dos Poderes, previsto no artigo 5°, da CE. Exclusão da expressão "</w:t>
      </w:r>
      <w:r w:rsidRPr="00E44C96">
        <w:rPr>
          <w:rFonts w:ascii="Calibri" w:hAnsi="Calibri" w:cs="Calibri"/>
          <w:i/>
        </w:rPr>
        <w:t>no prazo máximo de 60 (sessenta) dias, contados de sua publicação.". Pedido julgado parcialmente procedente</w:t>
      </w:r>
      <w:r w:rsidRPr="00634C01">
        <w:rPr>
          <w:rFonts w:ascii="Calibri" w:hAnsi="Calibri" w:cs="Calibri"/>
          <w:i/>
        </w:rPr>
        <w:t xml:space="preserve">.” </w:t>
      </w:r>
      <w:r w:rsidRPr="00CA76D1">
        <w:rPr>
          <w:rFonts w:ascii="Calibri" w:hAnsi="Calibri" w:cs="Calibri"/>
          <w:i/>
        </w:rPr>
        <w:t>(TJSP; Direta de Inconstitucionalidade 2263773-74.2018.8.26.0000; Relator (a): Márcio Bartoli; Órgão Julgador: Órgão Especial; Tribunal de Justiça de São Paulo - N/A; Data do Julgamento: 03/04/2019; Data de Registro: 04/04/2019, grifado</w:t>
      </w:r>
    </w:p>
    <w:p w:rsidR="009A615D" w:rsidRPr="003B0147" w:rsidP="009A615D">
      <w:pPr>
        <w:spacing w:before="120" w:after="120"/>
        <w:ind w:left="2268"/>
        <w:jc w:val="both"/>
        <w:rPr>
          <w:rFonts w:ascii="Calibri" w:hAnsi="Calibri" w:cs="Calibri"/>
          <w:i/>
          <w:sz w:val="12"/>
          <w:szCs w:val="12"/>
        </w:rPr>
      </w:pPr>
    </w:p>
    <w:p w:rsidR="00E90B76" w:rsidRPr="00E90B76" w:rsidP="00905947">
      <w:pPr>
        <w:spacing w:after="240" w:line="360" w:lineRule="auto"/>
        <w:ind w:firstLine="1701"/>
        <w:jc w:val="both"/>
        <w:rPr>
          <w:rFonts w:ascii="Calibri" w:hAnsi="Calibri" w:cs="Calibri"/>
          <w:sz w:val="24"/>
          <w:szCs w:val="24"/>
        </w:rPr>
      </w:pPr>
      <w:r w:rsidRPr="004A31BC">
        <w:rPr>
          <w:rFonts w:ascii="Calibri" w:hAnsi="Calibri" w:cs="Calibri"/>
          <w:sz w:val="24"/>
          <w:szCs w:val="24"/>
        </w:rPr>
        <w:t>Outrossim</w:t>
      </w:r>
      <w:r w:rsidRPr="004A31BC">
        <w:rPr>
          <w:rFonts w:ascii="Calibri" w:hAnsi="Calibri" w:cs="Calibri"/>
          <w:sz w:val="24"/>
          <w:szCs w:val="24"/>
        </w:rPr>
        <w:t>, destacamos posicionamento do Supremo Tribunal Federal acerca</w:t>
      </w:r>
      <w:r w:rsidR="00B60AB1">
        <w:rPr>
          <w:rFonts w:ascii="Calibri" w:hAnsi="Calibri" w:cs="Calibri"/>
          <w:sz w:val="24"/>
          <w:szCs w:val="24"/>
        </w:rPr>
        <w:t xml:space="preserve"> da</w:t>
      </w:r>
      <w:r w:rsidRPr="004A31BC">
        <w:rPr>
          <w:rFonts w:ascii="Calibri" w:hAnsi="Calibri" w:cs="Calibri"/>
          <w:sz w:val="24"/>
          <w:szCs w:val="24"/>
        </w:rPr>
        <w:t xml:space="preserve"> constitucionalidade da instituição de programa municipal por lei de iniciativa parlamentar</w:t>
      </w:r>
      <w:r w:rsidRPr="004A31BC" w:rsidR="009A615D">
        <w:rPr>
          <w:rFonts w:ascii="Calibri" w:hAnsi="Calibri" w:cs="Calibri"/>
          <w:sz w:val="24"/>
          <w:szCs w:val="24"/>
        </w:rPr>
        <w:t xml:space="preserve"> que visa</w:t>
      </w:r>
      <w:r w:rsidRPr="004A31BC">
        <w:rPr>
          <w:rFonts w:ascii="Calibri" w:hAnsi="Calibri" w:cs="Calibri"/>
          <w:sz w:val="24"/>
          <w:szCs w:val="24"/>
        </w:rPr>
        <w:t xml:space="preserve"> concretizar direito social previsto na Constituição, no caso o direito à segurança</w:t>
      </w:r>
      <w:r w:rsidRPr="004A31BC" w:rsidR="00E44C96">
        <w:rPr>
          <w:rFonts w:ascii="Calibri" w:hAnsi="Calibri" w:cs="Calibri"/>
          <w:sz w:val="24"/>
          <w:szCs w:val="24"/>
        </w:rPr>
        <w:t xml:space="preserve"> (art. 6º, CF)</w:t>
      </w:r>
      <w:r w:rsidRPr="004A31BC">
        <w:rPr>
          <w:rFonts w:ascii="Calibri" w:hAnsi="Calibri" w:cs="Calibri"/>
          <w:sz w:val="24"/>
          <w:szCs w:val="24"/>
        </w:rPr>
        <w:t>,</w:t>
      </w:r>
      <w:r>
        <w:rPr>
          <w:rFonts w:ascii="Calibri" w:hAnsi="Calibri" w:cs="Calibri"/>
          <w:sz w:val="24"/>
          <w:szCs w:val="24"/>
        </w:rPr>
        <w:t xml:space="preserve"> vejamos</w:t>
      </w:r>
      <w:r w:rsidRPr="00E90B76">
        <w:rPr>
          <w:rFonts w:ascii="Calibri" w:hAnsi="Calibri" w:cs="Calibri"/>
          <w:sz w:val="24"/>
          <w:szCs w:val="24"/>
        </w:rPr>
        <w:t>:</w:t>
      </w:r>
    </w:p>
    <w:p w:rsidR="00E90B76" w:rsidRPr="009863E9" w:rsidP="00466B57">
      <w:pPr>
        <w:spacing w:before="120" w:after="120"/>
        <w:ind w:left="2268"/>
        <w:jc w:val="both"/>
        <w:rPr>
          <w:rFonts w:cstheme="minorHAnsi"/>
          <w:i/>
          <w:sz w:val="20"/>
          <w:szCs w:val="20"/>
        </w:rPr>
      </w:pPr>
      <w:r w:rsidRPr="00D578F4">
        <w:rPr>
          <w:rFonts w:cstheme="minorHAnsi"/>
          <w:i/>
        </w:rPr>
        <w:t xml:space="preserve">Ementa: AGRAVO REGIMENTAL EM RECURSO EXTRAORDINÁRIO. CONSTITUCIONAL. AÇÃO DIRETA DE INCONSTITUCIONALIDADE NO TRIBUNAL DE JUSTIÇA. </w:t>
      </w:r>
      <w:r w:rsidRPr="00D578F4">
        <w:rPr>
          <w:rFonts w:cstheme="minorHAnsi"/>
          <w:b/>
          <w:i/>
        </w:rPr>
        <w:t>CRIAÇÃO DO PROGRAMA CRECHE SOLIDÁRIA</w:t>
      </w:r>
      <w:r w:rsidRPr="00D578F4">
        <w:rPr>
          <w:rFonts w:cstheme="minorHAnsi"/>
          <w:i/>
        </w:rPr>
        <w:t xml:space="preserve">. </w:t>
      </w:r>
      <w:r w:rsidRPr="00D578F4">
        <w:rPr>
          <w:rFonts w:cstheme="minorHAnsi"/>
          <w:b/>
          <w:i/>
        </w:rPr>
        <w:t>INEXISTÊNCIA DE OFENSA À INICIATIVA PRIVATIVA DO CHEFE DO PODER EXECUTIVO.</w:t>
      </w:r>
      <w:r w:rsidRPr="00D578F4">
        <w:rPr>
          <w:rFonts w:cstheme="minorHAnsi"/>
          <w:i/>
        </w:rPr>
        <w:t xml:space="preserve"> DECISÃO RECORRIDA QUE SE AMOLDA À JURISPRUDÊNCIA DO STF. DESPROVIMENTO DO AGRAVO REGIMENTAL. 1. </w:t>
      </w:r>
      <w:r w:rsidRPr="00D578F4">
        <w:rPr>
          <w:rFonts w:cstheme="minorHAnsi"/>
          <w:b/>
          <w:i/>
        </w:rPr>
        <w:t>Norma de origem parlamentar que não cria, extingue ou altera órgão da Administração Pública não ofende a regra constitucional de iniciativa privativa do Poder Executivo para dispor sobre essa matéria. Precedentes</w:t>
      </w:r>
      <w:r w:rsidRPr="00D578F4">
        <w:rPr>
          <w:rFonts w:cstheme="minorHAnsi"/>
          <w:i/>
        </w:rPr>
        <w:t xml:space="preserve">. </w:t>
      </w:r>
      <w:r w:rsidRPr="00ED05B1">
        <w:rPr>
          <w:rFonts w:cstheme="minorHAnsi"/>
          <w:i/>
        </w:rPr>
        <w:t>2</w:t>
      </w:r>
      <w:r w:rsidRPr="00BA3BC1">
        <w:rPr>
          <w:rFonts w:cstheme="minorHAnsi"/>
          <w:b/>
          <w:i/>
          <w:u w:val="single"/>
        </w:rPr>
        <w:t xml:space="preserve">. Não ofende a separação </w:t>
      </w:r>
      <w:r w:rsidRPr="00BA3BC1">
        <w:rPr>
          <w:rFonts w:cstheme="minorHAnsi"/>
          <w:b/>
          <w:i/>
          <w:u w:val="single"/>
        </w:rPr>
        <w:t xml:space="preserve">de poderes a previsão, em lei de iniciativa parlamentar, de encargo inerente ao Poder Público a fim de concretizar direito social previsto na Constituição. </w:t>
      </w:r>
      <w:r w:rsidRPr="00ED05B1">
        <w:rPr>
          <w:rFonts w:cstheme="minorHAnsi"/>
          <w:i/>
        </w:rPr>
        <w:t>Precedentes.</w:t>
      </w:r>
      <w:r w:rsidRPr="00D578F4">
        <w:rPr>
          <w:rFonts w:cstheme="minorHAnsi"/>
          <w:b/>
          <w:i/>
          <w:u w:val="single"/>
        </w:rPr>
        <w:t xml:space="preserve"> </w:t>
      </w:r>
      <w:r w:rsidRPr="00D578F4">
        <w:rPr>
          <w:rFonts w:cstheme="minorHAnsi"/>
          <w:i/>
        </w:rPr>
        <w:t>3. Agravo regimental a que se nega provimento.(</w:t>
      </w:r>
      <w:r w:rsidRPr="009863E9">
        <w:rPr>
          <w:rFonts w:cstheme="minorHAnsi"/>
          <w:i/>
          <w:sz w:val="20"/>
          <w:szCs w:val="20"/>
        </w:rPr>
        <w:t>RE 1282228 AgR, Relator(a): EDSON FACHIN, Segunda Turma, julgado em 15/12/2020, PROCESSO ELETRÔNICO DJe-295  DIVULG 17-12-2020  PUBLIC 18-12-2020)</w:t>
      </w:r>
    </w:p>
    <w:p w:rsidR="00E90B76" w:rsidP="00E90B76">
      <w:pPr>
        <w:spacing w:before="240" w:after="240"/>
        <w:ind w:firstLine="1701"/>
        <w:jc w:val="both"/>
        <w:rPr>
          <w:rFonts w:cstheme="minorHAnsi"/>
          <w:szCs w:val="24"/>
        </w:rPr>
      </w:pPr>
      <w:r w:rsidRPr="00D578F4">
        <w:rPr>
          <w:rFonts w:cstheme="minorHAnsi"/>
          <w:szCs w:val="24"/>
        </w:rPr>
        <w:t>No mesmo sentido:</w:t>
      </w:r>
    </w:p>
    <w:p w:rsidR="00E90B76" w:rsidRPr="009863E9" w:rsidP="00466B57">
      <w:pPr>
        <w:spacing w:before="120" w:after="240"/>
        <w:ind w:left="2268"/>
        <w:jc w:val="both"/>
        <w:rPr>
          <w:rFonts w:cstheme="minorHAnsi"/>
          <w:i/>
          <w:sz w:val="20"/>
          <w:szCs w:val="20"/>
        </w:rPr>
      </w:pPr>
      <w:r w:rsidRPr="00D578F4">
        <w:rPr>
          <w:rFonts w:cstheme="minorHAnsi"/>
          <w:i/>
        </w:rPr>
        <w:t xml:space="preserve">Ementa: AGRAVO REGIMENTAL EM RECURSO EXTRAORDINÁRIO COM AGRAVO. CONSTITUCIONAL. AÇÃO DIRETA DE INCONSTITUCIONALIDADE NO TRIBUNAL DE JUSTIÇA. </w:t>
      </w:r>
      <w:r w:rsidRPr="00D578F4">
        <w:rPr>
          <w:rFonts w:cstheme="minorHAnsi"/>
          <w:b/>
          <w:i/>
        </w:rPr>
        <w:t>CRIAÇÃO DO PROGRAMA CUIDADOR DE PESSOA COM DEFICIÊNCIA OU MOBILIDADE REDUZIDA. INEXISTÊNCIA DE OFENSA À INICIATIVA PRIVATIVA DO CHEFE DO PODER EXECUTIVO. DECISÃO RECORRIDA QUE SE AMOLDA À JURISPRUDÊNCIA DO STF.</w:t>
      </w:r>
      <w:r w:rsidRPr="00D578F4">
        <w:rPr>
          <w:rFonts w:cstheme="minorHAnsi"/>
          <w:i/>
        </w:rPr>
        <w:t xml:space="preserve"> DESPROVIMENTO DO AGRAVO REGIMENTAL. 1. </w:t>
      </w:r>
      <w:r w:rsidRPr="00D578F4">
        <w:rPr>
          <w:rFonts w:cstheme="minorHAnsi"/>
          <w:b/>
          <w:i/>
        </w:rPr>
        <w:t>Norma de origem parlamentar que não cria, extingue ou altera órgão da Administração Pública não ofende a regra constitucional de iniciativa privativa do Poder Executivo para dispor sobre essa matéria. Precedentes</w:t>
      </w:r>
      <w:r w:rsidRPr="00D578F4">
        <w:rPr>
          <w:rFonts w:cstheme="minorHAnsi"/>
          <w:i/>
        </w:rPr>
        <w:t xml:space="preserve">. 2. Não ofende a separação de poderes a previsão, </w:t>
      </w:r>
      <w:r w:rsidRPr="009A615D">
        <w:rPr>
          <w:rFonts w:cstheme="minorHAnsi"/>
          <w:b/>
          <w:i/>
        </w:rPr>
        <w:t xml:space="preserve">em lei de iniciativa parlamentar, de encargo inerente ao Poder Público a fim de concretizar direito social previsto na Constituição. </w:t>
      </w:r>
      <w:r w:rsidRPr="00D578F4">
        <w:rPr>
          <w:rFonts w:cstheme="minorHAnsi"/>
          <w:i/>
        </w:rPr>
        <w:t>Precedentes. 3. Agravo regimental a que se nega provimento.</w:t>
      </w:r>
      <w:r>
        <w:rPr>
          <w:rFonts w:cstheme="minorHAnsi"/>
          <w:i/>
        </w:rPr>
        <w:t xml:space="preserve"> </w:t>
      </w:r>
      <w:r w:rsidRPr="00D578F4">
        <w:rPr>
          <w:rFonts w:cstheme="minorHAnsi"/>
          <w:i/>
        </w:rPr>
        <w:t>(</w:t>
      </w:r>
      <w:r w:rsidRPr="009863E9">
        <w:rPr>
          <w:rFonts w:cstheme="minorHAnsi"/>
          <w:i/>
          <w:sz w:val="20"/>
          <w:szCs w:val="20"/>
        </w:rPr>
        <w:t>ARE 1281215 AgR, Relator(a): EDSON FACHIN, Segunda Turma, julgado em 30/11/2020, PROCESSO ELETRÔNICO DJe-290  DIVULG 10-12-2020  PUBLIC 11-12-2020)</w:t>
      </w:r>
    </w:p>
    <w:p w:rsidR="00C534DE" w:rsidRPr="0086328C" w:rsidP="00C534DE">
      <w:pPr>
        <w:pStyle w:val="Default"/>
        <w:spacing w:before="240" w:after="240" w:line="360" w:lineRule="auto"/>
        <w:ind w:firstLine="1701"/>
        <w:jc w:val="both"/>
        <w:rPr>
          <w:rFonts w:asciiTheme="minorHAnsi" w:hAnsiTheme="minorHAnsi" w:cstheme="minorHAnsi"/>
          <w:color w:val="auto"/>
        </w:rPr>
      </w:pPr>
      <w:r>
        <w:rPr>
          <w:rFonts w:asciiTheme="minorHAnsi" w:hAnsiTheme="minorHAnsi" w:cstheme="minorHAnsi"/>
        </w:rPr>
        <w:t xml:space="preserve">A propósito no julgamento do ARE 1.360.426, referente à lei do município de Porto Velho que criou </w:t>
      </w:r>
      <w:r w:rsidRPr="0086328C">
        <w:rPr>
          <w:rFonts w:asciiTheme="minorHAnsi" w:hAnsiTheme="minorHAnsi" w:cstheme="minorHAnsi"/>
        </w:rPr>
        <w:t>campanha permanente de conscientização e enfrentamento ao assédio e a violência sexual no município, o Min. Edson Fachin assever</w:t>
      </w:r>
      <w:r>
        <w:rPr>
          <w:rFonts w:asciiTheme="minorHAnsi" w:hAnsiTheme="minorHAnsi" w:cstheme="minorHAnsi"/>
        </w:rPr>
        <w:t>ou</w:t>
      </w:r>
      <w:r w:rsidRPr="0086328C">
        <w:rPr>
          <w:rFonts w:asciiTheme="minorHAnsi" w:hAnsiTheme="minorHAnsi" w:cstheme="minorHAnsi"/>
        </w:rPr>
        <w:t xml:space="preserve">: </w:t>
      </w:r>
    </w:p>
    <w:p w:rsidR="00C534DE" w:rsidRPr="00C4698E" w:rsidP="00C534DE">
      <w:pPr>
        <w:ind w:left="2268"/>
        <w:jc w:val="both"/>
        <w:rPr>
          <w:rFonts w:cs="Arial"/>
          <w:i/>
          <w:color w:val="000000"/>
        </w:rPr>
      </w:pPr>
      <w:r w:rsidRPr="00C4698E">
        <w:rPr>
          <w:rFonts w:cs="Arial"/>
          <w:i/>
          <w:color w:val="000000"/>
        </w:rPr>
        <w:t>(...)</w:t>
      </w:r>
    </w:p>
    <w:p w:rsidR="00C534DE" w:rsidRPr="00D80B00" w:rsidP="00C534DE">
      <w:pPr>
        <w:ind w:left="2268"/>
        <w:jc w:val="both"/>
      </w:pPr>
      <w:r w:rsidRPr="00D80B00">
        <w:t xml:space="preserve">A irresignação não merece prosperar. </w:t>
      </w:r>
    </w:p>
    <w:p w:rsidR="00C534DE" w:rsidRPr="00D80B00" w:rsidP="00C534DE">
      <w:pPr>
        <w:ind w:left="2268"/>
        <w:jc w:val="both"/>
      </w:pPr>
      <w:r w:rsidRPr="00D80B00">
        <w:t xml:space="preserve">Eis o teor da Lei 2.649/2019, do Município de Porto Velho, que foi objeto da impugnação no Tribunal local: </w:t>
      </w:r>
    </w:p>
    <w:p w:rsidR="00C534DE" w:rsidRPr="001959BB" w:rsidP="00C534DE">
      <w:pPr>
        <w:spacing w:after="120" w:line="240" w:lineRule="auto"/>
        <w:ind w:left="2552"/>
        <w:jc w:val="both"/>
        <w:rPr>
          <w:rFonts w:cs="Arial"/>
          <w:i/>
          <w:color w:val="000000"/>
        </w:rPr>
      </w:pPr>
      <w:r w:rsidRPr="001959BB">
        <w:rPr>
          <w:rFonts w:cs="Arial"/>
          <w:i/>
          <w:color w:val="000000"/>
        </w:rPr>
        <w:t xml:space="preserve">Art. 1º Fica criada a campanha permanente de conscientização e enfrentamento ao assédio e a violência sexual no município de porto velho. </w:t>
      </w:r>
    </w:p>
    <w:p w:rsidR="00C534DE" w:rsidRPr="001959BB" w:rsidP="00C534DE">
      <w:pPr>
        <w:spacing w:after="120" w:line="240" w:lineRule="auto"/>
        <w:ind w:left="2552"/>
        <w:jc w:val="both"/>
        <w:rPr>
          <w:rFonts w:cs="Arial"/>
          <w:i/>
          <w:color w:val="000000"/>
        </w:rPr>
      </w:pPr>
      <w:r w:rsidRPr="001959BB">
        <w:rPr>
          <w:rFonts w:cs="Arial"/>
          <w:i/>
          <w:color w:val="000000"/>
        </w:rPr>
        <w:t>§ 1º São condutas abarcadas por esta Lei:</w:t>
      </w:r>
    </w:p>
    <w:p w:rsidR="00C534DE" w:rsidRPr="001959BB" w:rsidP="00C534DE">
      <w:pPr>
        <w:spacing w:after="120" w:line="240" w:lineRule="auto"/>
        <w:ind w:left="2552"/>
        <w:jc w:val="both"/>
        <w:rPr>
          <w:rFonts w:cs="Arial"/>
          <w:i/>
          <w:color w:val="000000"/>
        </w:rPr>
      </w:pPr>
      <w:r w:rsidRPr="001959BB">
        <w:rPr>
          <w:rFonts w:cs="Arial"/>
          <w:i/>
          <w:color w:val="000000"/>
        </w:rPr>
        <w:t xml:space="preserve">I - A violência sexual: entendida como qualquer conduta que a constranja a presenciar, a manter ou a participar de relação sexual ou atos libidinosos não desejados, mediante intimidação, ameaça coação ou uso da força, consubstanciadas nas seguintes condutas já tipificadas: </w:t>
      </w:r>
    </w:p>
    <w:p w:rsidR="00C534DE" w:rsidRPr="001959BB" w:rsidP="00C534DE">
      <w:pPr>
        <w:spacing w:after="120" w:line="240" w:lineRule="auto"/>
        <w:ind w:left="2552"/>
        <w:jc w:val="both"/>
        <w:rPr>
          <w:rFonts w:cs="Arial"/>
          <w:i/>
          <w:color w:val="000000"/>
        </w:rPr>
      </w:pPr>
      <w:r w:rsidRPr="001959BB">
        <w:rPr>
          <w:rFonts w:cs="Arial"/>
          <w:i/>
          <w:color w:val="000000"/>
        </w:rPr>
        <w:t xml:space="preserve">a) Estupro. Constranger alguém, mediante violência ou grave ameaça, a ter conjunção carnal ou a praticar ou permitir que com ele se pratique outro ato libidinoso, de acordo com o art. 213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b) Violação sexual mediante fraude. Ter conjunção carnal ou praticar outro ato libidinoso com alguém, mediante fraude ou outro meio que impeça ou dificulte a livre manifestação de vontade da vítima, de acordo com o art. 215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c) Assédio Sexual. Constranger alguém com o intuito de obter vantagem ou favorecimento sexual, prevalecendo-se o agente da sua condição de superior hierárquico ou ascendência inerentes ao exercício de emprego, cargo ou função, de acordo com o art. 216-A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d) Estupro de vulnerável. Ter conjunção carnal ou praticar outro ato libidinoso com menor de 14 (catorze) anos, e acordo com o art. 217-A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e) Corrupção de menores. Induzir alguém menor de 14 (catorze) anos a satisfazer a lascívia de outrem, de acordo com o art. 218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f) Satisfação de lascívia mediante presença de criança ou adolescente. Praticar, na presença de alguém menor de 14 (catorze) anos, ou induzi-lo a presenciar, conjunção carnal ou outro ato libidinoso, a fim de satisfazer lascívia própria ou de outrem. De acordo com o art. 218-A do Código Penal (DecretoLei nº 2.848, de 7 de dezembro de 1940); </w:t>
      </w:r>
    </w:p>
    <w:p w:rsidR="00C534DE" w:rsidRPr="001959BB" w:rsidP="00C534DE">
      <w:pPr>
        <w:spacing w:after="120" w:line="240" w:lineRule="auto"/>
        <w:ind w:left="2552"/>
        <w:jc w:val="both"/>
        <w:rPr>
          <w:rFonts w:cs="Arial"/>
          <w:i/>
          <w:color w:val="000000"/>
        </w:rPr>
      </w:pPr>
      <w:r w:rsidRPr="001959BB">
        <w:rPr>
          <w:rFonts w:cs="Arial"/>
          <w:i/>
          <w:color w:val="000000"/>
        </w:rPr>
        <w:t xml:space="preserve">g) Importunação ofensiva ao pudor: Art. 61. Importunar alguém, em lugar público ou acessível ao público, de modo ofensivo ao pudor de acordo com o art. 61 da Lei de Contravenções Penais (Decreto-lei nº 3.688, de 3 de outubro de 1941) </w:t>
      </w:r>
    </w:p>
    <w:p w:rsidR="00C534DE" w:rsidRPr="001959BB" w:rsidP="00C534DE">
      <w:pPr>
        <w:spacing w:after="120" w:line="240" w:lineRule="auto"/>
        <w:ind w:left="2552"/>
        <w:jc w:val="both"/>
        <w:rPr>
          <w:rFonts w:cs="Arial"/>
          <w:i/>
          <w:color w:val="000000"/>
        </w:rPr>
      </w:pPr>
      <w:r w:rsidRPr="001959BB">
        <w:rPr>
          <w:rFonts w:cs="Arial"/>
          <w:i/>
          <w:color w:val="000000"/>
        </w:rPr>
        <w:t xml:space="preserve">h) demais casos previstos na legislação específica; </w:t>
      </w:r>
    </w:p>
    <w:p w:rsidR="00C534DE" w:rsidRPr="00E4161F" w:rsidP="00C534DE">
      <w:pPr>
        <w:spacing w:after="120" w:line="240" w:lineRule="auto"/>
        <w:ind w:left="2552"/>
        <w:jc w:val="both"/>
        <w:rPr>
          <w:rFonts w:cs="Arial"/>
          <w:b/>
          <w:i/>
          <w:color w:val="000000"/>
        </w:rPr>
      </w:pPr>
      <w:r w:rsidRPr="00E4161F">
        <w:rPr>
          <w:rFonts w:cs="Arial"/>
          <w:b/>
          <w:i/>
          <w:color w:val="000000"/>
        </w:rPr>
        <w:t xml:space="preserve">Art. 2º A campanha permanente terá como princípios: </w:t>
      </w:r>
    </w:p>
    <w:p w:rsidR="00C534DE" w:rsidRPr="00E4161F" w:rsidP="00C534DE">
      <w:pPr>
        <w:spacing w:after="120" w:line="240" w:lineRule="auto"/>
        <w:ind w:left="2552"/>
        <w:jc w:val="both"/>
        <w:rPr>
          <w:rFonts w:cs="Arial"/>
          <w:b/>
          <w:i/>
          <w:color w:val="000000"/>
        </w:rPr>
      </w:pPr>
      <w:r w:rsidRPr="00E4161F">
        <w:rPr>
          <w:rFonts w:cs="Arial"/>
          <w:b/>
          <w:i/>
          <w:color w:val="000000"/>
        </w:rPr>
        <w:t xml:space="preserve">I - o enfrentamento a todas as formas de violência contra a mulher; </w:t>
      </w:r>
    </w:p>
    <w:p w:rsidR="00C534DE" w:rsidRPr="00E4161F" w:rsidP="00C534DE">
      <w:pPr>
        <w:spacing w:after="120" w:line="240" w:lineRule="auto"/>
        <w:ind w:left="2552"/>
        <w:jc w:val="both"/>
        <w:rPr>
          <w:rFonts w:cs="Arial"/>
          <w:b/>
          <w:i/>
          <w:color w:val="000000"/>
        </w:rPr>
      </w:pPr>
      <w:r w:rsidRPr="00E4161F">
        <w:rPr>
          <w:rFonts w:cs="Arial"/>
          <w:b/>
          <w:i/>
          <w:color w:val="000000"/>
        </w:rPr>
        <w:t xml:space="preserve">II - a responsabilidade do poder público municipal no enfrentamento ao assédio e a violência sexual; </w:t>
      </w:r>
    </w:p>
    <w:p w:rsidR="00C534DE" w:rsidRPr="001959BB" w:rsidP="00C534DE">
      <w:pPr>
        <w:spacing w:after="120" w:line="240" w:lineRule="auto"/>
        <w:ind w:left="2552"/>
        <w:jc w:val="both"/>
        <w:rPr>
          <w:rFonts w:cs="Arial"/>
          <w:i/>
          <w:color w:val="000000"/>
        </w:rPr>
      </w:pPr>
      <w:r w:rsidRPr="001959BB">
        <w:rPr>
          <w:rFonts w:cs="Arial"/>
          <w:i/>
          <w:color w:val="000000"/>
        </w:rPr>
        <w:t xml:space="preserve">III - o empoderamento das mulheres, através de informações e acesso aos seus direitos; </w:t>
      </w:r>
    </w:p>
    <w:p w:rsidR="00C534DE" w:rsidRPr="001959BB" w:rsidP="00C534DE">
      <w:pPr>
        <w:spacing w:after="120" w:line="240" w:lineRule="auto"/>
        <w:ind w:left="2552"/>
        <w:jc w:val="both"/>
        <w:rPr>
          <w:rFonts w:cs="Arial"/>
          <w:i/>
          <w:color w:val="000000"/>
        </w:rPr>
      </w:pPr>
      <w:r w:rsidRPr="001959BB">
        <w:rPr>
          <w:rFonts w:cs="Arial"/>
          <w:i/>
          <w:color w:val="000000"/>
        </w:rPr>
        <w:t xml:space="preserve">IV - a garantia dos direitos humanos das mulheres no âmbito das relações domésticas e familiares no sentido de resguardá-las de toda forma de negligência, discriminação, exploração, violência, crueldade e opressão; </w:t>
      </w:r>
    </w:p>
    <w:p w:rsidR="00C534DE" w:rsidRPr="001959BB" w:rsidP="00C534DE">
      <w:pPr>
        <w:spacing w:after="120" w:line="240" w:lineRule="auto"/>
        <w:ind w:left="2552"/>
        <w:jc w:val="both"/>
        <w:rPr>
          <w:rFonts w:cs="Arial"/>
          <w:i/>
          <w:color w:val="000000"/>
        </w:rPr>
      </w:pPr>
      <w:r w:rsidRPr="001959BB">
        <w:rPr>
          <w:rFonts w:cs="Arial"/>
          <w:i/>
          <w:color w:val="000000"/>
        </w:rPr>
        <w:t xml:space="preserve">V - o dever do município de assegurar às mulheres as condições para o exercício efetivo dos direitos à vida, à segurança, à saúde, à alimentação, à educação, à cultura, à moradia, ao acesso à justiça, ao esporte, ao lazer, ao trabalho, à cidadania, à liberdade, à dignidade, ao respeito e à convivência familiar e comunitária; </w:t>
      </w:r>
    </w:p>
    <w:p w:rsidR="00C534DE" w:rsidRPr="00E4161F" w:rsidP="00C534DE">
      <w:pPr>
        <w:spacing w:after="120" w:line="240" w:lineRule="auto"/>
        <w:ind w:left="2552"/>
        <w:jc w:val="both"/>
        <w:rPr>
          <w:rFonts w:cs="Arial"/>
          <w:b/>
          <w:i/>
          <w:color w:val="000000"/>
        </w:rPr>
      </w:pPr>
      <w:r w:rsidRPr="00E4161F">
        <w:rPr>
          <w:rFonts w:cs="Arial"/>
          <w:b/>
          <w:i/>
          <w:color w:val="000000"/>
        </w:rPr>
        <w:t xml:space="preserve">VI - a formação permanente quanto às questões de gênero e de raça ou etnia; </w:t>
      </w:r>
    </w:p>
    <w:p w:rsidR="00C534DE" w:rsidRPr="00E4161F" w:rsidP="00C534DE">
      <w:pPr>
        <w:spacing w:after="120" w:line="240" w:lineRule="auto"/>
        <w:ind w:left="2552"/>
        <w:jc w:val="both"/>
        <w:rPr>
          <w:rFonts w:cs="Arial"/>
          <w:b/>
          <w:i/>
          <w:color w:val="000000"/>
        </w:rPr>
      </w:pPr>
      <w:r w:rsidRPr="00E4161F">
        <w:rPr>
          <w:rFonts w:cs="Arial"/>
          <w:b/>
          <w:i/>
          <w:color w:val="000000"/>
        </w:rPr>
        <w:t xml:space="preserve">VII - a promoção de programas educacionais que disseminem valores éticos de irrestrito respeito à dignidade da pessoa humana com a perspectiva de gênero e de raça ou etnia;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Art. 3º A campanha permanente terá como objetivos: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I - enfrentar o assédio e a violência sexual nos equipamentos, espaços públicos e transportes coletivos no município de Porto Velho;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II - divulgar informações sobre o assédio e a violência sexual;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III - disponibilizar os telefones de órgãos públicos responsáveis pelo acolhimento e atendimento das mulheres;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IV - incentivar a denúncia das condutas tipificadas; </w:t>
      </w:r>
    </w:p>
    <w:p w:rsidR="00C534DE" w:rsidRPr="00A17BF8" w:rsidP="00C534DE">
      <w:pPr>
        <w:spacing w:after="120" w:line="240" w:lineRule="auto"/>
        <w:ind w:left="2552"/>
        <w:jc w:val="both"/>
        <w:rPr>
          <w:rFonts w:cs="Arial"/>
          <w:b/>
          <w:i/>
          <w:color w:val="000000"/>
        </w:rPr>
      </w:pPr>
      <w:r w:rsidRPr="00A17BF8">
        <w:rPr>
          <w:rFonts w:cs="Arial"/>
          <w:b/>
          <w:i/>
          <w:color w:val="000000"/>
        </w:rPr>
        <w:t xml:space="preserve">Art. 4º São ações da campanha permanente de enfrentamento ao assédio e a violência sexual: </w:t>
      </w:r>
    </w:p>
    <w:p w:rsidR="00C534DE" w:rsidRPr="001459D2" w:rsidP="00C534DE">
      <w:pPr>
        <w:spacing w:after="120" w:line="240" w:lineRule="auto"/>
        <w:ind w:left="2552"/>
        <w:jc w:val="both"/>
        <w:rPr>
          <w:rFonts w:cs="Arial"/>
          <w:b/>
          <w:i/>
          <w:color w:val="000000"/>
          <w:u w:val="single"/>
        </w:rPr>
      </w:pPr>
      <w:r w:rsidRPr="001459D2">
        <w:rPr>
          <w:rFonts w:cs="Arial"/>
          <w:b/>
          <w:i/>
          <w:color w:val="000000"/>
          <w:u w:val="single"/>
        </w:rPr>
        <w:t xml:space="preserve">I - promoção de campanhas educativas e não discriminatórias de enfrentamento ao assédio e a violência sexual; </w:t>
      </w:r>
    </w:p>
    <w:p w:rsidR="00C534DE" w:rsidRPr="001459D2" w:rsidP="00C534DE">
      <w:pPr>
        <w:spacing w:after="120" w:line="240" w:lineRule="auto"/>
        <w:ind w:left="2552"/>
        <w:jc w:val="both"/>
        <w:rPr>
          <w:rFonts w:cs="Arial"/>
          <w:i/>
          <w:color w:val="000000"/>
        </w:rPr>
      </w:pPr>
      <w:r w:rsidRPr="001459D2">
        <w:rPr>
          <w:rFonts w:cs="Arial"/>
          <w:i/>
          <w:color w:val="000000"/>
        </w:rPr>
        <w:t xml:space="preserve">II - criação de cartilhas com explicações sobre o assédio e a violência sexual; </w:t>
      </w:r>
    </w:p>
    <w:p w:rsidR="00C534DE" w:rsidRPr="001459D2" w:rsidP="00C534DE">
      <w:pPr>
        <w:spacing w:after="120" w:line="240" w:lineRule="auto"/>
        <w:ind w:left="2552"/>
        <w:jc w:val="both"/>
        <w:rPr>
          <w:rFonts w:cs="Arial"/>
          <w:b/>
          <w:i/>
          <w:color w:val="000000"/>
          <w:u w:val="single"/>
        </w:rPr>
      </w:pPr>
      <w:r w:rsidRPr="001459D2">
        <w:rPr>
          <w:rFonts w:cs="Arial"/>
          <w:b/>
          <w:i/>
          <w:color w:val="000000"/>
          <w:u w:val="single"/>
        </w:rPr>
        <w:t xml:space="preserve">III - a formação permanente dos servidores e prestadores de serviço sobre o assédio e a violência sexual; </w:t>
      </w:r>
    </w:p>
    <w:p w:rsidR="00C534DE" w:rsidRPr="001459D2" w:rsidP="00C534DE">
      <w:pPr>
        <w:spacing w:after="120" w:line="240" w:lineRule="auto"/>
        <w:ind w:left="2552"/>
        <w:jc w:val="both"/>
        <w:rPr>
          <w:rFonts w:cs="Arial"/>
          <w:i/>
          <w:color w:val="000000"/>
        </w:rPr>
      </w:pPr>
      <w:r w:rsidRPr="001459D2">
        <w:rPr>
          <w:rFonts w:cs="Arial"/>
          <w:i/>
          <w:color w:val="000000"/>
        </w:rPr>
        <w:t xml:space="preserve">IV - empoderar a mulher para que esta denuncie o ocorrido, caso deseje; </w:t>
      </w:r>
    </w:p>
    <w:p w:rsidR="00C534DE" w:rsidRPr="001459D2" w:rsidP="00C534DE">
      <w:pPr>
        <w:spacing w:after="120" w:line="240" w:lineRule="auto"/>
        <w:ind w:left="2552"/>
        <w:jc w:val="both"/>
        <w:rPr>
          <w:rFonts w:cs="Arial"/>
          <w:i/>
          <w:color w:val="000000"/>
        </w:rPr>
      </w:pPr>
      <w:r w:rsidRPr="001459D2">
        <w:rPr>
          <w:rFonts w:cs="Arial"/>
          <w:i/>
          <w:color w:val="000000"/>
        </w:rPr>
        <w:t xml:space="preserve">V - divulgação das políticas públicas voltadas para o atendimento às vítimas de assédio e a violência sexual; </w:t>
      </w:r>
    </w:p>
    <w:p w:rsidR="00C534DE" w:rsidRPr="001959BB" w:rsidP="00C534DE">
      <w:pPr>
        <w:spacing w:after="120" w:line="240" w:lineRule="auto"/>
        <w:ind w:left="2552"/>
        <w:jc w:val="both"/>
        <w:rPr>
          <w:rFonts w:cs="Arial"/>
          <w:i/>
          <w:color w:val="000000"/>
        </w:rPr>
      </w:pPr>
      <w:r w:rsidRPr="001959BB">
        <w:rPr>
          <w:rFonts w:cs="Arial"/>
          <w:i/>
          <w:color w:val="000000"/>
        </w:rPr>
        <w:t xml:space="preserve">Art. 5º Executivo Municipal poderá usar as paradas, estações e nas áreas internas e externas das composições dos veículos de transporte público para campanhas educativas permanentes de enfrentamento o assédio e a violência sexual. </w:t>
      </w:r>
    </w:p>
    <w:p w:rsidR="00C534DE" w:rsidRPr="001959BB" w:rsidP="00C534DE">
      <w:pPr>
        <w:spacing w:after="120" w:line="240" w:lineRule="auto"/>
        <w:ind w:left="2552"/>
        <w:jc w:val="both"/>
        <w:rPr>
          <w:rFonts w:cs="Arial"/>
          <w:i/>
          <w:color w:val="000000"/>
        </w:rPr>
      </w:pPr>
      <w:r w:rsidRPr="001959BB">
        <w:rPr>
          <w:rFonts w:cs="Arial"/>
          <w:i/>
          <w:color w:val="000000"/>
        </w:rPr>
        <w:t>§ 1º Serão priorizadas as estações e paradas que apresentem grande circulação de pessoas para fins desta lei.</w:t>
      </w:r>
    </w:p>
    <w:p w:rsidR="00C534DE" w:rsidRPr="001959BB" w:rsidP="00C534DE">
      <w:pPr>
        <w:spacing w:after="120" w:line="240" w:lineRule="auto"/>
        <w:ind w:left="2552"/>
        <w:jc w:val="both"/>
        <w:rPr>
          <w:rFonts w:cs="Arial"/>
          <w:i/>
          <w:color w:val="000000"/>
        </w:rPr>
      </w:pPr>
      <w:r w:rsidRPr="001959BB">
        <w:rPr>
          <w:rFonts w:cs="Arial"/>
          <w:i/>
          <w:color w:val="000000"/>
        </w:rPr>
        <w:t xml:space="preserve">§ 2º Poderá a publicidade ser feita através do método de envelopamento, respeitadas outras opções aplicáveis: </w:t>
      </w:r>
    </w:p>
    <w:p w:rsidR="00C534DE" w:rsidRPr="001959BB" w:rsidP="00C534DE">
      <w:pPr>
        <w:spacing w:after="120" w:line="240" w:lineRule="auto"/>
        <w:ind w:left="2552"/>
        <w:jc w:val="both"/>
        <w:rPr>
          <w:rFonts w:cs="Arial"/>
          <w:i/>
          <w:color w:val="000000"/>
        </w:rPr>
      </w:pPr>
      <w:r w:rsidRPr="001959BB">
        <w:rPr>
          <w:rFonts w:cs="Arial"/>
          <w:i/>
          <w:color w:val="000000"/>
        </w:rPr>
        <w:t xml:space="preserve">I - entende-se envelopamento como a técnica que consiste na aplicação de adesivos ou similares na totalidade da carroceria de veículo, visando caracterizá-lo de alguma forma. </w:t>
      </w:r>
    </w:p>
    <w:p w:rsidR="00C534DE" w:rsidRPr="001959BB" w:rsidP="00C534DE">
      <w:pPr>
        <w:spacing w:after="120" w:line="240" w:lineRule="auto"/>
        <w:ind w:left="2552"/>
        <w:jc w:val="both"/>
        <w:rPr>
          <w:rFonts w:cs="Arial"/>
          <w:i/>
          <w:color w:val="000000"/>
        </w:rPr>
      </w:pPr>
      <w:r w:rsidRPr="001959BB">
        <w:rPr>
          <w:rFonts w:cs="Arial"/>
          <w:i/>
          <w:color w:val="000000"/>
        </w:rPr>
        <w:t xml:space="preserve">§ 3º Para fins do caput, é permitido o uso dos Monitores Multimídia nos ônibus na proporção mínima de 10% do tempo total destinado à publicidade, garantindo a veiculação nos horários de maior circulação de pessoas. </w:t>
      </w:r>
    </w:p>
    <w:p w:rsidR="00C534DE" w:rsidRPr="001959BB" w:rsidP="00C534DE">
      <w:pPr>
        <w:spacing w:after="120" w:line="240" w:lineRule="auto"/>
        <w:ind w:left="2552"/>
        <w:jc w:val="both"/>
        <w:rPr>
          <w:rFonts w:cs="Arial"/>
          <w:i/>
          <w:color w:val="000000"/>
        </w:rPr>
      </w:pPr>
      <w:r w:rsidRPr="001959BB">
        <w:rPr>
          <w:rFonts w:cs="Arial"/>
          <w:i/>
          <w:color w:val="000000"/>
        </w:rPr>
        <w:t xml:space="preserve">§ 4º As campanhas publicitárias poderão ser veiculadas nas redes sociais das concessionárias dos serviços públicos de transporte do município de Porto Velho. </w:t>
      </w:r>
    </w:p>
    <w:p w:rsidR="00C534DE" w:rsidRPr="001959BB" w:rsidP="00C534DE">
      <w:pPr>
        <w:spacing w:after="120" w:line="240" w:lineRule="auto"/>
        <w:ind w:left="2552"/>
        <w:jc w:val="both"/>
        <w:rPr>
          <w:rFonts w:cs="Arial"/>
          <w:i/>
          <w:color w:val="000000"/>
        </w:rPr>
      </w:pPr>
      <w:r w:rsidRPr="001959BB">
        <w:rPr>
          <w:rFonts w:cs="Arial"/>
          <w:i/>
          <w:color w:val="000000"/>
        </w:rPr>
        <w:t xml:space="preserve">§ 5º Estende-se, o disposto neste artigo, a todos os meios de transporte público coletivo que venham a ser criados no Município em data posterior a publicação da presente Lei. </w:t>
      </w:r>
    </w:p>
    <w:p w:rsidR="00C534DE" w:rsidRPr="001959BB" w:rsidP="00C534DE">
      <w:pPr>
        <w:spacing w:after="120" w:line="240" w:lineRule="auto"/>
        <w:ind w:left="2552"/>
        <w:jc w:val="both"/>
        <w:rPr>
          <w:rFonts w:cs="Arial"/>
          <w:i/>
          <w:color w:val="000000"/>
        </w:rPr>
      </w:pPr>
      <w:r w:rsidRPr="001959BB">
        <w:rPr>
          <w:rFonts w:cs="Arial"/>
          <w:i/>
          <w:color w:val="000000"/>
        </w:rPr>
        <w:t xml:space="preserve">Art. 6º As paradas e estações especificadas nesta Lei poderão afixar placas contendo os seguintes textos: </w:t>
      </w:r>
    </w:p>
    <w:p w:rsidR="00C534DE" w:rsidRPr="001959BB" w:rsidP="00C534DE">
      <w:pPr>
        <w:spacing w:after="120" w:line="240" w:lineRule="auto"/>
        <w:ind w:left="2552"/>
        <w:jc w:val="both"/>
        <w:rPr>
          <w:rFonts w:cs="Arial"/>
          <w:i/>
          <w:color w:val="000000"/>
        </w:rPr>
      </w:pPr>
      <w:r w:rsidRPr="001959BB">
        <w:rPr>
          <w:rFonts w:cs="Arial"/>
          <w:i/>
          <w:color w:val="000000"/>
        </w:rPr>
        <w:t xml:space="preserve">O TRANSPORTE É PÚBLICO. O CORPO DAS MULHERES NÃO! EM CASO DE ASSÉDIO SEXUAL, DENUNCIE. LIGUE 180. IR E VIR É MEU DIREITO. ME RESPEITAR É SEU DEVER! ASSÉDIO SEXUAL É CRIME. DENUNCIE. LIGUE 180. SEM CONSENTIMENTO É VIOLÊNCIA. RESPEITE AS MULHERES. VIOLÊNCIA CONTRA A MULHER É CRIME. DENUNCIE. LIGUE 180. </w:t>
      </w:r>
    </w:p>
    <w:p w:rsidR="00C534DE" w:rsidRPr="001959BB" w:rsidP="00C534DE">
      <w:pPr>
        <w:spacing w:after="120" w:line="240" w:lineRule="auto"/>
        <w:ind w:left="2552"/>
        <w:jc w:val="both"/>
        <w:rPr>
          <w:rFonts w:cs="Arial"/>
          <w:i/>
          <w:color w:val="000000"/>
        </w:rPr>
      </w:pPr>
      <w:r w:rsidRPr="001959BB">
        <w:rPr>
          <w:rFonts w:cs="Arial"/>
          <w:i/>
          <w:color w:val="000000"/>
        </w:rPr>
        <w:t xml:space="preserve">§ 1º As placas de que trata o caput deste artigo deverão ser afixadas em locais que permitam aos usuários a sua fácil visualização e deverão ser confeccionadas no formato A3 (297 mm </w:t>
      </w:r>
      <w:r w:rsidRPr="001959BB">
        <w:rPr>
          <w:rFonts w:cs="Arial"/>
          <w:i/>
          <w:color w:val="000000"/>
        </w:rPr>
        <w:t xml:space="preserve">de largura e 420 mm de altura), com texto impresso com letras proporcionais às dimensões da placa. </w:t>
      </w:r>
    </w:p>
    <w:p w:rsidR="00C534DE" w:rsidRPr="001959BB" w:rsidP="00C534DE">
      <w:pPr>
        <w:spacing w:after="120" w:line="240" w:lineRule="auto"/>
        <w:ind w:left="2552"/>
        <w:jc w:val="both"/>
        <w:rPr>
          <w:rFonts w:cs="Arial"/>
          <w:i/>
          <w:color w:val="000000"/>
        </w:rPr>
      </w:pPr>
      <w:r w:rsidRPr="001959BB">
        <w:rPr>
          <w:rFonts w:cs="Arial"/>
          <w:i/>
          <w:color w:val="000000"/>
        </w:rPr>
        <w:t xml:space="preserve">Art. 7º A confecção dos materiais a serem veiculados nos espaços previstos no caput do art.6º serão elaboradas pelos órgãos municipais competentes. </w:t>
      </w:r>
    </w:p>
    <w:p w:rsidR="00C534DE" w:rsidRPr="001959BB" w:rsidP="00C534DE">
      <w:pPr>
        <w:spacing w:after="120" w:line="240" w:lineRule="auto"/>
        <w:ind w:left="2552"/>
        <w:jc w:val="both"/>
        <w:rPr>
          <w:rFonts w:cs="Arial"/>
          <w:i/>
          <w:color w:val="000000"/>
        </w:rPr>
      </w:pPr>
      <w:r w:rsidRPr="001959BB">
        <w:rPr>
          <w:rFonts w:cs="Arial"/>
          <w:i/>
          <w:color w:val="000000"/>
        </w:rPr>
        <w:t xml:space="preserve">Art. 8º Para desta Lei, as câmeras de vídeo monitoramento e o sistema GPS dos meios de transporte público deverão ser utilizados para que as mulheres possam reconhecer os infratores e identificar o exato momento da violência sexual, devendo ser disponibilizados para a efetivação da denúncia das condutas junto aos órgãos de segurança do Estado. </w:t>
      </w:r>
    </w:p>
    <w:p w:rsidR="00C534DE" w:rsidRPr="001959BB" w:rsidP="00C534DE">
      <w:pPr>
        <w:spacing w:after="120" w:line="240" w:lineRule="auto"/>
        <w:ind w:left="2552"/>
        <w:jc w:val="both"/>
        <w:rPr>
          <w:rFonts w:cs="Arial"/>
          <w:i/>
          <w:color w:val="000000"/>
        </w:rPr>
      </w:pPr>
      <w:r w:rsidRPr="001959BB">
        <w:rPr>
          <w:rFonts w:cs="Arial"/>
          <w:i/>
          <w:color w:val="000000"/>
        </w:rPr>
        <w:t xml:space="preserve">Art. 9º A concessionária dos serviços públicos de transporte poderá promover cursos de capacitação dos motoristas, cobradores, bilheteiros, fiscais e demais trabalhadores envolvidos no cotidiano do transporte público do município. </w:t>
      </w:r>
    </w:p>
    <w:p w:rsidR="00C534DE" w:rsidRPr="001959BB" w:rsidP="00C534DE">
      <w:pPr>
        <w:spacing w:after="120" w:line="240" w:lineRule="auto"/>
        <w:ind w:left="2552"/>
        <w:jc w:val="both"/>
        <w:rPr>
          <w:rFonts w:cs="Arial"/>
          <w:i/>
          <w:color w:val="000000"/>
        </w:rPr>
      </w:pPr>
      <w:r w:rsidRPr="001959BB">
        <w:rPr>
          <w:rFonts w:cs="Arial"/>
          <w:i/>
          <w:color w:val="000000"/>
        </w:rPr>
        <w:t xml:space="preserve">Parágrafo único. A formação prevista no caput observará as especificidades de cada transporte público, no sentido de acolher a vítima do fato e viabilizar a denúncia, informando seus direitos e respeitando a decisão da mulher. </w:t>
      </w:r>
    </w:p>
    <w:p w:rsidR="00C534DE" w:rsidRPr="001459D2" w:rsidP="00C534DE">
      <w:pPr>
        <w:spacing w:after="120" w:line="240" w:lineRule="auto"/>
        <w:ind w:left="2552"/>
        <w:jc w:val="both"/>
        <w:rPr>
          <w:rFonts w:cs="Arial"/>
          <w:b/>
          <w:i/>
          <w:color w:val="000000"/>
        </w:rPr>
      </w:pPr>
      <w:r w:rsidRPr="001459D2">
        <w:rPr>
          <w:rFonts w:cs="Arial"/>
          <w:b/>
          <w:i/>
          <w:color w:val="000000"/>
        </w:rPr>
        <w:t xml:space="preserve">Art. 10 O Executivo Municipal poderá promover o treinamento e formação dos servidores municipais e prestadores de serviço sobre o tema. </w:t>
      </w:r>
    </w:p>
    <w:p w:rsidR="00C534DE" w:rsidRPr="001459D2" w:rsidP="00C534DE">
      <w:pPr>
        <w:spacing w:after="120" w:line="240" w:lineRule="auto"/>
        <w:ind w:left="2552"/>
        <w:jc w:val="both"/>
        <w:rPr>
          <w:rFonts w:cs="Arial"/>
          <w:b/>
          <w:i/>
          <w:color w:val="000000"/>
        </w:rPr>
      </w:pPr>
      <w:r w:rsidRPr="001459D2">
        <w:rPr>
          <w:rFonts w:cs="Arial"/>
          <w:b/>
          <w:i/>
          <w:color w:val="000000"/>
        </w:rPr>
        <w:t xml:space="preserve">§ 1º A formação permanente dos servidores e prestadores de serviço do município observará, prioritariamente, o combate ao assédio moral e sexual no local de trabalho e o acolhimento das vítimas de assédio e a violência sexual. </w:t>
      </w:r>
    </w:p>
    <w:p w:rsidR="00C534DE" w:rsidRPr="001459D2" w:rsidP="00C534DE">
      <w:pPr>
        <w:spacing w:after="120" w:line="240" w:lineRule="auto"/>
        <w:ind w:left="2552"/>
        <w:jc w:val="both"/>
        <w:rPr>
          <w:rFonts w:cs="Arial"/>
          <w:b/>
          <w:i/>
          <w:color w:val="000000"/>
        </w:rPr>
      </w:pPr>
      <w:r w:rsidRPr="001459D2">
        <w:rPr>
          <w:rFonts w:cs="Arial"/>
          <w:b/>
          <w:i/>
          <w:color w:val="000000"/>
        </w:rPr>
        <w:t xml:space="preserve">§ 2º A formação permanente dos servidores e prestadores de serviço do município deverá observar os princípios previstos no Art. 2º </w:t>
      </w:r>
    </w:p>
    <w:p w:rsidR="00C534DE" w:rsidRPr="001959BB" w:rsidP="00C534DE">
      <w:pPr>
        <w:spacing w:after="120" w:line="240" w:lineRule="auto"/>
        <w:ind w:left="2552"/>
        <w:jc w:val="both"/>
        <w:rPr>
          <w:rFonts w:cs="Arial"/>
          <w:i/>
          <w:color w:val="000000"/>
        </w:rPr>
      </w:pPr>
      <w:r w:rsidRPr="001959BB">
        <w:rPr>
          <w:rFonts w:cs="Arial"/>
          <w:i/>
          <w:color w:val="000000"/>
        </w:rPr>
        <w:t xml:space="preserve">Art. 11 O Executivo poderá produzir cartilhas educativas sobre o assédio e a violência sexual no âmbito do serviço público, prioritariamente no que tange o assédio moral e sexual no ambiente de trabalho e no transporte público. </w:t>
      </w:r>
    </w:p>
    <w:p w:rsidR="00C534DE" w:rsidRPr="001959BB" w:rsidP="00C534DE">
      <w:pPr>
        <w:spacing w:after="120" w:line="240" w:lineRule="auto"/>
        <w:ind w:left="2552"/>
        <w:jc w:val="both"/>
        <w:rPr>
          <w:rFonts w:cs="Arial"/>
          <w:i/>
          <w:color w:val="000000"/>
        </w:rPr>
      </w:pPr>
      <w:r w:rsidRPr="001959BB">
        <w:rPr>
          <w:rFonts w:cs="Arial"/>
          <w:i/>
          <w:color w:val="000000"/>
        </w:rPr>
        <w:t xml:space="preserve">Parágrafo único. Para a confecção dos materiais previstos no caput serão observados os relatórios técnicos pertinentes a violência contra a mulher; </w:t>
      </w:r>
    </w:p>
    <w:p w:rsidR="00C534DE" w:rsidRPr="001959BB" w:rsidP="00C534DE">
      <w:pPr>
        <w:spacing w:after="120" w:line="240" w:lineRule="auto"/>
        <w:ind w:left="2552"/>
        <w:jc w:val="both"/>
        <w:rPr>
          <w:rFonts w:cs="Arial"/>
          <w:i/>
          <w:color w:val="000000"/>
        </w:rPr>
      </w:pPr>
      <w:r w:rsidRPr="001959BB">
        <w:rPr>
          <w:rFonts w:cs="Arial"/>
          <w:i/>
          <w:color w:val="000000"/>
        </w:rPr>
        <w:t>Art. 12 O Poder Executivo fortalecerá as iniciativas que tratem do tema da Campanha prevista nesta Lei que preconizam os princípios expostos no art. 2º .</w:t>
      </w:r>
    </w:p>
    <w:p w:rsidR="00C534DE" w:rsidRPr="001959BB" w:rsidP="00C534DE">
      <w:pPr>
        <w:spacing w:after="120" w:line="240" w:lineRule="auto"/>
        <w:ind w:left="2552"/>
        <w:jc w:val="both"/>
        <w:rPr>
          <w:rFonts w:cs="Arial"/>
          <w:i/>
          <w:color w:val="000000"/>
        </w:rPr>
      </w:pPr>
      <w:r w:rsidRPr="001959BB">
        <w:rPr>
          <w:rFonts w:cs="Arial"/>
          <w:i/>
          <w:color w:val="000000"/>
        </w:rPr>
        <w:t xml:space="preserve">Art. 13 Fica o Poder Executivo autorizado a firmar convênios com as outras esferas do Poder Público a fim de garantir maior visibilidade à campanha. </w:t>
      </w:r>
    </w:p>
    <w:p w:rsidR="00C534DE" w:rsidRPr="001959BB" w:rsidP="00C534DE">
      <w:pPr>
        <w:spacing w:after="120" w:line="240" w:lineRule="auto"/>
        <w:ind w:left="2552"/>
        <w:jc w:val="both"/>
      </w:pPr>
      <w:r w:rsidRPr="001959BB">
        <w:rPr>
          <w:rFonts w:cs="Arial"/>
          <w:i/>
          <w:color w:val="000000"/>
        </w:rPr>
        <w:t>Art. 14 O Poder Executivo poderá estabelecer um grupo responsável pela parte criativa da campanha, priorizando a</w:t>
      </w:r>
      <w:r w:rsidRPr="001959BB">
        <w:t xml:space="preserve"> </w:t>
      </w:r>
      <w:r w:rsidRPr="001959BB">
        <w:rPr>
          <w:rFonts w:eastAsia="Times New Roman" w:cs="Arial"/>
          <w:i/>
          <w:color w:val="000000"/>
          <w:lang w:eastAsia="pt-BR"/>
        </w:rPr>
        <w:t>participação de mulheres.</w:t>
      </w:r>
    </w:p>
    <w:p w:rsidR="00C534DE" w:rsidRPr="001959BB" w:rsidP="00C534DE">
      <w:pPr>
        <w:spacing w:after="120" w:line="240" w:lineRule="auto"/>
        <w:ind w:left="2552"/>
        <w:jc w:val="both"/>
      </w:pPr>
      <w:r w:rsidRPr="001959BB">
        <w:rPr>
          <w:rFonts w:eastAsia="Times New Roman" w:cs="Arial"/>
          <w:i/>
          <w:color w:val="000000"/>
          <w:lang w:eastAsia="pt-BR"/>
        </w:rPr>
        <w:t>Parágrafo único. A composição deste grupo poderá contar</w:t>
      </w:r>
      <w:r w:rsidRPr="001959BB">
        <w:rPr>
          <w:rFonts w:cs="Arial"/>
          <w:i/>
          <w:color w:val="000000"/>
        </w:rPr>
        <w:t xml:space="preserve"> </w:t>
      </w:r>
      <w:r w:rsidRPr="001959BB">
        <w:rPr>
          <w:rFonts w:eastAsia="Times New Roman" w:cs="Arial"/>
          <w:i/>
          <w:color w:val="000000"/>
          <w:lang w:eastAsia="pt-BR"/>
        </w:rPr>
        <w:t>com a participação de membros das Secretarias e do Poder</w:t>
      </w:r>
      <w:r w:rsidRPr="001959BB">
        <w:rPr>
          <w:rFonts w:cs="Arial"/>
          <w:i/>
          <w:color w:val="000000"/>
        </w:rPr>
        <w:t xml:space="preserve"> </w:t>
      </w:r>
      <w:r w:rsidRPr="001959BB">
        <w:rPr>
          <w:rFonts w:eastAsia="Times New Roman" w:cs="Arial"/>
          <w:i/>
          <w:color w:val="000000"/>
          <w:lang w:eastAsia="pt-BR"/>
        </w:rPr>
        <w:t>Executivo, além de organizações da sociedade civil que atuam</w:t>
      </w:r>
      <w:r w:rsidRPr="001959BB">
        <w:t xml:space="preserve"> </w:t>
      </w:r>
      <w:r w:rsidRPr="001959BB">
        <w:rPr>
          <w:rFonts w:eastAsia="Times New Roman" w:cs="Arial"/>
          <w:i/>
          <w:color w:val="000000"/>
          <w:lang w:eastAsia="pt-BR"/>
        </w:rPr>
        <w:t>no enfrentamento à violência contra as mulheres e combate ao</w:t>
      </w:r>
      <w:r w:rsidRPr="001959BB">
        <w:t xml:space="preserve"> </w:t>
      </w:r>
      <w:r w:rsidRPr="001959BB">
        <w:rPr>
          <w:rFonts w:eastAsia="Times New Roman" w:cs="Arial"/>
          <w:i/>
          <w:color w:val="000000"/>
          <w:lang w:eastAsia="pt-BR"/>
        </w:rPr>
        <w:t>machismo.</w:t>
      </w:r>
    </w:p>
    <w:p w:rsidR="00C534DE" w:rsidRPr="001959BB" w:rsidP="00C534DE">
      <w:pPr>
        <w:spacing w:after="120" w:line="240" w:lineRule="auto"/>
        <w:ind w:left="2552"/>
        <w:jc w:val="both"/>
        <w:rPr>
          <w:rFonts w:cs="Arial"/>
          <w:i/>
          <w:color w:val="000000"/>
        </w:rPr>
      </w:pPr>
      <w:r w:rsidRPr="001959BB">
        <w:rPr>
          <w:rFonts w:eastAsia="Times New Roman" w:cs="Arial"/>
          <w:i/>
          <w:color w:val="000000"/>
          <w:lang w:eastAsia="pt-BR"/>
        </w:rPr>
        <w:t>Art. 15 Ficam as concessionárias autorizadas a criar</w:t>
      </w:r>
      <w:r w:rsidRPr="001959BB">
        <w:rPr>
          <w:rFonts w:cs="Arial"/>
          <w:i/>
          <w:color w:val="000000"/>
        </w:rPr>
        <w:t xml:space="preserve"> </w:t>
      </w:r>
      <w:r w:rsidRPr="001959BB">
        <w:rPr>
          <w:rFonts w:eastAsia="Times New Roman" w:cs="Arial"/>
          <w:i/>
          <w:color w:val="000000"/>
          <w:lang w:eastAsia="pt-BR"/>
        </w:rPr>
        <w:t>mecanismos de denúncia e acolhimento das mulheres vítimas</w:t>
      </w:r>
      <w:r w:rsidRPr="001959BB">
        <w:rPr>
          <w:rFonts w:cs="Arial"/>
          <w:i/>
          <w:color w:val="000000"/>
        </w:rPr>
        <w:t xml:space="preserve"> </w:t>
      </w:r>
      <w:r w:rsidRPr="001959BB">
        <w:rPr>
          <w:rFonts w:eastAsia="Times New Roman" w:cs="Arial"/>
          <w:i/>
          <w:color w:val="000000"/>
          <w:lang w:eastAsia="pt-BR"/>
        </w:rPr>
        <w:t>das condutas ti</w:t>
      </w:r>
      <w:r w:rsidRPr="001959BB">
        <w:rPr>
          <w:rFonts w:cs="Arial"/>
          <w:i/>
          <w:color w:val="000000"/>
        </w:rPr>
        <w:t>pificadas no art. 2º desta Lei.</w:t>
      </w:r>
    </w:p>
    <w:p w:rsidR="00C534DE" w:rsidRPr="001959BB" w:rsidP="00C534DE">
      <w:pPr>
        <w:spacing w:after="120" w:line="240" w:lineRule="auto"/>
        <w:ind w:left="2552"/>
        <w:jc w:val="both"/>
        <w:rPr>
          <w:rFonts w:cs="Arial"/>
          <w:i/>
          <w:color w:val="000000"/>
        </w:rPr>
      </w:pPr>
      <w:r w:rsidRPr="001959BB">
        <w:rPr>
          <w:rFonts w:eastAsia="Times New Roman" w:cs="Arial"/>
          <w:i/>
          <w:color w:val="000000"/>
          <w:lang w:eastAsia="pt-BR"/>
        </w:rPr>
        <w:t>Art. 16 O Poder Executivo veiculará em sua propaganda</w:t>
      </w:r>
      <w:r w:rsidRPr="001959BB">
        <w:rPr>
          <w:rFonts w:cs="Arial"/>
          <w:i/>
          <w:color w:val="000000"/>
        </w:rPr>
        <w:t xml:space="preserve"> </w:t>
      </w:r>
      <w:r w:rsidRPr="001959BB">
        <w:rPr>
          <w:rFonts w:eastAsia="Times New Roman" w:cs="Arial"/>
          <w:i/>
          <w:color w:val="000000"/>
          <w:lang w:eastAsia="pt-BR"/>
        </w:rPr>
        <w:t>institucional na televisão, rádio, jornais e revistas os textos</w:t>
      </w:r>
      <w:r w:rsidRPr="001959BB">
        <w:rPr>
          <w:rFonts w:cs="Arial"/>
          <w:i/>
          <w:color w:val="000000"/>
        </w:rPr>
        <w:t xml:space="preserve"> previstos no art. 6º.</w:t>
      </w:r>
    </w:p>
    <w:p w:rsidR="00C534DE" w:rsidRPr="001959BB" w:rsidP="00C534DE">
      <w:pPr>
        <w:spacing w:after="120" w:line="240" w:lineRule="auto"/>
        <w:ind w:left="2552"/>
        <w:jc w:val="both"/>
        <w:rPr>
          <w:rFonts w:cs="Arial"/>
          <w:i/>
          <w:color w:val="000000"/>
        </w:rPr>
      </w:pPr>
      <w:r w:rsidRPr="001959BB">
        <w:rPr>
          <w:rFonts w:eastAsia="Times New Roman" w:cs="Arial"/>
          <w:i/>
          <w:color w:val="000000"/>
          <w:lang w:eastAsia="pt-BR"/>
        </w:rPr>
        <w:t>Art. 17 Cabe ao Poder Ex</w:t>
      </w:r>
      <w:r w:rsidRPr="001959BB">
        <w:rPr>
          <w:rFonts w:cs="Arial"/>
          <w:i/>
          <w:color w:val="000000"/>
        </w:rPr>
        <w:t>ecutivo regulamentar a presente Lei.</w:t>
      </w:r>
    </w:p>
    <w:p w:rsidR="00C534DE" w:rsidP="00C534DE">
      <w:pPr>
        <w:spacing w:after="120" w:line="240" w:lineRule="auto"/>
        <w:ind w:left="2552"/>
        <w:jc w:val="both"/>
        <w:rPr>
          <w:rFonts w:cs="Arial"/>
          <w:i/>
          <w:color w:val="000000"/>
        </w:rPr>
      </w:pPr>
      <w:r w:rsidRPr="001959BB">
        <w:rPr>
          <w:rFonts w:eastAsia="Times New Roman" w:cs="Arial"/>
          <w:i/>
          <w:color w:val="000000"/>
          <w:lang w:eastAsia="pt-BR"/>
        </w:rPr>
        <w:t>Art. 18 Esta Lei entra em v</w:t>
      </w:r>
      <w:r w:rsidRPr="001959BB">
        <w:rPr>
          <w:rFonts w:cs="Arial"/>
          <w:i/>
          <w:color w:val="000000"/>
        </w:rPr>
        <w:t>igor na data de sua publicação.</w:t>
      </w:r>
    </w:p>
    <w:p w:rsidR="00C534DE" w:rsidRPr="001459D2" w:rsidP="00C534DE">
      <w:pPr>
        <w:spacing w:after="120" w:line="240" w:lineRule="auto"/>
        <w:ind w:left="2552"/>
        <w:jc w:val="both"/>
        <w:rPr>
          <w:rFonts w:cs="Arial"/>
          <w:i/>
          <w:color w:val="000000"/>
          <w:sz w:val="12"/>
          <w:szCs w:val="12"/>
        </w:rPr>
      </w:pPr>
    </w:p>
    <w:p w:rsidR="00C534DE" w:rsidP="00C534DE">
      <w:pPr>
        <w:spacing w:after="120" w:line="300" w:lineRule="auto"/>
        <w:ind w:left="2268"/>
        <w:jc w:val="both"/>
        <w:rPr>
          <w:rFonts w:cs="Arial"/>
          <w:i/>
          <w:color w:val="000000"/>
        </w:rPr>
      </w:pPr>
      <w:r w:rsidRPr="00D80B00">
        <w:rPr>
          <w:rFonts w:eastAsia="Times New Roman" w:cs="Arial"/>
          <w:i/>
          <w:color w:val="000000"/>
          <w:lang w:eastAsia="pt-BR"/>
        </w:rPr>
        <w:t>Observa-se que o entendimento adotado pelo voto divergente que</w:t>
      </w:r>
      <w:r>
        <w:rPr>
          <w:rFonts w:cs="Arial"/>
          <w:i/>
          <w:color w:val="000000"/>
        </w:rPr>
        <w:t xml:space="preserve"> </w:t>
      </w:r>
      <w:r w:rsidRPr="00D80B00">
        <w:rPr>
          <w:rFonts w:eastAsia="Times New Roman" w:cs="Arial"/>
          <w:i/>
          <w:color w:val="000000"/>
          <w:lang w:eastAsia="pt-BR"/>
        </w:rPr>
        <w:t>conduziu o acórdão reco</w:t>
      </w:r>
      <w:r>
        <w:rPr>
          <w:rFonts w:cs="Arial"/>
          <w:i/>
          <w:color w:val="000000"/>
        </w:rPr>
        <w:t xml:space="preserve">rrido está em consonância com a </w:t>
      </w:r>
      <w:r w:rsidRPr="00D80B00">
        <w:rPr>
          <w:rFonts w:eastAsia="Times New Roman" w:cs="Arial"/>
          <w:i/>
          <w:color w:val="000000"/>
          <w:lang w:eastAsia="pt-BR"/>
        </w:rPr>
        <w:t>jurisprudência</w:t>
      </w:r>
      <w:r>
        <w:rPr>
          <w:rFonts w:cs="Arial"/>
          <w:i/>
          <w:color w:val="000000"/>
        </w:rPr>
        <w:t xml:space="preserve"> desta Corte.</w:t>
      </w:r>
    </w:p>
    <w:p w:rsidR="00C534DE" w:rsidP="00C534DE">
      <w:pPr>
        <w:spacing w:after="120" w:line="300" w:lineRule="auto"/>
        <w:ind w:left="2268"/>
        <w:jc w:val="both"/>
        <w:rPr>
          <w:rFonts w:cs="Arial"/>
          <w:i/>
          <w:color w:val="000000"/>
        </w:rPr>
      </w:pPr>
      <w:r w:rsidRPr="00D80B00">
        <w:rPr>
          <w:rFonts w:eastAsia="Times New Roman" w:cs="Arial"/>
          <w:i/>
          <w:color w:val="000000"/>
          <w:lang w:eastAsia="pt-BR"/>
        </w:rPr>
        <w:t>O Supremo Tribunal Federal</w:t>
      </w:r>
      <w:r>
        <w:rPr>
          <w:rFonts w:cs="Arial"/>
          <w:i/>
          <w:color w:val="000000"/>
        </w:rPr>
        <w:t xml:space="preserve"> quando do julgamento do ARE-RG </w:t>
      </w:r>
      <w:r w:rsidRPr="00D80B00">
        <w:rPr>
          <w:rFonts w:eastAsia="Times New Roman" w:cs="Arial"/>
          <w:i/>
          <w:color w:val="000000"/>
          <w:lang w:eastAsia="pt-BR"/>
        </w:rPr>
        <w:t>878.911, Relator Ministro Gilmar Mendes, DJ e de 11.10.2016 (Tema 917),</w:t>
      </w:r>
      <w:r>
        <w:rPr>
          <w:rFonts w:cs="Arial"/>
          <w:i/>
          <w:color w:val="000000"/>
        </w:rPr>
        <w:t xml:space="preserve"> </w:t>
      </w:r>
      <w:r w:rsidRPr="00D80B00">
        <w:rPr>
          <w:rFonts w:eastAsia="Times New Roman" w:cs="Arial"/>
          <w:i/>
          <w:color w:val="000000"/>
          <w:lang w:eastAsia="pt-BR"/>
        </w:rPr>
        <w:t>reconheceu a existência de repercussão geral da matéria e, ao julgar o</w:t>
      </w:r>
      <w:r>
        <w:rPr>
          <w:rFonts w:cs="Arial"/>
          <w:i/>
          <w:color w:val="000000"/>
        </w:rPr>
        <w:t xml:space="preserve"> </w:t>
      </w:r>
      <w:r w:rsidRPr="00D80B00">
        <w:rPr>
          <w:rFonts w:eastAsia="Times New Roman" w:cs="Arial"/>
          <w:i/>
          <w:color w:val="000000"/>
          <w:lang w:eastAsia="pt-BR"/>
        </w:rPr>
        <w:t>mérito, reafirmou a jurisprudência dominante sobre a matéria, fixando a</w:t>
      </w:r>
      <w:r>
        <w:rPr>
          <w:rFonts w:cs="Arial"/>
          <w:i/>
          <w:color w:val="000000"/>
        </w:rPr>
        <w:t xml:space="preserve"> seguinte tese:</w:t>
      </w:r>
    </w:p>
    <w:p w:rsidR="00C534DE" w:rsidRPr="00D80B00" w:rsidP="00C534DE">
      <w:pPr>
        <w:spacing w:after="120"/>
        <w:ind w:left="2835"/>
        <w:jc w:val="both"/>
        <w:rPr>
          <w:rFonts w:cs="Arial"/>
          <w:i/>
          <w:color w:val="000000"/>
        </w:rPr>
      </w:pPr>
      <w:r w:rsidRPr="00D80B00">
        <w:rPr>
          <w:rFonts w:eastAsia="Times New Roman" w:cs="Arial"/>
          <w:i/>
          <w:color w:val="000000"/>
          <w:lang w:eastAsia="pt-BR"/>
        </w:rPr>
        <w:t>Não usurpa competência privat</w:t>
      </w:r>
      <w:r>
        <w:rPr>
          <w:rFonts w:cs="Arial"/>
          <w:i/>
          <w:color w:val="000000"/>
        </w:rPr>
        <w:t xml:space="preserve">iva do Chefe do Poder Executivo </w:t>
      </w:r>
      <w:r w:rsidRPr="00D80B00">
        <w:rPr>
          <w:rFonts w:eastAsia="Times New Roman" w:cs="Arial"/>
          <w:i/>
          <w:color w:val="000000"/>
          <w:lang w:eastAsia="pt-BR"/>
        </w:rPr>
        <w:t>lei que, embora crie despesa para a Admi</w:t>
      </w:r>
      <w:r>
        <w:rPr>
          <w:rFonts w:cs="Arial"/>
          <w:i/>
          <w:color w:val="000000"/>
        </w:rPr>
        <w:t xml:space="preserve">nistração, não trata da sua </w:t>
      </w:r>
      <w:r w:rsidRPr="00D80B00">
        <w:rPr>
          <w:rFonts w:eastAsia="Times New Roman" w:cs="Arial"/>
          <w:i/>
          <w:color w:val="000000"/>
          <w:lang w:eastAsia="pt-BR"/>
        </w:rPr>
        <w:t>estrutura ou da atribuição de seus ó</w:t>
      </w:r>
      <w:r>
        <w:rPr>
          <w:rFonts w:cs="Arial"/>
          <w:i/>
          <w:color w:val="000000"/>
        </w:rPr>
        <w:t xml:space="preserve">rgãos nem do regime jurídico de </w:t>
      </w:r>
      <w:r w:rsidRPr="00D80B00">
        <w:rPr>
          <w:rFonts w:eastAsia="Times New Roman" w:cs="Arial"/>
          <w:i/>
          <w:color w:val="000000"/>
          <w:lang w:eastAsia="pt-BR"/>
        </w:rPr>
        <w:t xml:space="preserve">servidores públicos (art. 61, § 1º, II, </w:t>
      </w:r>
      <w:r>
        <w:rPr>
          <w:rFonts w:cs="Arial"/>
          <w:i/>
          <w:color w:val="000000"/>
        </w:rPr>
        <w:t xml:space="preserve">"a", "c" e "e", da Constituição </w:t>
      </w:r>
      <w:r w:rsidRPr="00D80B00">
        <w:rPr>
          <w:rFonts w:eastAsia="Times New Roman" w:cs="Arial"/>
          <w:i/>
          <w:color w:val="000000"/>
          <w:lang w:eastAsia="pt-BR"/>
        </w:rPr>
        <w:t>Federal).</w:t>
      </w:r>
    </w:p>
    <w:p w:rsidR="00C534DE" w:rsidP="00C534DE">
      <w:pPr>
        <w:ind w:left="2268"/>
        <w:jc w:val="both"/>
        <w:rPr>
          <w:rFonts w:cs="Arial"/>
          <w:i/>
          <w:color w:val="000000"/>
        </w:rPr>
      </w:pPr>
      <w:r>
        <w:rPr>
          <w:rFonts w:cs="Arial"/>
          <w:i/>
          <w:color w:val="000000"/>
        </w:rPr>
        <w:t>(...)</w:t>
      </w:r>
    </w:p>
    <w:p w:rsidR="00C534DE" w:rsidP="00C534DE">
      <w:pPr>
        <w:autoSpaceDE w:val="0"/>
        <w:autoSpaceDN w:val="0"/>
        <w:adjustRightInd w:val="0"/>
        <w:spacing w:after="0" w:line="300" w:lineRule="auto"/>
        <w:ind w:left="2268"/>
        <w:jc w:val="both"/>
        <w:rPr>
          <w:rFonts w:cs="Arial"/>
          <w:i/>
          <w:color w:val="000000"/>
        </w:rPr>
      </w:pPr>
      <w:r w:rsidRPr="00D80B00">
        <w:rPr>
          <w:rFonts w:eastAsia="Times New Roman" w:cs="Arial"/>
          <w:i/>
          <w:color w:val="000000"/>
          <w:lang w:eastAsia="pt-BR"/>
        </w:rPr>
        <w:t>Não há falar em reserva da iniciativa parlamentar para além das</w:t>
      </w:r>
      <w:r>
        <w:rPr>
          <w:rFonts w:cs="Arial"/>
          <w:i/>
          <w:color w:val="000000"/>
        </w:rPr>
        <w:t xml:space="preserve"> </w:t>
      </w:r>
      <w:r w:rsidRPr="00D80B00">
        <w:rPr>
          <w:rFonts w:eastAsia="Times New Roman" w:cs="Arial"/>
          <w:i/>
          <w:color w:val="000000"/>
          <w:lang w:eastAsia="pt-BR"/>
        </w:rPr>
        <w:t xml:space="preserve">hipóteses taxativamente previstas no texto da Constituição da </w:t>
      </w:r>
      <w:r w:rsidRPr="00D80B00">
        <w:rPr>
          <w:rFonts w:eastAsia="Times New Roman" w:cs="Arial"/>
          <w:i/>
          <w:color w:val="000000"/>
          <w:lang w:eastAsia="pt-BR"/>
        </w:rPr>
        <w:t>República</w:t>
      </w:r>
      <w:r>
        <w:rPr>
          <w:rFonts w:cs="Arial"/>
          <w:i/>
          <w:color w:val="000000"/>
        </w:rPr>
        <w:t xml:space="preserve"> </w:t>
      </w:r>
      <w:r w:rsidRPr="00D80B00">
        <w:rPr>
          <w:rFonts w:eastAsia="Times New Roman" w:cs="Arial"/>
          <w:i/>
          <w:color w:val="000000"/>
          <w:lang w:eastAsia="pt-BR"/>
        </w:rPr>
        <w:t xml:space="preserve">Federativa ou Estaduais, por </w:t>
      </w:r>
      <w:r>
        <w:rPr>
          <w:rFonts w:cs="Arial"/>
          <w:i/>
          <w:color w:val="000000"/>
        </w:rPr>
        <w:t xml:space="preserve">força do princípio da simetria. Os diplomas </w:t>
      </w:r>
      <w:r w:rsidRPr="00D80B00">
        <w:rPr>
          <w:rFonts w:eastAsia="Times New Roman" w:cs="Arial"/>
          <w:i/>
          <w:color w:val="000000"/>
          <w:lang w:eastAsia="pt-BR"/>
        </w:rPr>
        <w:t>legais que não criam ou alteram a estrutura ou a atribuição de órgãos da</w:t>
      </w:r>
      <w:r>
        <w:rPr>
          <w:rFonts w:cs="Arial"/>
          <w:i/>
          <w:color w:val="000000"/>
        </w:rPr>
        <w:t xml:space="preserve"> </w:t>
      </w:r>
      <w:r w:rsidRPr="00D80B00">
        <w:rPr>
          <w:rFonts w:eastAsia="Times New Roman" w:cs="Arial"/>
          <w:i/>
          <w:color w:val="000000"/>
          <w:lang w:eastAsia="pt-BR"/>
        </w:rPr>
        <w:t>Administração Pública, nem tratam do regime jurídico de servidores</w:t>
      </w:r>
      <w:r>
        <w:rPr>
          <w:rFonts w:cs="Arial"/>
          <w:i/>
          <w:color w:val="000000"/>
        </w:rPr>
        <w:t xml:space="preserve"> </w:t>
      </w:r>
      <w:r w:rsidRPr="00D80B00">
        <w:rPr>
          <w:rFonts w:eastAsia="Times New Roman" w:cs="Arial"/>
          <w:i/>
          <w:color w:val="000000"/>
          <w:lang w:eastAsia="pt-BR"/>
        </w:rPr>
        <w:t>públicos, não usurpam a iniciativa do Chefe do Poder Executivo.</w:t>
      </w:r>
    </w:p>
    <w:p w:rsidR="00C534DE" w:rsidP="00C534DE">
      <w:pPr>
        <w:autoSpaceDE w:val="0"/>
        <w:autoSpaceDN w:val="0"/>
        <w:adjustRightInd w:val="0"/>
        <w:spacing w:after="0" w:line="300" w:lineRule="auto"/>
        <w:ind w:left="2268"/>
        <w:jc w:val="both"/>
        <w:rPr>
          <w:rFonts w:cs="Arial"/>
          <w:i/>
          <w:color w:val="000000"/>
        </w:rPr>
      </w:pPr>
    </w:p>
    <w:p w:rsidR="00C534DE" w:rsidRPr="00C4698E" w:rsidP="00C534DE">
      <w:pPr>
        <w:spacing w:line="300" w:lineRule="auto"/>
        <w:ind w:left="2268"/>
        <w:jc w:val="both"/>
        <w:rPr>
          <w:rFonts w:cs="Arial"/>
          <w:i/>
          <w:color w:val="000000"/>
        </w:rPr>
      </w:pPr>
      <w:r w:rsidRPr="00C4698E">
        <w:rPr>
          <w:rFonts w:cs="Arial"/>
          <w:i/>
          <w:color w:val="000000"/>
        </w:rPr>
        <w:t xml:space="preserve">No caso em exame, da leitura do texto normativo, é possível depreender que a Câmara Municipal limitou-se a garantir direito social constitucionalmente previsto. A norma, vai, pois, ao encontro dos direitos sociais à segurança e proteção à mulher, previstos nos art. 6º, da CRFB. </w:t>
      </w:r>
    </w:p>
    <w:p w:rsidR="00C534DE" w:rsidRPr="00C4698E" w:rsidP="00C534DE">
      <w:pPr>
        <w:spacing w:line="300" w:lineRule="auto"/>
        <w:ind w:left="2268"/>
        <w:jc w:val="both"/>
        <w:rPr>
          <w:rFonts w:cs="Arial"/>
          <w:i/>
          <w:color w:val="000000"/>
        </w:rPr>
      </w:pPr>
      <w:r w:rsidRPr="00C4698E">
        <w:rPr>
          <w:rFonts w:cs="Arial"/>
          <w:i/>
          <w:color w:val="000000"/>
        </w:rPr>
        <w:t xml:space="preserve">Noutras palavras, não se trata sequer de reconhecer direitos, visto que eles emanam da própria Constituição, mas de lhes dar concretude. Trata-se, assim, de providência exigida de todos os poderes do Estado. Conforme fiz observar quando do julgamento da ADI 5.243, Rel. Min. Alexandre de Moraes, Red. para o acórdão Min. Edson Fachin, Pleno, DJe 02.08.2019, não há invasão de competência quando o poder legislativo limita-se a explicitar o conteúdo de direito fundamental já expresso na Constituição. </w:t>
      </w:r>
    </w:p>
    <w:p w:rsidR="00C534DE" w:rsidRPr="00D80B00" w:rsidP="00C534DE">
      <w:pPr>
        <w:spacing w:line="300" w:lineRule="auto"/>
        <w:ind w:left="2268"/>
        <w:jc w:val="both"/>
        <w:rPr>
          <w:rFonts w:cs="Arial"/>
          <w:b/>
          <w:i/>
          <w:color w:val="000000"/>
          <w:u w:val="single"/>
        </w:rPr>
      </w:pPr>
      <w:r w:rsidRPr="00D80B00">
        <w:rPr>
          <w:rFonts w:cs="Arial"/>
          <w:b/>
          <w:i/>
          <w:color w:val="000000"/>
          <w:u w:val="single"/>
        </w:rPr>
        <w:t xml:space="preserve">A lei objeto desta ação, ao criar campanha de conscientização e enfrentamento ao assédio e violência sexual visando coibir as práticas de violência contra a mulher, densifica os diversos comandos constitucionais de proteção integral a grupos sociais vulneráveis que mereçam proteção especial do Estado. </w:t>
      </w:r>
    </w:p>
    <w:p w:rsidR="00C534DE" w:rsidRPr="00C4698E" w:rsidP="00C534DE">
      <w:pPr>
        <w:spacing w:line="300" w:lineRule="auto"/>
        <w:ind w:left="2268"/>
        <w:jc w:val="both"/>
        <w:rPr>
          <w:rFonts w:cs="Arial"/>
          <w:i/>
          <w:color w:val="000000"/>
        </w:rPr>
      </w:pPr>
      <w:r w:rsidRPr="00C4698E">
        <w:rPr>
          <w:rFonts w:cs="Arial"/>
          <w:b/>
          <w:i/>
          <w:color w:val="000000"/>
          <w:u w:val="single"/>
        </w:rPr>
        <w:t>A Câmara Municipal atuou em exercício legítimo de sua competência prevista no art. 30, I, da Constituição Federal, para tratar de interesse local, de forma abstrata e geral em matéria de iniciativa concorrente</w:t>
      </w:r>
      <w:r w:rsidRPr="00C4698E">
        <w:rPr>
          <w:rFonts w:cs="Arial"/>
          <w:i/>
          <w:color w:val="000000"/>
        </w:rPr>
        <w:t>.</w:t>
      </w:r>
    </w:p>
    <w:p w:rsidR="00C534DE" w:rsidRPr="00C4698E" w:rsidP="00C534DE">
      <w:pPr>
        <w:ind w:left="2268"/>
        <w:jc w:val="both"/>
        <w:rPr>
          <w:rFonts w:cs="Arial"/>
          <w:i/>
          <w:color w:val="000000"/>
        </w:rPr>
      </w:pPr>
      <w:r w:rsidRPr="00C4698E">
        <w:rPr>
          <w:rFonts w:cs="Arial"/>
          <w:i/>
          <w:color w:val="000000"/>
        </w:rPr>
        <w:t>(...)</w:t>
      </w:r>
    </w:p>
    <w:p w:rsidR="00C534DE" w:rsidRPr="00C4698E" w:rsidP="00C534DE">
      <w:pPr>
        <w:ind w:left="2268"/>
        <w:jc w:val="both"/>
        <w:rPr>
          <w:rFonts w:cs="Arial"/>
          <w:i/>
          <w:color w:val="000000"/>
        </w:rPr>
      </w:pPr>
      <w:r w:rsidRPr="00C4698E">
        <w:rPr>
          <w:rFonts w:cs="Arial"/>
          <w:i/>
          <w:color w:val="000000"/>
        </w:rPr>
        <w:t xml:space="preserve">(STF. </w:t>
      </w:r>
      <w:r w:rsidRPr="00C4698E">
        <w:rPr>
          <w:rFonts w:cstheme="minorHAnsi"/>
          <w:i/>
        </w:rPr>
        <w:t>ARE 1.360.426. Data da decisão: 01/02/2022</w:t>
      </w:r>
      <w:r w:rsidRPr="00C4698E">
        <w:rPr>
          <w:rFonts w:cs="Arial"/>
          <w:i/>
          <w:color w:val="000000"/>
        </w:rPr>
        <w:t>)</w:t>
      </w:r>
    </w:p>
    <w:p w:rsidR="00C534DE" w:rsidP="00E4161F">
      <w:pPr>
        <w:spacing w:after="120" w:line="360" w:lineRule="auto"/>
        <w:ind w:firstLine="1701"/>
        <w:jc w:val="both"/>
        <w:rPr>
          <w:rFonts w:ascii="Calibri" w:hAnsi="Calibri" w:cs="Calibri"/>
          <w:sz w:val="24"/>
          <w:szCs w:val="24"/>
        </w:rPr>
      </w:pPr>
    </w:p>
    <w:p w:rsidR="001245F8" w:rsidP="00E4161F">
      <w:pPr>
        <w:spacing w:after="120" w:line="360" w:lineRule="auto"/>
        <w:ind w:firstLine="1701"/>
        <w:jc w:val="both"/>
        <w:rPr>
          <w:rFonts w:ascii="Calibri" w:hAnsi="Calibri" w:cs="Calibri"/>
          <w:sz w:val="24"/>
          <w:szCs w:val="24"/>
        </w:rPr>
      </w:pPr>
      <w:r>
        <w:rPr>
          <w:rFonts w:ascii="Calibri" w:hAnsi="Calibri" w:cs="Calibri"/>
          <w:sz w:val="24"/>
          <w:szCs w:val="24"/>
        </w:rPr>
        <w:t xml:space="preserve">A despeito de partilharmos do entendimento extraído das decisões da Suprema Corte </w:t>
      </w:r>
      <w:r w:rsidR="005C77E1">
        <w:rPr>
          <w:rFonts w:ascii="Calibri" w:hAnsi="Calibri" w:cs="Calibri"/>
          <w:sz w:val="24"/>
          <w:szCs w:val="24"/>
        </w:rPr>
        <w:t>citadas acima,</w:t>
      </w:r>
      <w:r>
        <w:rPr>
          <w:rFonts w:ascii="Calibri" w:hAnsi="Calibri" w:cs="Calibri"/>
          <w:sz w:val="24"/>
          <w:szCs w:val="24"/>
        </w:rPr>
        <w:t xml:space="preserve"> </w:t>
      </w:r>
      <w:r w:rsidR="00A17BF8">
        <w:rPr>
          <w:rFonts w:ascii="Calibri" w:hAnsi="Calibri" w:cs="Calibri"/>
          <w:sz w:val="24"/>
          <w:szCs w:val="24"/>
        </w:rPr>
        <w:t xml:space="preserve">cumpre </w:t>
      </w:r>
      <w:r w:rsidR="00C534DE">
        <w:rPr>
          <w:rFonts w:ascii="Calibri" w:hAnsi="Calibri" w:cs="Calibri"/>
          <w:sz w:val="24"/>
          <w:szCs w:val="24"/>
        </w:rPr>
        <w:t>observar</w:t>
      </w:r>
      <w:r w:rsidR="00A17BF8">
        <w:rPr>
          <w:rFonts w:ascii="Calibri" w:hAnsi="Calibri" w:cs="Calibri"/>
          <w:sz w:val="24"/>
          <w:szCs w:val="24"/>
        </w:rPr>
        <w:t xml:space="preserve"> que no Tribunal de Justiça de São Paulo </w:t>
      </w:r>
      <w:r w:rsidR="00E4161F">
        <w:rPr>
          <w:rFonts w:ascii="Calibri" w:hAnsi="Calibri" w:cs="Calibri"/>
          <w:sz w:val="24"/>
          <w:szCs w:val="24"/>
        </w:rPr>
        <w:t xml:space="preserve">encontramos decisões contrárias </w:t>
      </w:r>
      <w:r w:rsidR="00C534DE">
        <w:rPr>
          <w:rFonts w:ascii="Calibri" w:hAnsi="Calibri" w:cs="Calibri"/>
          <w:sz w:val="24"/>
          <w:szCs w:val="24"/>
        </w:rPr>
        <w:t xml:space="preserve">em relação </w:t>
      </w:r>
      <w:r w:rsidR="00E4161F">
        <w:rPr>
          <w:rFonts w:ascii="Calibri" w:hAnsi="Calibri" w:cs="Calibri"/>
          <w:sz w:val="24"/>
          <w:szCs w:val="24"/>
        </w:rPr>
        <w:t xml:space="preserve">aos dispositivos de leis municipais </w:t>
      </w:r>
      <w:r w:rsidR="00C534DE">
        <w:rPr>
          <w:rFonts w:ascii="Calibri" w:hAnsi="Calibri" w:cs="Calibri"/>
          <w:sz w:val="24"/>
          <w:szCs w:val="24"/>
        </w:rPr>
        <w:t xml:space="preserve">programáticas </w:t>
      </w:r>
      <w:r w:rsidR="00E4161F">
        <w:rPr>
          <w:rFonts w:ascii="Calibri" w:hAnsi="Calibri" w:cs="Calibri"/>
          <w:sz w:val="24"/>
          <w:szCs w:val="24"/>
        </w:rPr>
        <w:t xml:space="preserve">que </w:t>
      </w:r>
      <w:r>
        <w:rPr>
          <w:rFonts w:ascii="Calibri" w:hAnsi="Calibri" w:cs="Calibri"/>
          <w:sz w:val="24"/>
          <w:szCs w:val="24"/>
        </w:rPr>
        <w:t>tratem da</w:t>
      </w:r>
      <w:r w:rsidRPr="004A31BC" w:rsidR="00E4161F">
        <w:rPr>
          <w:rFonts w:ascii="Calibri" w:hAnsi="Calibri" w:cs="Calibri"/>
          <w:sz w:val="24"/>
          <w:szCs w:val="24"/>
        </w:rPr>
        <w:t xml:space="preserve"> forma de execução do programa </w:t>
      </w:r>
      <w:r w:rsidR="00E4161F">
        <w:rPr>
          <w:rFonts w:ascii="Calibri" w:hAnsi="Calibri" w:cs="Calibri"/>
          <w:sz w:val="24"/>
          <w:szCs w:val="24"/>
        </w:rPr>
        <w:t>e os órgãos públicos encarregados</w:t>
      </w:r>
      <w:r w:rsidR="005158BD">
        <w:rPr>
          <w:rFonts w:ascii="Calibri" w:hAnsi="Calibri" w:cs="Calibri"/>
          <w:sz w:val="24"/>
          <w:szCs w:val="24"/>
        </w:rPr>
        <w:t xml:space="preserve"> de sua</w:t>
      </w:r>
      <w:r w:rsidR="0018210A">
        <w:rPr>
          <w:rFonts w:ascii="Calibri" w:hAnsi="Calibri" w:cs="Calibri"/>
          <w:sz w:val="24"/>
          <w:szCs w:val="24"/>
        </w:rPr>
        <w:t xml:space="preserve"> implementação</w:t>
      </w:r>
      <w:r w:rsidR="005158BD">
        <w:rPr>
          <w:rFonts w:ascii="Calibri" w:hAnsi="Calibri" w:cs="Calibri"/>
          <w:sz w:val="24"/>
          <w:szCs w:val="24"/>
        </w:rPr>
        <w:t xml:space="preserve">, porquanto </w:t>
      </w:r>
      <w:r w:rsidR="005158BD">
        <w:rPr>
          <w:rFonts w:ascii="Calibri" w:hAnsi="Calibri" w:cs="Calibri"/>
          <w:sz w:val="24"/>
          <w:szCs w:val="24"/>
        </w:rPr>
        <w:t>no entendimento da Corte Bandeirante</w:t>
      </w:r>
      <w:r w:rsidRPr="004A31BC" w:rsidR="005158BD">
        <w:rPr>
          <w:rFonts w:ascii="Calibri" w:hAnsi="Calibri" w:cs="Calibri"/>
          <w:sz w:val="24"/>
          <w:szCs w:val="24"/>
        </w:rPr>
        <w:t xml:space="preserve"> </w:t>
      </w:r>
      <w:r w:rsidR="005158BD">
        <w:rPr>
          <w:rFonts w:ascii="Calibri" w:hAnsi="Calibri" w:cs="Calibri"/>
          <w:sz w:val="24"/>
          <w:szCs w:val="24"/>
        </w:rPr>
        <w:t>estaria</w:t>
      </w:r>
      <w:r w:rsidR="005158BD">
        <w:rPr>
          <w:rFonts w:ascii="Calibri" w:hAnsi="Calibri" w:cs="Calibri"/>
          <w:sz w:val="24"/>
          <w:szCs w:val="24"/>
        </w:rPr>
        <w:t>m</w:t>
      </w:r>
      <w:r w:rsidRPr="004A31BC" w:rsidR="005158BD">
        <w:rPr>
          <w:rFonts w:cstheme="minorHAnsi"/>
          <w:sz w:val="24"/>
          <w:szCs w:val="24"/>
          <w:shd w:val="clear" w:color="auto" w:fill="FFFFFF"/>
        </w:rPr>
        <w:t xml:space="preserve"> </w:t>
      </w:r>
      <w:r w:rsidRPr="004A31BC" w:rsidR="005158BD">
        <w:rPr>
          <w:rFonts w:cstheme="minorHAnsi"/>
          <w:sz w:val="24"/>
          <w:szCs w:val="24"/>
          <w:shd w:val="clear" w:color="auto" w:fill="FFFFFF"/>
        </w:rPr>
        <w:t>afronta</w:t>
      </w:r>
      <w:r w:rsidR="005158BD">
        <w:rPr>
          <w:rFonts w:cstheme="minorHAnsi"/>
          <w:sz w:val="24"/>
          <w:szCs w:val="24"/>
          <w:shd w:val="clear" w:color="auto" w:fill="FFFFFF"/>
        </w:rPr>
        <w:t xml:space="preserve">ndo </w:t>
      </w:r>
      <w:r w:rsidRPr="004A31BC" w:rsidR="005158BD">
        <w:rPr>
          <w:rFonts w:cstheme="minorHAnsi"/>
          <w:sz w:val="24"/>
          <w:szCs w:val="24"/>
          <w:shd w:val="clear" w:color="auto" w:fill="FFFFFF"/>
        </w:rPr>
        <w:t>o</w:t>
      </w:r>
      <w:r w:rsidR="005158BD">
        <w:rPr>
          <w:rFonts w:cstheme="minorHAnsi"/>
          <w:sz w:val="24"/>
          <w:szCs w:val="24"/>
          <w:shd w:val="clear" w:color="auto" w:fill="FFFFFF"/>
        </w:rPr>
        <w:t>s</w:t>
      </w:r>
      <w:r w:rsidRPr="004A31BC" w:rsidR="005158BD">
        <w:rPr>
          <w:rFonts w:cstheme="minorHAnsi"/>
          <w:sz w:val="24"/>
          <w:szCs w:val="24"/>
          <w:shd w:val="clear" w:color="auto" w:fill="FFFFFF"/>
        </w:rPr>
        <w:t xml:space="preserve"> princípio</w:t>
      </w:r>
      <w:r w:rsidR="005158BD">
        <w:rPr>
          <w:rFonts w:cstheme="minorHAnsi"/>
          <w:sz w:val="24"/>
          <w:szCs w:val="24"/>
          <w:shd w:val="clear" w:color="auto" w:fill="FFFFFF"/>
        </w:rPr>
        <w:t>s</w:t>
      </w:r>
      <w:r w:rsidRPr="004A31BC" w:rsidR="005158BD">
        <w:rPr>
          <w:rFonts w:cstheme="minorHAnsi"/>
          <w:sz w:val="24"/>
          <w:szCs w:val="24"/>
          <w:shd w:val="clear" w:color="auto" w:fill="FFFFFF"/>
        </w:rPr>
        <w:t xml:space="preserve"> da separação dos poderes e da reserva de administração dispostos nos artigos 5º e 47, incisos </w:t>
      </w:r>
      <w:r w:rsidRPr="004A31BC" w:rsidR="005158BD">
        <w:rPr>
          <w:rFonts w:cstheme="minorHAnsi"/>
          <w:sz w:val="24"/>
          <w:szCs w:val="24"/>
        </w:rPr>
        <w:t>II e XIV, da Constituição Estadual</w:t>
      </w:r>
      <w:r w:rsidR="005158BD">
        <w:rPr>
          <w:rFonts w:cstheme="minorHAnsi"/>
          <w:sz w:val="24"/>
          <w:szCs w:val="24"/>
        </w:rPr>
        <w:t>.</w:t>
      </w:r>
      <w:r w:rsidR="005158BD">
        <w:rPr>
          <w:rFonts w:cstheme="minorHAnsi"/>
          <w:sz w:val="24"/>
          <w:szCs w:val="24"/>
        </w:rPr>
        <w:t xml:space="preserve"> N</w:t>
      </w:r>
      <w:r>
        <w:rPr>
          <w:rFonts w:ascii="Calibri" w:hAnsi="Calibri" w:cs="Calibri"/>
          <w:sz w:val="24"/>
          <w:szCs w:val="24"/>
        </w:rPr>
        <w:t>essa perspectiva</w:t>
      </w:r>
      <w:r w:rsidR="005158BD">
        <w:rPr>
          <w:rFonts w:ascii="Calibri" w:hAnsi="Calibri" w:cs="Calibri"/>
          <w:sz w:val="24"/>
          <w:szCs w:val="24"/>
        </w:rPr>
        <w:t xml:space="preserve">, </w:t>
      </w:r>
      <w:r w:rsidR="009A2EA7">
        <w:rPr>
          <w:rFonts w:ascii="Calibri" w:hAnsi="Calibri" w:cs="Calibri"/>
          <w:sz w:val="24"/>
          <w:szCs w:val="24"/>
        </w:rPr>
        <w:t xml:space="preserve">eventualmente poderia </w:t>
      </w:r>
      <w:r w:rsidR="009A2EA7">
        <w:rPr>
          <w:rFonts w:ascii="Calibri" w:hAnsi="Calibri" w:cs="Calibri"/>
          <w:sz w:val="24"/>
          <w:szCs w:val="24"/>
        </w:rPr>
        <w:t xml:space="preserve">ser objeto de questionamento </w:t>
      </w:r>
      <w:bookmarkStart w:id="0" w:name="_GoBack"/>
      <w:bookmarkEnd w:id="0"/>
      <w:r w:rsidR="009A2EA7">
        <w:rPr>
          <w:rFonts w:ascii="Calibri" w:hAnsi="Calibri" w:cs="Calibri"/>
          <w:sz w:val="24"/>
          <w:szCs w:val="24"/>
        </w:rPr>
        <w:t>n</w:t>
      </w:r>
      <w:r w:rsidR="005158BD">
        <w:rPr>
          <w:rFonts w:ascii="Calibri" w:hAnsi="Calibri" w:cs="Calibri"/>
          <w:sz w:val="24"/>
          <w:szCs w:val="24"/>
        </w:rPr>
        <w:t xml:space="preserve">o E. Órgão Especial do TJSP </w:t>
      </w:r>
      <w:r w:rsidR="009A2EA7">
        <w:rPr>
          <w:rFonts w:ascii="Calibri" w:hAnsi="Calibri" w:cs="Calibri"/>
          <w:sz w:val="24"/>
          <w:szCs w:val="24"/>
        </w:rPr>
        <w:t xml:space="preserve">a </w:t>
      </w:r>
      <w:r w:rsidR="005158BD">
        <w:rPr>
          <w:rFonts w:ascii="Calibri" w:hAnsi="Calibri" w:cs="Calibri"/>
          <w:sz w:val="24"/>
          <w:szCs w:val="24"/>
        </w:rPr>
        <w:t>constituciona</w:t>
      </w:r>
      <w:r w:rsidR="009A2EA7">
        <w:rPr>
          <w:rFonts w:ascii="Calibri" w:hAnsi="Calibri" w:cs="Calibri"/>
          <w:sz w:val="24"/>
          <w:szCs w:val="24"/>
        </w:rPr>
        <w:t>lidade</w:t>
      </w:r>
      <w:r w:rsidR="005158BD">
        <w:rPr>
          <w:rFonts w:ascii="Calibri" w:hAnsi="Calibri" w:cs="Calibri"/>
          <w:sz w:val="24"/>
          <w:szCs w:val="24"/>
        </w:rPr>
        <w:t xml:space="preserve"> </w:t>
      </w:r>
      <w:r w:rsidR="009A2EA7">
        <w:rPr>
          <w:rFonts w:ascii="Calibri" w:hAnsi="Calibri" w:cs="Calibri"/>
          <w:sz w:val="24"/>
          <w:szCs w:val="24"/>
        </w:rPr>
        <w:t>d</w:t>
      </w:r>
      <w:r w:rsidR="005158BD">
        <w:rPr>
          <w:rFonts w:ascii="Calibri" w:hAnsi="Calibri" w:cs="Calibri"/>
          <w:sz w:val="24"/>
          <w:szCs w:val="24"/>
        </w:rPr>
        <w:t>as ações a serem promovidas no âmbito do programa constantes dos arts. 3º e 4º do projeto.</w:t>
      </w:r>
    </w:p>
    <w:p w:rsidR="00DB33E1" w:rsidRPr="00AA4208" w:rsidP="00DB33E1">
      <w:pPr>
        <w:spacing w:after="120" w:line="360" w:lineRule="auto"/>
        <w:ind w:firstLine="1701"/>
        <w:jc w:val="both"/>
        <w:rPr>
          <w:rFonts w:ascii="Calibri" w:hAnsi="Calibri" w:cs="Calibri"/>
          <w:sz w:val="24"/>
          <w:szCs w:val="24"/>
        </w:rPr>
      </w:pPr>
      <w:r>
        <w:rPr>
          <w:rFonts w:cstheme="minorHAnsi"/>
          <w:sz w:val="24"/>
          <w:szCs w:val="24"/>
        </w:rPr>
        <w:t>Nessa linha</w:t>
      </w:r>
      <w:r w:rsidRPr="00AA4208">
        <w:rPr>
          <w:rFonts w:cstheme="minorHAnsi"/>
          <w:sz w:val="24"/>
          <w:szCs w:val="24"/>
        </w:rPr>
        <w:t xml:space="preserve">, colacionamos </w:t>
      </w:r>
      <w:r>
        <w:rPr>
          <w:rFonts w:cstheme="minorHAnsi"/>
          <w:sz w:val="24"/>
          <w:szCs w:val="24"/>
        </w:rPr>
        <w:t xml:space="preserve">algumas </w:t>
      </w:r>
      <w:r w:rsidRPr="00AA4208">
        <w:rPr>
          <w:rFonts w:cstheme="minorHAnsi"/>
          <w:sz w:val="24"/>
          <w:szCs w:val="24"/>
        </w:rPr>
        <w:t>decisões do E. Tribunal de Justiça do Estado de São Paulo</w:t>
      </w:r>
      <w:r w:rsidRPr="00AA4208">
        <w:rPr>
          <w:rFonts w:ascii="Calibri" w:hAnsi="Calibri" w:cs="Calibri"/>
          <w:sz w:val="24"/>
          <w:szCs w:val="24"/>
        </w:rPr>
        <w:t>:</w:t>
      </w:r>
    </w:p>
    <w:p w:rsidR="00C534DE" w:rsidP="00641010">
      <w:pPr>
        <w:pBdr>
          <w:bottom w:val="single" w:sz="12" w:space="1" w:color="auto"/>
        </w:pBdr>
        <w:spacing w:after="0"/>
        <w:ind w:left="2835"/>
        <w:jc w:val="both"/>
        <w:rPr>
          <w:rFonts w:cstheme="minorHAnsi"/>
          <w:i/>
          <w:shd w:val="clear" w:color="auto" w:fill="FFFFFF"/>
        </w:rPr>
      </w:pPr>
      <w:r w:rsidRPr="000B4AF0">
        <w:rPr>
          <w:rFonts w:cstheme="minorHAnsi"/>
          <w:i/>
          <w:shd w:val="clear" w:color="auto" w:fill="FFFFFF"/>
        </w:rPr>
        <w:t xml:space="preserve">Ação direta de inconstitucionalidade. Lei n. 12.057/19, do Município de Sorocaba, </w:t>
      </w:r>
      <w:r w:rsidRPr="000B4AF0">
        <w:rPr>
          <w:rFonts w:cstheme="minorHAnsi"/>
          <w:b/>
          <w:i/>
          <w:shd w:val="clear" w:color="auto" w:fill="FFFFFF"/>
        </w:rPr>
        <w:t xml:space="preserve">de iniciativa parlamentar, que cria </w:t>
      </w:r>
      <w:r w:rsidRPr="0018210A">
        <w:rPr>
          <w:rFonts w:cstheme="minorHAnsi"/>
          <w:b/>
          <w:i/>
          <w:u w:val="single"/>
          <w:shd w:val="clear" w:color="auto" w:fill="FFFFFF"/>
        </w:rPr>
        <w:t>campanha local de enfrentamento ao assédio e violência sexual.</w:t>
      </w:r>
      <w:r w:rsidRPr="000B4AF0">
        <w:rPr>
          <w:rFonts w:cstheme="minorHAnsi"/>
          <w:i/>
          <w:shd w:val="clear" w:color="auto" w:fill="FFFFFF"/>
        </w:rPr>
        <w:t xml:space="preserve"> </w:t>
      </w:r>
      <w:r w:rsidRPr="000B4AF0">
        <w:rPr>
          <w:rFonts w:cstheme="minorHAnsi"/>
          <w:b/>
          <w:i/>
          <w:shd w:val="clear" w:color="auto" w:fill="FFFFFF"/>
        </w:rPr>
        <w:t>Imposição, porém, para a campanha</w:t>
      </w:r>
      <w:r w:rsidRPr="00BE2D30">
        <w:rPr>
          <w:rFonts w:cstheme="minorHAnsi"/>
          <w:b/>
          <w:i/>
          <w:u w:val="single"/>
          <w:shd w:val="clear" w:color="auto" w:fill="FFFFFF"/>
        </w:rPr>
        <w:t>, de providências como o treinamento de servidores, divulgação em espaços públicos, contas de serviço e cartazes em ônibus,</w:t>
      </w:r>
      <w:r w:rsidRPr="000B4AF0">
        <w:rPr>
          <w:rFonts w:cstheme="minorHAnsi"/>
          <w:i/>
          <w:shd w:val="clear" w:color="auto" w:fill="FFFFFF"/>
        </w:rPr>
        <w:t xml:space="preserve"> </w:t>
      </w:r>
      <w:r w:rsidRPr="000B4AF0">
        <w:rPr>
          <w:rFonts w:cstheme="minorHAnsi"/>
          <w:b/>
          <w:i/>
          <w:u w:val="single"/>
          <w:shd w:val="clear" w:color="auto" w:fill="FFFFFF"/>
        </w:rPr>
        <w:t>além de impor parcerias</w:t>
      </w:r>
      <w:r w:rsidRPr="000B4AF0">
        <w:rPr>
          <w:rFonts w:cstheme="minorHAnsi"/>
          <w:i/>
          <w:shd w:val="clear" w:color="auto" w:fill="FFFFFF"/>
        </w:rPr>
        <w:t xml:space="preserve">. Ausência de vício de iniciativa no estabelecimento em si do que é real política pública, mas </w:t>
      </w:r>
      <w:r w:rsidRPr="000B4AF0">
        <w:rPr>
          <w:rFonts w:cstheme="minorHAnsi"/>
          <w:b/>
          <w:i/>
          <w:shd w:val="clear" w:color="auto" w:fill="FFFFFF"/>
        </w:rPr>
        <w:t>afronta à reserva da administração quando se estabelecem as ações de implementação da campanha. Artigos 4º, 5º e 6º da Lei n. 12.057/19 considerados inconstitucionais</w:t>
      </w:r>
      <w:r w:rsidRPr="000B4AF0">
        <w:rPr>
          <w:rFonts w:cstheme="minorHAnsi"/>
          <w:i/>
          <w:shd w:val="clear" w:color="auto" w:fill="FFFFFF"/>
        </w:rPr>
        <w:t>. Ação julgada parcialmente procedente.</w:t>
      </w:r>
    </w:p>
    <w:p w:rsidR="00DB33E1" w:rsidRPr="00BE2D30" w:rsidP="00641010">
      <w:pPr>
        <w:pBdr>
          <w:bottom w:val="single" w:sz="12" w:space="1" w:color="auto"/>
        </w:pBdr>
        <w:spacing w:after="0"/>
        <w:ind w:left="2835"/>
        <w:jc w:val="both"/>
        <w:rPr>
          <w:i/>
          <w:color w:val="000000"/>
          <w:sz w:val="20"/>
          <w:szCs w:val="20"/>
          <w:shd w:val="clear" w:color="auto" w:fill="FFFFFF"/>
        </w:rPr>
      </w:pPr>
      <w:r w:rsidRPr="000B4AF0">
        <w:rPr>
          <w:rFonts w:cstheme="minorHAnsi"/>
          <w:i/>
          <w:shd w:val="clear" w:color="auto" w:fill="FFFFFF"/>
        </w:rPr>
        <w:t> </w:t>
      </w:r>
      <w:r w:rsidRPr="00BE2D30">
        <w:rPr>
          <w:rFonts w:cstheme="minorHAnsi"/>
          <w:i/>
          <w:sz w:val="20"/>
          <w:szCs w:val="20"/>
          <w:shd w:val="clear" w:color="auto" w:fill="FFFFFF"/>
        </w:rPr>
        <w:t>(TJSP;  Direta de Inconstitucionalidade 2083729-89.2020.8.26.0000; Relator (a): Claudio Godoy; Órgão Julgador: Órgão Especial; Tribunal de Justiça de São Paulo - N/A; Data do Julgamento: 14/07/2021; Data de Registro: 15/07/2021)</w:t>
      </w:r>
    </w:p>
    <w:p w:rsidR="00DB33E1" w:rsidRPr="00BE2D30" w:rsidP="00DB33E1">
      <w:pPr>
        <w:ind w:left="2835"/>
        <w:jc w:val="both"/>
        <w:rPr>
          <w:i/>
          <w:color w:val="000000"/>
          <w:sz w:val="4"/>
          <w:szCs w:val="4"/>
          <w:shd w:val="clear" w:color="auto" w:fill="FFFFFF"/>
        </w:rPr>
      </w:pPr>
    </w:p>
    <w:p w:rsidR="00C534DE" w:rsidP="00DB33E1">
      <w:pPr>
        <w:spacing w:after="0"/>
        <w:ind w:left="2835"/>
        <w:jc w:val="both"/>
        <w:rPr>
          <w:rFonts w:ascii="Calibri" w:hAnsi="Calibri" w:cs="Calibri"/>
          <w:b/>
          <w:i/>
          <w:color w:val="000000"/>
          <w:shd w:val="clear" w:color="auto" w:fill="FFFFFF"/>
        </w:rPr>
      </w:pPr>
      <w:r w:rsidRPr="00BE2D30">
        <w:rPr>
          <w:rFonts w:ascii="Calibri" w:hAnsi="Calibri" w:cs="Calibri"/>
          <w:i/>
          <w:color w:val="000000"/>
          <w:shd w:val="clear" w:color="auto" w:fill="FFFFFF"/>
        </w:rPr>
        <w:t xml:space="preserve">AÇÃO DIRETA DE INCONSTITUCIONALIDADE – </w:t>
      </w:r>
      <w:r w:rsidRPr="00BE2D30">
        <w:rPr>
          <w:rFonts w:ascii="Calibri" w:hAnsi="Calibri" w:cs="Calibri"/>
          <w:b/>
          <w:i/>
          <w:color w:val="000000"/>
          <w:u w:val="single"/>
          <w:shd w:val="clear" w:color="auto" w:fill="FFFFFF"/>
        </w:rPr>
        <w:t>LEI Nº 6.211/2021 DO MUNICÍPIO DE CATANDUVA,</w:t>
      </w:r>
      <w:r w:rsidRPr="00BE2D30">
        <w:rPr>
          <w:rFonts w:ascii="Calibri" w:hAnsi="Calibri" w:cs="Calibri"/>
          <w:b/>
          <w:i/>
          <w:color w:val="000000"/>
          <w:shd w:val="clear" w:color="auto" w:fill="FFFFFF"/>
        </w:rPr>
        <w:t xml:space="preserve"> A QUAL INSTITUIU</w:t>
      </w:r>
      <w:r w:rsidRPr="00BE2D30">
        <w:rPr>
          <w:rFonts w:ascii="Calibri" w:hAnsi="Calibri" w:cs="Calibri"/>
          <w:i/>
          <w:color w:val="000000"/>
          <w:shd w:val="clear" w:color="auto" w:fill="FFFFFF"/>
        </w:rPr>
        <w:t xml:space="preserve"> O </w:t>
      </w:r>
      <w:r w:rsidRPr="00BE2D30">
        <w:rPr>
          <w:rFonts w:ascii="Calibri" w:hAnsi="Calibri" w:cs="Calibri"/>
          <w:b/>
          <w:i/>
          <w:color w:val="000000"/>
          <w:shd w:val="clear" w:color="auto" w:fill="FFFFFF"/>
        </w:rPr>
        <w:t xml:space="preserve">PROGRAMA "HIGIENE MENSTRUAL" QUE OFERECE DIREITO DE ACESSO A ABSORVENTES HIGIÊNICOS A </w:t>
      </w:r>
      <w:r w:rsidRPr="00BE2D30">
        <w:rPr>
          <w:rFonts w:ascii="Calibri" w:hAnsi="Calibri" w:cs="Calibri"/>
          <w:b/>
          <w:i/>
          <w:color w:val="000000"/>
          <w:shd w:val="clear" w:color="auto" w:fill="FFFFFF"/>
        </w:rPr>
        <w:t>MULHERES DE BAIXA RENDA</w:t>
      </w:r>
      <w:r w:rsidRPr="00BE2D30">
        <w:rPr>
          <w:rFonts w:ascii="Calibri" w:hAnsi="Calibri" w:cs="Calibri"/>
          <w:i/>
          <w:color w:val="000000"/>
          <w:shd w:val="clear" w:color="auto" w:fill="FFFFFF"/>
        </w:rPr>
        <w:t xml:space="preserve"> – ARTIGOS 1º, CAPUT, 3º, INCISOS I A VIII, 12 e 13 DA LEI IMPUGNADA – NORMAS PROGRAMÁTICAS, GENÉRICAS E ABSTRATAS EM MATÉRIAS DE SAÚDE PÚBLICA E ASSISTÊNCIA SOCIAL – CONSTITUCIONALIDADE, MESMO QUANDO CRIA OU AUMENTA DESPESAS PARA A ADMINSTRAÇÃO LOCAL, POIS TAIS MATÉRIAS NÃO ESTÃO ENTRE AQUELAS CUJA INICIATIVA LEGISLATIVA COMPETE EXCLUSIVAMENTE AO CHEFE DO PODER EXECUTIVO, NOS TERMOS DO ART. 24, § 2º, C.C. ART. 144, AMBOS DA CONSTITUIÇÃO ESTADUAL E DA TESE FIXADA PELO SUPREMO TRIBUNAL FEDERAL, PARA FINS DE REPERCUSSÃO GERAL, NO TEMA 917 DAQUELA CORTE SUPREMA – </w:t>
      </w:r>
      <w:r w:rsidRPr="00BE2D30">
        <w:rPr>
          <w:rFonts w:ascii="Calibri" w:hAnsi="Calibri" w:cs="Calibri"/>
          <w:b/>
          <w:i/>
          <w:color w:val="000000"/>
          <w:shd w:val="clear" w:color="auto" w:fill="FFFFFF"/>
        </w:rPr>
        <w:t>PARÁGRAFO ÚNICO DO ART. 1º, ART. 2º E ARTS. 4º A 11 DA LEI IMPUGNADA</w:t>
      </w:r>
      <w:r w:rsidRPr="00BE2D30">
        <w:rPr>
          <w:rFonts w:ascii="Calibri" w:hAnsi="Calibri" w:cs="Calibri"/>
          <w:i/>
          <w:color w:val="000000"/>
          <w:shd w:val="clear" w:color="auto" w:fill="FFFFFF"/>
        </w:rPr>
        <w:t xml:space="preserve"> – </w:t>
      </w:r>
      <w:r w:rsidRPr="00BE2D30">
        <w:rPr>
          <w:rFonts w:ascii="Calibri" w:hAnsi="Calibri" w:cs="Calibri"/>
          <w:b/>
          <w:i/>
          <w:color w:val="000000"/>
          <w:shd w:val="clear" w:color="auto" w:fill="FFFFFF"/>
        </w:rPr>
        <w:t>ESTABELECIMENTO DA FORMA COM QUE SE DARÁ A IMPLEMENTAÇÃO DO PROGRAMA</w:t>
      </w:r>
      <w:r w:rsidRPr="00BE2D30">
        <w:rPr>
          <w:rFonts w:ascii="Calibri" w:hAnsi="Calibri" w:cs="Calibri"/>
          <w:i/>
          <w:color w:val="000000"/>
          <w:shd w:val="clear" w:color="auto" w:fill="FFFFFF"/>
        </w:rPr>
        <w:t xml:space="preserve">, </w:t>
      </w:r>
      <w:r w:rsidRPr="00BE2D30">
        <w:rPr>
          <w:rFonts w:ascii="Calibri" w:hAnsi="Calibri" w:cs="Calibri"/>
          <w:b/>
          <w:i/>
          <w:color w:val="000000"/>
          <w:shd w:val="clear" w:color="auto" w:fill="FFFFFF"/>
        </w:rPr>
        <w:t>DOS ÓRGÃOS DA ADMINISTRAÇÃO MUNICIPAL ENCARREGADOS DE IMPLEMENTÁ-LO E DE SUAS OBRIGAÇÕES</w:t>
      </w:r>
      <w:r w:rsidRPr="00BE2D30">
        <w:rPr>
          <w:rFonts w:ascii="Calibri" w:hAnsi="Calibri" w:cs="Calibri"/>
          <w:i/>
          <w:color w:val="000000"/>
          <w:shd w:val="clear" w:color="auto" w:fill="FFFFFF"/>
        </w:rPr>
        <w:t xml:space="preserve"> – </w:t>
      </w:r>
      <w:r w:rsidRPr="00BE2D30">
        <w:rPr>
          <w:rFonts w:ascii="Calibri" w:hAnsi="Calibri" w:cs="Calibri"/>
          <w:b/>
          <w:i/>
          <w:color w:val="000000"/>
          <w:shd w:val="clear" w:color="auto" w:fill="FFFFFF"/>
        </w:rPr>
        <w:t xml:space="preserve">INCONSTITUCIONALIDADE, POR INGRESSAREM NO CAMPO DA ADMINISTRAÇÃO PÚBLICA, MATÉRIA CUJA INICIATIVA LEGISLATIVA COMPETE AO CHEFE DO PODER EXECUTIVO </w:t>
      </w:r>
      <w:r w:rsidRPr="00BE2D30">
        <w:rPr>
          <w:rFonts w:ascii="Calibri" w:hAnsi="Calibri" w:cs="Calibri"/>
          <w:i/>
          <w:color w:val="000000"/>
          <w:shd w:val="clear" w:color="auto" w:fill="FFFFFF"/>
        </w:rPr>
        <w:t xml:space="preserve">– VIOLAÇÃO DOS ARTS. 5º, 24, § 2º, ITEM 2, 47, INCISOS II, XIV e XIX, ALÍNEA "A", E 144, TODOS DA CONSTITUIÇÃO ESTADUAL – PRECEDENTES DO ÓRGÃO ESPECIAL – </w:t>
      </w:r>
      <w:r w:rsidRPr="00BE2D30">
        <w:rPr>
          <w:rFonts w:ascii="Calibri" w:hAnsi="Calibri" w:cs="Calibri"/>
          <w:b/>
          <w:i/>
          <w:color w:val="000000"/>
          <w:shd w:val="clear" w:color="auto" w:fill="FFFFFF"/>
        </w:rPr>
        <w:t>AÇÃO PARCIALMENTE PROCEDENTE, TORNADA DEFINITIVA, NESSA EXTENSÃO, A LIMINAR CONCEDIDA.</w:t>
      </w:r>
    </w:p>
    <w:p w:rsidR="00DB33E1" w:rsidRPr="00BE2D30" w:rsidP="00DB33E1">
      <w:pPr>
        <w:spacing w:after="0"/>
        <w:ind w:left="2835"/>
        <w:jc w:val="both"/>
        <w:rPr>
          <w:rFonts w:ascii="Calibri" w:hAnsi="Calibri" w:cs="Calibri"/>
          <w:i/>
          <w:color w:val="000000"/>
          <w:sz w:val="20"/>
          <w:szCs w:val="20"/>
          <w:shd w:val="clear" w:color="auto" w:fill="FFFFFF"/>
        </w:rPr>
      </w:pPr>
      <w:r w:rsidRPr="00BE2D30">
        <w:rPr>
          <w:rFonts w:ascii="Calibri" w:hAnsi="Calibri" w:cs="Calibri"/>
          <w:i/>
          <w:color w:val="000000"/>
          <w:shd w:val="clear" w:color="auto" w:fill="FFFFFF"/>
        </w:rPr>
        <w:t> </w:t>
      </w:r>
      <w:r w:rsidRPr="00BE2D30">
        <w:rPr>
          <w:rFonts w:ascii="Calibri" w:hAnsi="Calibri" w:cs="Calibri"/>
          <w:i/>
          <w:color w:val="000000"/>
          <w:sz w:val="20"/>
          <w:szCs w:val="20"/>
          <w:shd w:val="clear" w:color="auto" w:fill="FFFFFF"/>
        </w:rPr>
        <w:t>(TJSP;  Direta de Inconstitucionalidade 2262926-67.2021.8.26.0000; Relator (a): Matheus Fontes; Órgão Julgador: Órgão Especial; Tribunal de Justiça de São Paulo - N/A; Data do Julgamento: 18/05/2022; Data de Registro: 19/05/2022)</w:t>
      </w:r>
    </w:p>
    <w:p w:rsidR="00DB33E1" w:rsidRPr="00BE2D30" w:rsidP="00DB33E1">
      <w:pPr>
        <w:pBdr>
          <w:bottom w:val="single" w:sz="12" w:space="1" w:color="auto"/>
        </w:pBdr>
        <w:spacing w:after="0"/>
        <w:ind w:left="2835"/>
        <w:jc w:val="both"/>
        <w:rPr>
          <w:rFonts w:ascii="Calibri" w:hAnsi="Calibri" w:cs="Calibri"/>
          <w:i/>
          <w:color w:val="000000"/>
          <w:shd w:val="clear" w:color="auto" w:fill="FFFFFF"/>
        </w:rPr>
      </w:pPr>
    </w:p>
    <w:p w:rsidR="00DB33E1" w:rsidRPr="00BE2D30" w:rsidP="00DB33E1">
      <w:pPr>
        <w:spacing w:after="0"/>
        <w:ind w:left="2835"/>
        <w:jc w:val="both"/>
        <w:rPr>
          <w:rFonts w:ascii="Calibri" w:hAnsi="Calibri" w:cs="Calibri"/>
          <w:i/>
          <w:color w:val="000000"/>
          <w:shd w:val="clear" w:color="auto" w:fill="FFFFFF"/>
        </w:rPr>
      </w:pPr>
    </w:p>
    <w:p w:rsidR="00C534DE" w:rsidP="00C534DE">
      <w:pPr>
        <w:pBdr>
          <w:bottom w:val="single" w:sz="12" w:space="1" w:color="auto"/>
        </w:pBdr>
        <w:spacing w:after="0"/>
        <w:ind w:left="2835"/>
        <w:jc w:val="both"/>
        <w:rPr>
          <w:rFonts w:ascii="Calibri" w:hAnsi="Calibri" w:cs="Calibri"/>
          <w:i/>
          <w:color w:val="000000"/>
          <w:shd w:val="clear" w:color="auto" w:fill="FFFFFF"/>
        </w:rPr>
      </w:pPr>
      <w:r w:rsidRPr="00BE2D30">
        <w:rPr>
          <w:rFonts w:ascii="Calibri" w:hAnsi="Calibri" w:cs="Calibri"/>
          <w:i/>
          <w:color w:val="000000"/>
          <w:shd w:val="clear" w:color="auto" w:fill="FFFFFF"/>
        </w:rPr>
        <w:t xml:space="preserve">AÇÃO DIRETA DE INCONSTITUCIONALIDADE – LEI Nº 10.344, DE 10 DE NOVEMBRO DE 2021, DO MUNICÍPIO DE SANTO ANDRÉ/SP, QUE </w:t>
      </w:r>
      <w:r w:rsidRPr="00BE2D30">
        <w:rPr>
          <w:rFonts w:ascii="Calibri" w:hAnsi="Calibri" w:cs="Calibri"/>
          <w:b/>
          <w:i/>
          <w:color w:val="000000"/>
          <w:shd w:val="clear" w:color="auto" w:fill="FFFFFF"/>
        </w:rPr>
        <w:t>'DISPÕE SOBRE PROGRAMA DE DISTRIBUIÇÃO DE RAÇÃO AOS ANIMAIS EM VIRTUDE DA PANDEMIA OCASIONADA PELA COVID-19,</w:t>
      </w:r>
      <w:r w:rsidRPr="00BE2D30">
        <w:rPr>
          <w:rFonts w:ascii="Calibri" w:hAnsi="Calibri" w:cs="Calibri"/>
          <w:i/>
          <w:color w:val="000000"/>
          <w:shd w:val="clear" w:color="auto" w:fill="FFFFFF"/>
        </w:rPr>
        <w:t xml:space="preserve"> DE QUE TRATA A LEI FEDERAL Nº 13.979 DE 6 DE FEVEREIRO DE 2020 E O DECRETO MUNICIPAL Nº 17322/2020, E DÁ OUTRAS PROVIDÊNCIAS' – </w:t>
      </w:r>
      <w:r w:rsidRPr="00BE2D30">
        <w:rPr>
          <w:rFonts w:ascii="Calibri" w:hAnsi="Calibri" w:cs="Calibri"/>
          <w:i/>
          <w:color w:val="000000"/>
          <w:u w:val="single"/>
          <w:shd w:val="clear" w:color="auto" w:fill="FFFFFF"/>
        </w:rPr>
        <w:t xml:space="preserve">LEI </w:t>
      </w:r>
      <w:r w:rsidRPr="00BE2D30">
        <w:rPr>
          <w:rFonts w:ascii="Calibri" w:hAnsi="Calibri" w:cs="Calibri"/>
          <w:i/>
          <w:color w:val="000000"/>
          <w:u w:val="single"/>
          <w:shd w:val="clear" w:color="auto" w:fill="FFFFFF"/>
        </w:rPr>
        <w:t xml:space="preserve">DE INICIATIVA PARLAMENTAR – CONFORMIDADE, NA ESSÊNCIA, AOS ARTIGOS. 5º, 24, §2º, 47, INCISOS II, XI, XIV E XIX, ALÍNEA 'A', DA CONSTITUIÇÃO DO ESTADO DE SÃO PAULO </w:t>
      </w:r>
      <w:r w:rsidRPr="00BE2D30">
        <w:rPr>
          <w:rFonts w:ascii="Calibri" w:hAnsi="Calibri" w:cs="Calibri"/>
          <w:i/>
          <w:color w:val="000000"/>
          <w:shd w:val="clear" w:color="auto" w:fill="FFFFFF"/>
        </w:rPr>
        <w:t xml:space="preserve">– VÍCIO DE INICIATIVA NÃO CARACTERIZADO, POIS A NORMA IMPUGNADA NÃO VERSA SOBRE A ESTRUTURA OU ORGANIZAÇÃO DE ÓRGÃOS DO EXECUTIVO OU REGIME JURÍDICO DOS SERVIDORES PÚBLICOS – TESE FIXADA EM REPERCUSSÃO GERAL NO ÂMBITO DO C. STF – </w:t>
      </w:r>
      <w:r w:rsidRPr="00BE2D30">
        <w:rPr>
          <w:rFonts w:ascii="Calibri" w:hAnsi="Calibri" w:cs="Calibri"/>
          <w:i/>
          <w:color w:val="000000"/>
          <w:u w:val="single"/>
          <w:shd w:val="clear" w:color="auto" w:fill="FFFFFF"/>
        </w:rPr>
        <w:t>TEMA NO 917</w:t>
      </w:r>
      <w:r w:rsidRPr="00BE2D30">
        <w:rPr>
          <w:rFonts w:ascii="Calibri" w:hAnsi="Calibri" w:cs="Calibri"/>
          <w:i/>
          <w:color w:val="000000"/>
          <w:shd w:val="clear" w:color="auto" w:fill="FFFFFF"/>
        </w:rPr>
        <w:t xml:space="preserve"> – ARE. 878.911/RJ – </w:t>
      </w:r>
      <w:r w:rsidRPr="00BE2D30">
        <w:rPr>
          <w:rFonts w:ascii="Calibri" w:hAnsi="Calibri" w:cs="Calibri"/>
          <w:b/>
          <w:i/>
          <w:color w:val="000000"/>
          <w:shd w:val="clear" w:color="auto" w:fill="FFFFFF"/>
        </w:rPr>
        <w:t>DISPOSIÇÕES DOS ARTIGOS 2º, 4º E 5º, PORÉM, QUE INGRESSAM NO CAMPO DA RESERVA DA ADMINISTRAÇÃO – INVIÁVEL A INSTITUIÇÃO DA FORMA DE CUMPRIMENTO OU EXECUÇÃO DO PROGRAMA CRIADO –</w:t>
      </w:r>
      <w:r w:rsidRPr="00BE2D30">
        <w:rPr>
          <w:rFonts w:ascii="Calibri" w:hAnsi="Calibri" w:cs="Calibri"/>
          <w:i/>
          <w:color w:val="000000"/>
          <w:shd w:val="clear" w:color="auto" w:fill="FFFFFF"/>
        </w:rPr>
        <w:t xml:space="preserve"> AUSÊNCIA DE PREVISÃO ORÇAMENTÁRIA QUE, POR SI SÓ, NÃO TEM O CONDÃO DE ATRIBUIR INCONSTITUCIONALIDADE À LEI – PRECEDENTES DO C. STF – PRETENSÃO PARCIALMENTE PROCEDENTE.  </w:t>
      </w:r>
    </w:p>
    <w:p w:rsidR="00DB33E1" w:rsidRPr="00BE2D30" w:rsidP="00C534DE">
      <w:pPr>
        <w:pBdr>
          <w:bottom w:val="single" w:sz="12" w:space="1" w:color="auto"/>
        </w:pBdr>
        <w:spacing w:after="0"/>
        <w:ind w:left="2835"/>
        <w:jc w:val="both"/>
        <w:rPr>
          <w:i/>
          <w:color w:val="000000"/>
          <w:sz w:val="20"/>
          <w:szCs w:val="20"/>
          <w:shd w:val="clear" w:color="auto" w:fill="FFFFFF"/>
        </w:rPr>
      </w:pPr>
      <w:r w:rsidRPr="00BE2D30">
        <w:rPr>
          <w:rFonts w:ascii="Calibri" w:hAnsi="Calibri" w:cs="Calibri"/>
          <w:i/>
          <w:color w:val="000000"/>
          <w:sz w:val="20"/>
          <w:szCs w:val="20"/>
          <w:shd w:val="clear" w:color="auto" w:fill="FFFFFF"/>
        </w:rPr>
        <w:t>(TJSP;  Direta de Inconstitucionalidade 2012462-23.2021.8.26.0000; Relator (a): Francisco Casconi; Órgão Julgador: Órgão Especial; Tribunal de Justiça de São Paulo - N/A; Data do Julgamento: 04/05/2022; Data de Registro: 06/05/2022</w:t>
      </w:r>
      <w:r>
        <w:rPr>
          <w:rFonts w:ascii="Calibri" w:hAnsi="Calibri" w:cs="Calibri"/>
          <w:i/>
          <w:color w:val="000000"/>
          <w:sz w:val="20"/>
          <w:shd w:val="clear" w:color="auto" w:fill="FFFFFF"/>
        </w:rPr>
        <w:t>)</w:t>
      </w:r>
    </w:p>
    <w:p w:rsidR="00DB33E1" w:rsidRPr="00BE2D30" w:rsidP="00DB33E1">
      <w:pPr>
        <w:ind w:left="2835"/>
        <w:jc w:val="both"/>
        <w:rPr>
          <w:i/>
          <w:color w:val="000000"/>
          <w:sz w:val="4"/>
          <w:szCs w:val="4"/>
          <w:shd w:val="clear" w:color="auto" w:fill="FFFFFF"/>
        </w:rPr>
      </w:pPr>
    </w:p>
    <w:p w:rsidR="00C534DE" w:rsidP="00C534DE">
      <w:pPr>
        <w:spacing w:after="0"/>
        <w:ind w:left="2835"/>
        <w:jc w:val="both"/>
        <w:rPr>
          <w:i/>
          <w:color w:val="000000"/>
          <w:shd w:val="clear" w:color="auto" w:fill="FFFFFF"/>
        </w:rPr>
      </w:pPr>
      <w:r w:rsidRPr="001702F1">
        <w:rPr>
          <w:i/>
          <w:color w:val="000000"/>
          <w:shd w:val="clear" w:color="auto" w:fill="FFFFFF"/>
        </w:rPr>
        <w:t>Ação direta de inconstitucionalidade – Lei nº 2.409/2022 do Município de Itatinga, de iniciativa parlamentar, a qual institui o "</w:t>
      </w:r>
      <w:r w:rsidRPr="001702F1">
        <w:rPr>
          <w:b/>
          <w:i/>
          <w:color w:val="000000"/>
          <w:shd w:val="clear" w:color="auto" w:fill="FFFFFF"/>
        </w:rPr>
        <w:t>Programa de Fornecimento de Absorventes Higiênicos às mulheres de baixa renda e às alunas matriculadas na rede municipal de ensino"</w:t>
      </w:r>
      <w:r w:rsidRPr="001702F1">
        <w:rPr>
          <w:i/>
          <w:color w:val="000000"/>
          <w:shd w:val="clear" w:color="auto" w:fill="FFFFFF"/>
        </w:rPr>
        <w:t xml:space="preserve"> – Alegada usurpação da competência privativa do Chefe do Executivo, com violação dos arts. 5º, 47, II e XIV, e 144 da CE – Inocorrência de vício de iniciativa – Saúde que constitui direito social e se insere no âmbito das competências material comum e legislativa concorrente entre os entes federados, cabendo aos municípios suplementarem as normas editadas pelos estados e pela União, notado o dever do Estado de Estado de provê-la mediante políticas públicas, sobretudo tratando-se de hipossuficientes, nos termos dos arts. 3º, III, 6º, 23, II e X, 24, XII da e 30, I e II, 196 e 197 da CF – Normas infraconstitucionais que também reforçam o dever imposto na lei municipal – Inteligência do ECA, da Lei Federal nº 14.214/2021 (recentemente regulamentada pelo Decreto nº 11.432/2023) e da Lei Estadual nº 17.525/2022 – Diploma </w:t>
      </w:r>
      <w:r w:rsidRPr="001702F1">
        <w:rPr>
          <w:i/>
          <w:color w:val="000000"/>
          <w:shd w:val="clear" w:color="auto" w:fill="FFFFFF"/>
        </w:rPr>
        <w:t xml:space="preserve">municipal que tão somente visa a consecução de direito originalmente emanado da Constituição Federal e que já é objeto de concretização no âmbito federal e estadual – Jurisprudência do E. STF que, à luz do Tema nº 917 de Repercussão Geral, entende que leis de iniciativa parlamentar concretizadoras de direitos sociais não ofendem o postulado da separação dos Poderes – Análise do citado paradigma que, ademais, revela que a medida em tela não se mostra mais invasiva que a examinada no "leading case" – </w:t>
      </w:r>
      <w:r w:rsidRPr="001702F1">
        <w:rPr>
          <w:b/>
          <w:i/>
          <w:color w:val="000000"/>
          <w:u w:val="single"/>
          <w:shd w:val="clear" w:color="auto" w:fill="FFFFFF"/>
        </w:rPr>
        <w:t>Inconstitucionalidade, contudo, observada em parcela da lei, no que toca aos arts. 3º e 4º, que, respectivamente, dispõem sobre a forma de enquadramento no programa e a possibilidade de que o Executivo firme "convênios, acordos ou outros instrumentos jurídicos" – Determinações que indevidamente tolhem do Executivo a escolha pela melhor forma de implementação da política p</w:t>
      </w:r>
      <w:r w:rsidRPr="001702F1">
        <w:rPr>
          <w:b/>
          <w:i/>
          <w:color w:val="000000"/>
          <w:shd w:val="clear" w:color="auto" w:fill="FFFFFF"/>
        </w:rPr>
        <w:t xml:space="preserve">ública – Ofensa à separação de Poderes, nesses pontos. </w:t>
      </w:r>
      <w:r w:rsidRPr="001702F1">
        <w:rPr>
          <w:i/>
          <w:color w:val="000000"/>
          <w:shd w:val="clear" w:color="auto" w:fill="FFFFFF"/>
        </w:rPr>
        <w:t>Pedido do alcaide julgado parcialmente procedente, para declarar inconstitucionais os arts. 3º e 4º da Lei nº 2.409/2022 do Município de Itatinga. </w:t>
      </w:r>
    </w:p>
    <w:p w:rsidR="00DB33E1" w:rsidP="00C534DE">
      <w:pPr>
        <w:spacing w:after="0"/>
        <w:ind w:left="2835"/>
        <w:jc w:val="both"/>
        <w:rPr>
          <w:i/>
          <w:color w:val="000000"/>
          <w:sz w:val="20"/>
          <w:szCs w:val="20"/>
          <w:shd w:val="clear" w:color="auto" w:fill="FFFFFF"/>
        </w:rPr>
      </w:pPr>
      <w:r w:rsidRPr="001702F1">
        <w:rPr>
          <w:i/>
          <w:color w:val="000000"/>
          <w:shd w:val="clear" w:color="auto" w:fill="FFFFFF"/>
        </w:rPr>
        <w:t>(</w:t>
      </w:r>
      <w:r w:rsidRPr="00AA4208">
        <w:rPr>
          <w:i/>
          <w:color w:val="000000"/>
          <w:sz w:val="20"/>
          <w:szCs w:val="20"/>
          <w:shd w:val="clear" w:color="auto" w:fill="FFFFFF"/>
        </w:rPr>
        <w:t>TJSP;  Direta de Inconstitucionalidade 2213456-33.2022.8.26.0000; Relator (a): Luciana Bresciani; Órgão Julgador: Órgão Especial; Tribunal de Justiça de São Paulo - N/A; Data do Julgamento: 15/03/2023; Data de Registro: 23/03/2023)</w:t>
      </w:r>
    </w:p>
    <w:p w:rsidR="00C534DE" w:rsidRPr="00AA4208" w:rsidP="00C534DE">
      <w:pPr>
        <w:spacing w:after="0"/>
        <w:ind w:left="2835"/>
        <w:jc w:val="both"/>
        <w:rPr>
          <w:i/>
          <w:color w:val="000000"/>
          <w:sz w:val="20"/>
          <w:szCs w:val="20"/>
          <w:shd w:val="clear" w:color="auto" w:fill="FFFFFF"/>
        </w:rPr>
      </w:pPr>
    </w:p>
    <w:p w:rsidR="00BC278A" w:rsidP="00BC278A">
      <w:pPr>
        <w:spacing w:after="120" w:line="360" w:lineRule="auto"/>
        <w:ind w:firstLine="1701"/>
        <w:jc w:val="both"/>
        <w:rPr>
          <w:rFonts w:ascii="Calibri" w:hAnsi="Calibri" w:cs="Calibri"/>
          <w:i/>
          <w:sz w:val="24"/>
          <w:szCs w:val="24"/>
        </w:rPr>
      </w:pPr>
      <w:r>
        <w:rPr>
          <w:rFonts w:ascii="Calibri" w:hAnsi="Calibri" w:cs="Calibri"/>
          <w:sz w:val="24"/>
          <w:szCs w:val="24"/>
        </w:rPr>
        <w:t>N</w:t>
      </w:r>
      <w:r w:rsidR="0018210A">
        <w:rPr>
          <w:rFonts w:ascii="Calibri" w:hAnsi="Calibri" w:cs="Calibri"/>
          <w:sz w:val="24"/>
          <w:szCs w:val="24"/>
        </w:rPr>
        <w:t>outro aspecto</w:t>
      </w:r>
      <w:r w:rsidR="00B9289E">
        <w:rPr>
          <w:rFonts w:ascii="Calibri" w:hAnsi="Calibri" w:cs="Calibri"/>
          <w:i/>
          <w:sz w:val="24"/>
          <w:szCs w:val="24"/>
        </w:rPr>
        <w:t xml:space="preserve"> </w:t>
      </w:r>
      <w:r>
        <w:rPr>
          <w:rFonts w:ascii="Calibri" w:hAnsi="Calibri" w:cs="Calibri"/>
          <w:sz w:val="24"/>
          <w:szCs w:val="24"/>
        </w:rPr>
        <w:t xml:space="preserve">vislumbramos a necessidade de </w:t>
      </w:r>
      <w:r w:rsidRPr="00534174">
        <w:rPr>
          <w:rFonts w:ascii="Calibri" w:hAnsi="Calibri" w:cs="Calibri"/>
          <w:sz w:val="24"/>
          <w:szCs w:val="24"/>
          <w:u w:val="single"/>
        </w:rPr>
        <w:t>alteração do art. 5º do projeto</w:t>
      </w:r>
      <w:r w:rsidR="00DB33E1">
        <w:rPr>
          <w:rFonts w:ascii="Calibri" w:hAnsi="Calibri" w:cs="Calibri"/>
          <w:sz w:val="24"/>
          <w:szCs w:val="24"/>
        </w:rPr>
        <w:t>, porquanto dispõe</w:t>
      </w:r>
      <w:r>
        <w:rPr>
          <w:rFonts w:ascii="Calibri" w:hAnsi="Calibri" w:cs="Calibri"/>
          <w:sz w:val="24"/>
          <w:szCs w:val="24"/>
        </w:rPr>
        <w:t xml:space="preserve"> sobre </w:t>
      </w:r>
      <w:r w:rsidR="00DB33E1">
        <w:rPr>
          <w:rFonts w:ascii="Calibri" w:hAnsi="Calibri" w:cs="Calibri"/>
          <w:sz w:val="24"/>
          <w:szCs w:val="24"/>
        </w:rPr>
        <w:t>recursos provenientes d</w:t>
      </w:r>
      <w:r>
        <w:rPr>
          <w:rFonts w:ascii="Calibri" w:hAnsi="Calibri" w:cs="Calibri"/>
          <w:sz w:val="24"/>
          <w:szCs w:val="24"/>
        </w:rPr>
        <w:t>o orçamento de outros entes federativos, além de órgãos vinculados e participantes que n</w:t>
      </w:r>
      <w:r w:rsidR="009E1AEB">
        <w:rPr>
          <w:rFonts w:ascii="Calibri" w:hAnsi="Calibri" w:cs="Calibri"/>
          <w:sz w:val="24"/>
          <w:szCs w:val="24"/>
        </w:rPr>
        <w:t>ão constam da</w:t>
      </w:r>
      <w:r w:rsidR="00DB33E1">
        <w:rPr>
          <w:rFonts w:ascii="Calibri" w:hAnsi="Calibri" w:cs="Calibri"/>
          <w:sz w:val="24"/>
          <w:szCs w:val="24"/>
        </w:rPr>
        <w:t xml:space="preserve"> proposição.</w:t>
      </w:r>
    </w:p>
    <w:p w:rsidR="004A31BC" w:rsidP="004A31BC">
      <w:pPr>
        <w:spacing w:after="120" w:line="360" w:lineRule="auto"/>
        <w:ind w:firstLine="1701"/>
        <w:jc w:val="both"/>
        <w:rPr>
          <w:rFonts w:ascii="Calibri" w:hAnsi="Calibri" w:cs="Calibri"/>
          <w:sz w:val="24"/>
          <w:szCs w:val="24"/>
        </w:rPr>
      </w:pPr>
      <w:r w:rsidRPr="00634C01">
        <w:rPr>
          <w:rFonts w:ascii="Calibri" w:hAnsi="Calibri" w:cs="Calibri"/>
          <w:sz w:val="24"/>
          <w:szCs w:val="24"/>
        </w:rPr>
        <w:t>Por fim, no que se refere aos preceitos da Lei Complementar nº 95 de 1998</w:t>
      </w:r>
      <w:r>
        <w:rPr>
          <w:rFonts w:ascii="Calibri" w:hAnsi="Calibri" w:cs="Calibri"/>
          <w:sz w:val="24"/>
          <w:szCs w:val="24"/>
        </w:rPr>
        <w:t>,</w:t>
      </w:r>
      <w:r w:rsidRPr="00634C01">
        <w:rPr>
          <w:rFonts w:ascii="Calibri" w:hAnsi="Calibri" w:cs="Calibri"/>
          <w:sz w:val="24"/>
          <w:szCs w:val="24"/>
        </w:rPr>
        <w:t xml:space="preserve"> que dispõe sobre a elaboração, a redação, a alteração e a consolidação das leis, conforme determina o parágrafo único do art. 59 da Constituição Federal</w:t>
      </w:r>
      <w:r w:rsidRPr="00634C01">
        <w:rPr>
          <w:rFonts w:ascii="Calibri" w:hAnsi="Calibri" w:cs="Calibri"/>
          <w:i/>
          <w:sz w:val="24"/>
          <w:szCs w:val="24"/>
        </w:rPr>
        <w:t xml:space="preserve">, </w:t>
      </w:r>
      <w:r w:rsidR="00534174">
        <w:rPr>
          <w:rFonts w:ascii="Calibri" w:hAnsi="Calibri" w:cs="Calibri"/>
          <w:i/>
          <w:sz w:val="24"/>
          <w:szCs w:val="24"/>
        </w:rPr>
        <w:t xml:space="preserve">data máxima vênia, </w:t>
      </w:r>
      <w:r w:rsidR="00534174">
        <w:rPr>
          <w:rFonts w:ascii="Calibri" w:hAnsi="Calibri" w:cs="Calibri"/>
          <w:sz w:val="24"/>
          <w:szCs w:val="24"/>
        </w:rPr>
        <w:t xml:space="preserve">sugerimos a </w:t>
      </w:r>
      <w:r w:rsidRPr="00534174" w:rsidR="00534174">
        <w:rPr>
          <w:rFonts w:ascii="Calibri" w:hAnsi="Calibri" w:cs="Calibri"/>
          <w:sz w:val="24"/>
          <w:szCs w:val="24"/>
          <w:u w:val="single"/>
        </w:rPr>
        <w:t>alteração do</w:t>
      </w:r>
      <w:r w:rsidRPr="00534174">
        <w:rPr>
          <w:rFonts w:ascii="Calibri" w:hAnsi="Calibri" w:cs="Calibri"/>
          <w:i/>
          <w:sz w:val="24"/>
          <w:szCs w:val="24"/>
          <w:u w:val="single"/>
        </w:rPr>
        <w:t xml:space="preserve"> </w:t>
      </w:r>
      <w:r w:rsidRPr="00534174" w:rsidR="00534174">
        <w:rPr>
          <w:rFonts w:ascii="Calibri" w:hAnsi="Calibri" w:cs="Calibri"/>
          <w:sz w:val="24"/>
          <w:szCs w:val="24"/>
          <w:u w:val="single"/>
        </w:rPr>
        <w:t>art. 2º do projeto</w:t>
      </w:r>
      <w:r w:rsidR="00534174">
        <w:rPr>
          <w:rFonts w:ascii="Calibri" w:hAnsi="Calibri" w:cs="Calibri"/>
          <w:sz w:val="24"/>
          <w:szCs w:val="24"/>
        </w:rPr>
        <w:t xml:space="preserve"> para substituir a</w:t>
      </w:r>
      <w:r>
        <w:rPr>
          <w:rFonts w:ascii="Calibri" w:hAnsi="Calibri" w:cs="Calibri"/>
          <w:sz w:val="24"/>
          <w:szCs w:val="24"/>
        </w:rPr>
        <w:t xml:space="preserve"> expressão “</w:t>
      </w:r>
      <w:r w:rsidRPr="00AD7495">
        <w:rPr>
          <w:rFonts w:ascii="Calibri" w:hAnsi="Calibri" w:cs="Calibri"/>
          <w:i/>
          <w:sz w:val="24"/>
          <w:szCs w:val="24"/>
        </w:rPr>
        <w:t>dos territórios</w:t>
      </w:r>
      <w:r>
        <w:rPr>
          <w:rFonts w:ascii="Calibri" w:hAnsi="Calibri" w:cs="Calibri"/>
          <w:sz w:val="24"/>
          <w:szCs w:val="24"/>
        </w:rPr>
        <w:t>” por “</w:t>
      </w:r>
      <w:r w:rsidRPr="004E16CE">
        <w:rPr>
          <w:rFonts w:ascii="Calibri" w:hAnsi="Calibri" w:cs="Calibri"/>
          <w:i/>
          <w:sz w:val="24"/>
          <w:szCs w:val="24"/>
        </w:rPr>
        <w:t>locais”</w:t>
      </w:r>
      <w:r>
        <w:rPr>
          <w:rFonts w:ascii="Calibri" w:hAnsi="Calibri" w:cs="Calibri"/>
          <w:i/>
          <w:sz w:val="24"/>
          <w:szCs w:val="24"/>
        </w:rPr>
        <w:t xml:space="preserve">, </w:t>
      </w:r>
      <w:r w:rsidR="0005046A">
        <w:rPr>
          <w:rFonts w:ascii="Calibri" w:hAnsi="Calibri" w:cs="Calibri"/>
          <w:sz w:val="24"/>
          <w:szCs w:val="24"/>
        </w:rPr>
        <w:t>por ser</w:t>
      </w:r>
      <w:r>
        <w:rPr>
          <w:rFonts w:ascii="Calibri" w:hAnsi="Calibri" w:cs="Calibri"/>
          <w:sz w:val="24"/>
          <w:szCs w:val="24"/>
        </w:rPr>
        <w:t xml:space="preserve"> mais adequada </w:t>
      </w:r>
      <w:r w:rsidR="0005046A">
        <w:rPr>
          <w:rFonts w:ascii="Calibri" w:hAnsi="Calibri" w:cs="Calibri"/>
          <w:sz w:val="24"/>
          <w:szCs w:val="24"/>
        </w:rPr>
        <w:t>ao âmbito municipal</w:t>
      </w:r>
      <w:r>
        <w:rPr>
          <w:rFonts w:ascii="Calibri" w:hAnsi="Calibri" w:cs="Calibri"/>
          <w:sz w:val="24"/>
          <w:szCs w:val="24"/>
        </w:rPr>
        <w:t xml:space="preserve"> </w:t>
      </w:r>
    </w:p>
    <w:p w:rsidR="00CE0097" w:rsidRPr="005A20BF" w:rsidP="00CE0097">
      <w:pPr>
        <w:spacing w:after="120" w:line="360" w:lineRule="auto"/>
        <w:ind w:firstLine="1701"/>
        <w:jc w:val="both"/>
        <w:rPr>
          <w:rFonts w:ascii="Calibri" w:eastAsia="Calibri" w:hAnsi="Calibri" w:cs="Calibri"/>
          <w:color w:val="FF0000"/>
          <w:sz w:val="24"/>
          <w:szCs w:val="24"/>
          <w:lang w:eastAsia="pt-BR"/>
        </w:rPr>
      </w:pPr>
      <w:r w:rsidRPr="00B52EE2">
        <w:rPr>
          <w:rFonts w:ascii="Calibri" w:eastAsia="Times New Roman" w:hAnsi="Calibri" w:cs="Calibri"/>
          <w:sz w:val="24"/>
          <w:szCs w:val="24"/>
          <w:lang w:eastAsia="pt-BR"/>
        </w:rPr>
        <w:t>Ante todo o exposto,</w:t>
      </w:r>
      <w:r w:rsidRPr="00B52EE2" w:rsidR="00B45AE8">
        <w:rPr>
          <w:rFonts w:ascii="Calibri" w:eastAsia="Times New Roman" w:hAnsi="Calibri" w:cs="Calibri"/>
          <w:sz w:val="24"/>
          <w:szCs w:val="24"/>
          <w:lang w:eastAsia="pt-BR"/>
        </w:rPr>
        <w:t xml:space="preserve"> sob o aspecto enfocado </w:t>
      </w:r>
      <w:r w:rsidRPr="00B52EE2" w:rsidR="005A20BF">
        <w:rPr>
          <w:rFonts w:ascii="Calibri" w:eastAsia="Times New Roman" w:hAnsi="Calibri" w:cs="Calibri"/>
          <w:sz w:val="24"/>
          <w:szCs w:val="24"/>
          <w:lang w:eastAsia="pt-BR"/>
        </w:rPr>
        <w:t>–</w:t>
      </w:r>
      <w:r w:rsidRPr="00B52EE2" w:rsidR="00B45AE8">
        <w:rPr>
          <w:rFonts w:ascii="Calibri" w:eastAsia="Times New Roman" w:hAnsi="Calibri" w:cs="Calibri"/>
          <w:sz w:val="24"/>
          <w:szCs w:val="24"/>
          <w:lang w:eastAsia="pt-BR"/>
        </w:rPr>
        <w:t xml:space="preserve"> </w:t>
      </w:r>
      <w:r w:rsidRPr="00B52EE2" w:rsidR="005A20BF">
        <w:rPr>
          <w:rFonts w:ascii="Calibri" w:eastAsia="Times New Roman" w:hAnsi="Calibri" w:cs="Calibri"/>
          <w:i/>
          <w:sz w:val="24"/>
          <w:szCs w:val="24"/>
          <w:lang w:eastAsia="pt-BR"/>
        </w:rPr>
        <w:t xml:space="preserve">programa municipal </w:t>
      </w:r>
      <w:r w:rsidRPr="00B52EE2" w:rsidR="005A20BF">
        <w:rPr>
          <w:i/>
          <w:sz w:val="24"/>
          <w:szCs w:val="24"/>
        </w:rPr>
        <w:t xml:space="preserve">visando </w:t>
      </w:r>
      <w:r w:rsidRPr="00B52EE2" w:rsidR="00AD7495">
        <w:rPr>
          <w:i/>
          <w:sz w:val="24"/>
          <w:szCs w:val="24"/>
        </w:rPr>
        <w:t>à</w:t>
      </w:r>
      <w:r w:rsidRPr="00B52EE2" w:rsidR="005A20BF">
        <w:rPr>
          <w:i/>
          <w:sz w:val="24"/>
          <w:szCs w:val="24"/>
        </w:rPr>
        <w:t xml:space="preserve"> promoção da cultura de paz e combate à violência em ambientes públicos</w:t>
      </w:r>
      <w:r w:rsidRPr="00B52EE2" w:rsidR="007845EF">
        <w:rPr>
          <w:i/>
        </w:rPr>
        <w:t xml:space="preserve"> </w:t>
      </w:r>
      <w:r w:rsidRPr="00B52EE2" w:rsidR="009863E9">
        <w:rPr>
          <w:rFonts w:ascii="Calibri" w:hAnsi="Calibri" w:cs="Calibri"/>
          <w:i/>
          <w:sz w:val="24"/>
          <w:szCs w:val="24"/>
        </w:rPr>
        <w:t>–</w:t>
      </w:r>
      <w:r w:rsidRPr="00B52EE2">
        <w:rPr>
          <w:rFonts w:ascii="Calibri" w:eastAsia="Times New Roman" w:hAnsi="Calibri" w:cs="Calibri"/>
          <w:sz w:val="24"/>
          <w:szCs w:val="24"/>
          <w:lang w:eastAsia="pt-BR"/>
        </w:rPr>
        <w:t xml:space="preserve"> </w:t>
      </w:r>
      <w:r w:rsidRPr="00B52EE2" w:rsidR="00C534DE">
        <w:rPr>
          <w:rFonts w:ascii="Calibri" w:eastAsia="Times New Roman" w:hAnsi="Calibri" w:cs="Calibri"/>
          <w:sz w:val="24"/>
          <w:szCs w:val="24"/>
          <w:lang w:eastAsia="pt-BR"/>
        </w:rPr>
        <w:t xml:space="preserve">e com fulcro precipuamente nas decisões da Suprema Corte supracitadas, </w:t>
      </w:r>
      <w:r w:rsidRPr="00B52EE2" w:rsidR="0018210A">
        <w:rPr>
          <w:rFonts w:ascii="Calibri" w:eastAsia="Times New Roman" w:hAnsi="Calibri" w:cs="Calibri"/>
          <w:sz w:val="24"/>
          <w:szCs w:val="24"/>
          <w:lang w:eastAsia="pt-BR"/>
        </w:rPr>
        <w:t>opinamos pela constitucionalidade do projeto, ressalvadas observações quanto aos</w:t>
      </w:r>
      <w:r w:rsidRPr="00B52EE2" w:rsidR="004A31BC">
        <w:rPr>
          <w:rFonts w:ascii="Calibri" w:eastAsia="Times New Roman" w:hAnsi="Calibri" w:cs="Calibri"/>
          <w:sz w:val="24"/>
          <w:szCs w:val="24"/>
          <w:lang w:eastAsia="pt-BR"/>
        </w:rPr>
        <w:t xml:space="preserve"> artigos 2º</w:t>
      </w:r>
      <w:r w:rsidRPr="00B52EE2" w:rsidR="0018210A">
        <w:rPr>
          <w:rFonts w:ascii="Calibri" w:eastAsia="Times New Roman" w:hAnsi="Calibri" w:cs="Calibri"/>
          <w:sz w:val="24"/>
          <w:szCs w:val="24"/>
          <w:lang w:eastAsia="pt-BR"/>
        </w:rPr>
        <w:t xml:space="preserve"> e 5º.</w:t>
      </w:r>
      <w:r w:rsidRPr="00B52EE2" w:rsidR="004E16CE">
        <w:rPr>
          <w:rFonts w:ascii="Calibri" w:eastAsia="Times New Roman" w:hAnsi="Calibri" w:cs="Calibri"/>
          <w:sz w:val="24"/>
          <w:szCs w:val="24"/>
          <w:lang w:eastAsia="pt-BR"/>
        </w:rPr>
        <w:t xml:space="preserve"> </w:t>
      </w:r>
      <w:r w:rsidRPr="00B52EE2" w:rsidR="00E660FC">
        <w:rPr>
          <w:rFonts w:ascii="Calibri" w:eastAsia="Calibri" w:hAnsi="Calibri" w:cs="Calibri"/>
          <w:sz w:val="24"/>
          <w:szCs w:val="24"/>
          <w:lang w:eastAsia="pt-BR"/>
        </w:rPr>
        <w:t xml:space="preserve">No </w:t>
      </w:r>
      <w:r w:rsidRPr="004E16CE">
        <w:rPr>
          <w:rFonts w:ascii="Calibri" w:eastAsia="Calibri" w:hAnsi="Calibri" w:cs="Calibri"/>
          <w:sz w:val="24"/>
          <w:szCs w:val="24"/>
          <w:lang w:eastAsia="pt-BR"/>
        </w:rPr>
        <w:t>mé</w:t>
      </w:r>
      <w:r w:rsidRPr="004E16CE" w:rsidR="00B31B2D">
        <w:rPr>
          <w:rFonts w:ascii="Calibri" w:eastAsia="Calibri" w:hAnsi="Calibri" w:cs="Calibri"/>
          <w:sz w:val="24"/>
          <w:szCs w:val="24"/>
          <w:lang w:eastAsia="pt-BR"/>
        </w:rPr>
        <w:t>rito, o</w:t>
      </w:r>
      <w:r w:rsidRPr="004E16CE">
        <w:rPr>
          <w:rFonts w:ascii="Calibri" w:eastAsia="Calibri" w:hAnsi="Calibri" w:cs="Calibri"/>
          <w:sz w:val="24"/>
          <w:szCs w:val="24"/>
          <w:lang w:eastAsia="pt-BR"/>
        </w:rPr>
        <w:t xml:space="preserve"> Plenário</w:t>
      </w:r>
      <w:r w:rsidRPr="004E16CE" w:rsidR="00B31B2D">
        <w:rPr>
          <w:rFonts w:ascii="Calibri" w:eastAsia="Calibri" w:hAnsi="Calibri" w:cs="Calibri"/>
          <w:b/>
          <w:sz w:val="24"/>
          <w:szCs w:val="24"/>
          <w:lang w:eastAsia="pt-BR"/>
        </w:rPr>
        <w:t xml:space="preserve"> </w:t>
      </w:r>
      <w:r w:rsidRPr="004E16CE" w:rsidR="00B31B2D">
        <w:rPr>
          <w:rFonts w:ascii="Calibri" w:eastAsia="Calibri" w:hAnsi="Calibri" w:cs="Calibri"/>
          <w:sz w:val="24"/>
          <w:szCs w:val="24"/>
          <w:lang w:eastAsia="pt-BR"/>
        </w:rPr>
        <w:t>é soberano.</w:t>
      </w:r>
    </w:p>
    <w:p w:rsidR="00106ADB" w:rsidRPr="00634C01" w:rsidP="00CE0097">
      <w:pPr>
        <w:spacing w:before="120" w:after="240" w:line="360" w:lineRule="auto"/>
        <w:ind w:firstLine="1701"/>
        <w:jc w:val="both"/>
        <w:rPr>
          <w:rFonts w:ascii="Calibri" w:hAnsi="Calibri" w:cs="Calibri"/>
          <w:sz w:val="24"/>
          <w:szCs w:val="24"/>
        </w:rPr>
      </w:pPr>
      <w:r w:rsidRPr="00634C01">
        <w:rPr>
          <w:rFonts w:ascii="Calibri" w:hAnsi="Calibri" w:cs="Calibri"/>
          <w:sz w:val="24"/>
          <w:szCs w:val="24"/>
        </w:rPr>
        <w:t>É o parecer, a superior consideração.</w:t>
      </w:r>
    </w:p>
    <w:p w:rsidR="00623AD7" w:rsidP="00210D08">
      <w:pPr>
        <w:spacing w:after="240" w:line="360" w:lineRule="auto"/>
        <w:ind w:firstLine="1701"/>
        <w:rPr>
          <w:rFonts w:ascii="Calibri" w:hAnsi="Calibri" w:cs="Calibri"/>
          <w:sz w:val="24"/>
          <w:szCs w:val="24"/>
        </w:rPr>
      </w:pPr>
      <w:r w:rsidRPr="00634C01">
        <w:rPr>
          <w:rFonts w:ascii="Calibri" w:hAnsi="Calibri" w:cs="Calibri"/>
          <w:sz w:val="24"/>
          <w:szCs w:val="24"/>
        </w:rPr>
        <w:t>Procuradoria</w:t>
      </w:r>
      <w:r w:rsidRPr="00634C01" w:rsidR="00CC2312">
        <w:rPr>
          <w:rFonts w:ascii="Calibri" w:hAnsi="Calibri" w:cs="Calibri"/>
          <w:sz w:val="24"/>
          <w:szCs w:val="24"/>
        </w:rPr>
        <w:t xml:space="preserve">, </w:t>
      </w:r>
      <w:r w:rsidRPr="00634C01" w:rsidR="00190B33">
        <w:rPr>
          <w:rFonts w:ascii="Calibri" w:hAnsi="Calibri" w:cs="Calibri"/>
          <w:sz w:val="24"/>
          <w:szCs w:val="24"/>
        </w:rPr>
        <w:t>1</w:t>
      </w:r>
      <w:r w:rsidR="0018210A">
        <w:rPr>
          <w:rFonts w:ascii="Calibri" w:hAnsi="Calibri" w:cs="Calibri"/>
          <w:sz w:val="24"/>
          <w:szCs w:val="24"/>
        </w:rPr>
        <w:t>9</w:t>
      </w:r>
      <w:r w:rsidRPr="00634C01">
        <w:rPr>
          <w:rFonts w:ascii="Calibri" w:hAnsi="Calibri" w:cs="Calibri"/>
          <w:sz w:val="24"/>
          <w:szCs w:val="24"/>
        </w:rPr>
        <w:t xml:space="preserve"> de </w:t>
      </w:r>
      <w:r w:rsidR="00FC7B54">
        <w:rPr>
          <w:rFonts w:ascii="Calibri" w:hAnsi="Calibri" w:cs="Calibri"/>
          <w:sz w:val="24"/>
          <w:szCs w:val="24"/>
        </w:rPr>
        <w:t xml:space="preserve">abril </w:t>
      </w:r>
      <w:r w:rsidRPr="00634C01">
        <w:rPr>
          <w:rFonts w:ascii="Calibri" w:hAnsi="Calibri" w:cs="Calibri"/>
          <w:sz w:val="24"/>
          <w:szCs w:val="24"/>
        </w:rPr>
        <w:t>de 20</w:t>
      </w:r>
      <w:r w:rsidRPr="00634C01" w:rsidR="00F66849">
        <w:rPr>
          <w:rFonts w:ascii="Calibri" w:hAnsi="Calibri" w:cs="Calibri"/>
          <w:sz w:val="24"/>
          <w:szCs w:val="24"/>
        </w:rPr>
        <w:t>2</w:t>
      </w:r>
      <w:r w:rsidRPr="00634C01" w:rsidR="00CC2312">
        <w:rPr>
          <w:rFonts w:ascii="Calibri" w:hAnsi="Calibri" w:cs="Calibri"/>
          <w:sz w:val="24"/>
          <w:szCs w:val="24"/>
        </w:rPr>
        <w:t>3</w:t>
      </w:r>
      <w:r w:rsidRPr="00634C01">
        <w:rPr>
          <w:rFonts w:ascii="Calibri" w:hAnsi="Calibri" w:cs="Calibri"/>
          <w:sz w:val="24"/>
          <w:szCs w:val="24"/>
        </w:rPr>
        <w:t>.</w:t>
      </w:r>
    </w:p>
    <w:p w:rsidR="003C4654" w:rsidRPr="00634C01" w:rsidP="00210D08">
      <w:pPr>
        <w:spacing w:after="240" w:line="360" w:lineRule="auto"/>
        <w:ind w:firstLine="1701"/>
        <w:rPr>
          <w:rFonts w:ascii="Calibri" w:eastAsia="Times New Roman" w:hAnsi="Calibri" w:cs="Calibri"/>
          <w:b/>
          <w:sz w:val="24"/>
          <w:szCs w:val="24"/>
          <w:lang w:eastAsia="pt-BR"/>
        </w:rPr>
      </w:pPr>
    </w:p>
    <w:p w:rsidR="00A603E0" w:rsidP="00292485">
      <w:pPr>
        <w:spacing w:after="0" w:line="240" w:lineRule="auto"/>
        <w:jc w:val="center"/>
        <w:rPr>
          <w:rFonts w:ascii="Calibri" w:hAnsi="Calibri" w:cs="Calibri"/>
          <w:sz w:val="24"/>
          <w:szCs w:val="24"/>
        </w:rPr>
      </w:pP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Rosemeire de Souza Cardoso Barbosa</w:t>
      </w: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Procuradora – OAB/SP 308.298</w:t>
      </w:r>
    </w:p>
    <w:p w:rsidR="00292485" w:rsidRPr="00634C01" w:rsidP="00292485">
      <w:pPr>
        <w:spacing w:after="0" w:line="240" w:lineRule="auto"/>
        <w:jc w:val="center"/>
        <w:rPr>
          <w:rFonts w:ascii="Calibri" w:hAnsi="Calibri" w:cs="Calibri"/>
          <w:sz w:val="24"/>
          <w:szCs w:val="24"/>
        </w:rPr>
        <w:sectPr w:rsidSect="00292485">
          <w:headerReference w:type="default" r:id="rId6"/>
          <w:footerReference w:type="default" r:id="rId7"/>
          <w:type w:val="continuous"/>
          <w:pgSz w:w="11907" w:h="16840" w:code="9"/>
          <w:pgMar w:top="2552" w:right="1213" w:bottom="1134" w:left="2160" w:header="0" w:footer="0" w:gutter="0"/>
          <w:cols w:space="720"/>
          <w:docGrid w:linePitch="326"/>
        </w:sectPr>
      </w:pPr>
      <w:r w:rsidRPr="00634C01">
        <w:rPr>
          <w:rFonts w:ascii="Calibri" w:hAnsi="Calibri" w:cs="Calibri"/>
          <w:sz w:val="24"/>
          <w:szCs w:val="24"/>
        </w:rPr>
        <w:t>Assinatura Eletrônica</w:t>
      </w:r>
    </w:p>
    <w:p w:rsidR="00A603E0" w:rsidRPr="00634C01" w:rsidP="00292485">
      <w:pPr>
        <w:spacing w:after="0" w:line="240" w:lineRule="auto"/>
        <w:jc w:val="center"/>
        <w:rPr>
          <w:rFonts w:ascii="Calibri" w:hAnsi="Calibri" w:cs="Calibri"/>
          <w:sz w:val="24"/>
          <w:szCs w:val="24"/>
        </w:rPr>
      </w:pPr>
    </w:p>
    <w:p w:rsidR="00A603E0" w:rsidRPr="00634C01" w:rsidP="00053466">
      <w:pPr>
        <w:pStyle w:val="BodyText"/>
        <w:spacing w:after="0" w:line="360" w:lineRule="auto"/>
        <w:rPr>
          <w:rFonts w:ascii="Calibri" w:hAnsi="Calibri" w:cs="Calibri"/>
          <w:b/>
          <w:szCs w:val="24"/>
        </w:rPr>
      </w:pPr>
    </w:p>
    <w:sectPr w:rsidSect="00A603E0">
      <w:type w:val="continuous"/>
      <w:pgSz w:w="11907" w:h="16840" w:code="9"/>
      <w:pgMar w:top="2552" w:right="1213" w:bottom="1134" w:left="2160" w:header="0" w:footer="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7657686"/>
      <w:docPartObj>
        <w:docPartGallery w:val="Page Numbers (Bottom of Page)"/>
        <w:docPartUnique/>
      </w:docPartObj>
    </w:sdtPr>
    <w:sdtContent>
      <w:sdt>
        <w:sdtPr>
          <w:id w:val="243696838"/>
          <w:docPartObj>
            <w:docPartGallery w:val="Page Numbers (Top of Page)"/>
            <w:docPartUnique/>
          </w:docPartObj>
        </w:sdtPr>
        <w:sdtContent>
          <w:sdt>
            <w:sdtPr>
              <w:id w:val="-213665068"/>
              <w:docPartObj>
                <w:docPartGallery w:val="Page Numbers (Bottom of Page)"/>
                <w:docPartUnique/>
              </w:docPartObj>
            </w:sdtPr>
            <w:sdtContent>
              <w:sdt>
                <w:sdtPr>
                  <w:id w:val="-1096713589"/>
                  <w:docPartObj>
                    <w:docPartGallery w:val="Page Numbers (Top of Page)"/>
                    <w:docPartUnique/>
                  </w:docPartObj>
                </w:sdtPr>
                <w:sdtContent>
                  <w:p w:rsidR="00634C01" w:rsidP="00D33A1B">
                    <w:pPr>
                      <w:pStyle w:val="Footer"/>
                      <w:jc w:val="right"/>
                      <w:rPr>
                        <w:sz w:val="18"/>
                        <w:lang w:val="pt-PT"/>
                      </w:rPr>
                    </w:pPr>
                    <w:r>
                      <w:rPr>
                        <w:sz w:val="18"/>
                        <w:lang w:val="pt-PT"/>
                      </w:rPr>
                      <w:t>_____________________________________________________________________________________</w:t>
                    </w:r>
                  </w:p>
                  <w:p w:rsidR="00634C01" w:rsidP="00D33A1B">
                    <w:pPr>
                      <w:pStyle w:val="Footer"/>
                      <w:ind w:right="-313"/>
                      <w:jc w:val="center"/>
                      <w:rPr>
                        <w:sz w:val="18"/>
                        <w:lang w:val="pt-PT"/>
                      </w:rPr>
                    </w:pPr>
                    <w:r>
                      <w:rPr>
                        <w:sz w:val="18"/>
                        <w:lang w:val="pt-PT"/>
                      </w:rPr>
                      <w:t>Rua Antônio Schiavinato, 59, Residencial São Luis - Tel: (19) 3829.5310 - CEP: 13270-470</w:t>
                    </w:r>
                  </w:p>
                  <w:p w:rsidR="00634C01" w:rsidP="00D33A1B">
                    <w:pPr>
                      <w:pStyle w:val="Footer"/>
                      <w:ind w:left="-1985" w:right="-313"/>
                      <w:jc w:val="center"/>
                      <w:rPr>
                        <w:sz w:val="18"/>
                        <w:lang w:val="pt-PT"/>
                      </w:rPr>
                    </w:pPr>
                    <w:r>
                      <w:rPr>
                        <w:sz w:val="18"/>
                        <w:lang w:val="pt-PT"/>
                      </w:rPr>
                      <w:t>site: www.camaravalinhos.sp.gov.br</w:t>
                    </w:r>
                  </w:p>
                  <w:p w:rsidR="00634C01" w:rsidP="00D33A1B">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A2EA7">
                      <w:rPr>
                        <w:b/>
                        <w:bCs/>
                        <w:noProof/>
                        <w:sz w:val="18"/>
                        <w:szCs w:val="18"/>
                      </w:rPr>
                      <w:t>14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A2EA7">
                      <w:rPr>
                        <w:b/>
                        <w:bCs/>
                        <w:noProof/>
                        <w:sz w:val="18"/>
                        <w:szCs w:val="18"/>
                      </w:rPr>
                      <w:t>18</w:t>
                    </w:r>
                    <w:r w:rsidRPr="00F53BEF">
                      <w:rPr>
                        <w:b/>
                        <w:bCs/>
                        <w:sz w:val="18"/>
                        <w:szCs w:val="18"/>
                      </w:rPr>
                      <w:fldChar w:fldCharType="end"/>
                    </w:r>
                  </w:p>
                </w:sdtContent>
              </w:sdt>
            </w:sdtContent>
          </w:sdt>
          <w:p w:rsidR="00634C01" w:rsidRPr="00CC028B" w:rsidP="00D33A1B">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634C01">
            <w:pPr>
              <w:pStyle w:val="Footer"/>
              <w:jc w:val="right"/>
            </w:pPr>
          </w:p>
        </w:sdtContent>
      </w:sdt>
    </w:sdtContent>
  </w:sdt>
  <w:p w:rsidR="0063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C01">
      <w:pPr>
        <w:spacing w:after="0" w:line="240" w:lineRule="auto"/>
      </w:pPr>
      <w:r>
        <w:separator/>
      </w:r>
    </w:p>
  </w:footnote>
  <w:footnote w:type="continuationSeparator" w:id="1">
    <w:p w:rsidR="00634C01">
      <w:pPr>
        <w:spacing w:after="0" w:line="240" w:lineRule="auto"/>
      </w:pPr>
      <w:r>
        <w:continuationSeparator/>
      </w:r>
    </w:p>
  </w:footnote>
  <w:footnote w:id="2">
    <w:p w:rsidR="00634C01" w:rsidRPr="000865B7" w:rsidP="000865B7">
      <w:pPr>
        <w:pStyle w:val="Default"/>
        <w:spacing w:after="120"/>
        <w:jc w:val="both"/>
        <w:rPr>
          <w:rFonts w:asciiTheme="minorHAnsi" w:hAnsiTheme="minorHAnsi" w:cstheme="minorHAnsi"/>
          <w:i/>
          <w:color w:val="auto"/>
          <w:sz w:val="20"/>
          <w:szCs w:val="20"/>
        </w:rPr>
      </w:pPr>
      <w:r w:rsidRPr="000865B7">
        <w:rPr>
          <w:rStyle w:val="FootnoteReference"/>
          <w:sz w:val="20"/>
          <w:szCs w:val="20"/>
        </w:rPr>
        <w:footnoteRef/>
      </w:r>
      <w:r w:rsidRPr="000865B7">
        <w:rPr>
          <w:sz w:val="20"/>
          <w:szCs w:val="20"/>
        </w:rPr>
        <w:t xml:space="preserve"> </w:t>
      </w:r>
      <w:r w:rsidRPr="000865B7">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634C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C01">
    <w:pPr>
      <w:pStyle w:val="Header"/>
    </w:pPr>
  </w:p>
  <w:p w:rsidR="00634C01">
    <w:pPr>
      <w:pStyle w:val="Header"/>
    </w:pPr>
  </w:p>
  <w:p w:rsidR="00634C01">
    <w:pPr>
      <w:pStyle w:val="Header"/>
    </w:pPr>
  </w:p>
  <w:p w:rsidR="00634C01">
    <w:pPr>
      <w:pStyle w:val="Header"/>
    </w:pPr>
  </w:p>
  <w:p w:rsidR="00634C01" w:rsidP="00D33A1B">
    <w:pPr>
      <w:pStyle w:val="Header"/>
      <w:jc w:val="center"/>
      <w:rPr>
        <w:b/>
        <w:sz w:val="26"/>
        <w:lang w:val="pt-PT"/>
      </w:rPr>
    </w:pPr>
  </w:p>
  <w:p w:rsidR="00634C01" w:rsidP="00D33A1B">
    <w:pPr>
      <w:pStyle w:val="Header"/>
      <w:jc w:val="center"/>
      <w:rPr>
        <w:b/>
        <w:sz w:val="26"/>
        <w:lang w:val="pt-PT"/>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34C01" w:rsidP="00D33A1B">
                          <w:r>
                            <w:rPr>
                              <w:noProof/>
                              <w:lang w:eastAsia="pt-BR"/>
                            </w:rPr>
                            <w:drawing>
                              <wp:inline distT="0" distB="0" distL="0" distR="0">
                                <wp:extent cx="876300" cy="850900"/>
                                <wp:effectExtent l="19050" t="0" r="0" b="0"/>
                                <wp:docPr id="1066075889"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87338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350449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634C01" w:rsidP="00D33A1B">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90691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3427807" r:id="rId4"/>
                    </w:object>
                  </w:p>
                </w:txbxContent>
              </v:textbox>
              <w10:wrap type="square"/>
            </v:shape>
          </w:pict>
        </mc:Fallback>
      </mc:AlternateContent>
    </w:r>
  </w:p>
  <w:p w:rsidR="00634C01" w:rsidP="00D33A1B">
    <w:pPr>
      <w:pStyle w:val="Header"/>
      <w:jc w:val="center"/>
      <w:rPr>
        <w:b/>
        <w:sz w:val="28"/>
        <w:lang w:val="pt-PT"/>
      </w:rPr>
    </w:pPr>
    <w:r>
      <w:rPr>
        <w:b/>
        <w:sz w:val="28"/>
        <w:lang w:val="pt-PT"/>
      </w:rPr>
      <w:t>CÂMARA MUNICIPAL DE VALINHOS</w:t>
    </w:r>
  </w:p>
  <w:p w:rsidR="00634C01" w:rsidP="00D33A1B">
    <w:pPr>
      <w:pStyle w:val="Header"/>
      <w:jc w:val="center"/>
    </w:pPr>
    <w:r>
      <w:rPr>
        <w:lang w:val="pt-PT"/>
      </w:rPr>
      <w:t>ESTADO DE SÃO PAULO</w:t>
    </w:r>
  </w:p>
  <w:p w:rsidR="00634C01">
    <w:pPr>
      <w:pStyle w:val="Header"/>
    </w:pPr>
  </w:p>
  <w:p w:rsidR="00634C01">
    <w:pPr>
      <w:pStyle w:val="Header"/>
    </w:pPr>
  </w:p>
  <w:p w:rsidR="00634C01" w:rsidRPr="00F813FC">
    <w:pPr>
      <w:pStyle w:val="Header"/>
      <w:rPr>
        <w:sz w:val="12"/>
        <w:szCs w:val="12"/>
      </w:rPr>
    </w:pPr>
  </w:p>
  <w:p w:rsidR="00634C01" w:rsidP="00F813FC">
    <w:pPr>
      <w:pStyle w:val="Header"/>
      <w:tabs>
        <w:tab w:val="left" w:pos="2325"/>
        <w:tab w:val="clear" w:pos="4252"/>
        <w:tab w:val="clear"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E2BE6"/>
    <w:multiLevelType w:val="hybridMultilevel"/>
    <w:tmpl w:val="5C489FD8"/>
    <w:lvl w:ilvl="0">
      <w:start w:val="1"/>
      <w:numFmt w:val="lowerLetter"/>
      <w:lvlText w:val="%1)"/>
      <w:lvlJc w:val="left"/>
      <w:pPr>
        <w:ind w:left="2628" w:hanging="360"/>
      </w:pPr>
      <w:rPr>
        <w:rFonts w:hint="default"/>
        <w:b w:val="0"/>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1193"/>
    <w:rsid w:val="000064F3"/>
    <w:rsid w:val="00022214"/>
    <w:rsid w:val="00024644"/>
    <w:rsid w:val="00024E87"/>
    <w:rsid w:val="00037FB6"/>
    <w:rsid w:val="00044051"/>
    <w:rsid w:val="0005046A"/>
    <w:rsid w:val="00052E2B"/>
    <w:rsid w:val="00053466"/>
    <w:rsid w:val="00057071"/>
    <w:rsid w:val="0006430F"/>
    <w:rsid w:val="00071201"/>
    <w:rsid w:val="000865B7"/>
    <w:rsid w:val="000931C9"/>
    <w:rsid w:val="000A68C7"/>
    <w:rsid w:val="000B27E4"/>
    <w:rsid w:val="000B4AF0"/>
    <w:rsid w:val="000B5709"/>
    <w:rsid w:val="000B6296"/>
    <w:rsid w:val="000C1AE6"/>
    <w:rsid w:val="000C53E5"/>
    <w:rsid w:val="000F5496"/>
    <w:rsid w:val="00106ADB"/>
    <w:rsid w:val="001150B0"/>
    <w:rsid w:val="001245F8"/>
    <w:rsid w:val="001459D2"/>
    <w:rsid w:val="00150EEF"/>
    <w:rsid w:val="00151999"/>
    <w:rsid w:val="00157074"/>
    <w:rsid w:val="001702F1"/>
    <w:rsid w:val="00175623"/>
    <w:rsid w:val="0018210A"/>
    <w:rsid w:val="00190B33"/>
    <w:rsid w:val="001928BF"/>
    <w:rsid w:val="001959BB"/>
    <w:rsid w:val="0019746E"/>
    <w:rsid w:val="001C2561"/>
    <w:rsid w:val="001C6292"/>
    <w:rsid w:val="001D3E74"/>
    <w:rsid w:val="001F1A5F"/>
    <w:rsid w:val="001F3657"/>
    <w:rsid w:val="001F4DEE"/>
    <w:rsid w:val="00210D08"/>
    <w:rsid w:val="0026717A"/>
    <w:rsid w:val="00271FA0"/>
    <w:rsid w:val="002761DC"/>
    <w:rsid w:val="00283E6E"/>
    <w:rsid w:val="00290799"/>
    <w:rsid w:val="00292485"/>
    <w:rsid w:val="0029266A"/>
    <w:rsid w:val="00295702"/>
    <w:rsid w:val="002A03B4"/>
    <w:rsid w:val="002B3C83"/>
    <w:rsid w:val="002B4FDF"/>
    <w:rsid w:val="002C4DC0"/>
    <w:rsid w:val="002D20BB"/>
    <w:rsid w:val="002D3C59"/>
    <w:rsid w:val="002E0C9B"/>
    <w:rsid w:val="002F388B"/>
    <w:rsid w:val="002F4331"/>
    <w:rsid w:val="00323164"/>
    <w:rsid w:val="00333906"/>
    <w:rsid w:val="003406F9"/>
    <w:rsid w:val="0034205A"/>
    <w:rsid w:val="00363AD3"/>
    <w:rsid w:val="00375591"/>
    <w:rsid w:val="003800F4"/>
    <w:rsid w:val="003B0147"/>
    <w:rsid w:val="003B4ED0"/>
    <w:rsid w:val="003B7FBD"/>
    <w:rsid w:val="003C4654"/>
    <w:rsid w:val="003C690B"/>
    <w:rsid w:val="003D19E1"/>
    <w:rsid w:val="003D3DE8"/>
    <w:rsid w:val="003E1658"/>
    <w:rsid w:val="003E371A"/>
    <w:rsid w:val="003F0278"/>
    <w:rsid w:val="0040366A"/>
    <w:rsid w:val="00417BC0"/>
    <w:rsid w:val="00425C16"/>
    <w:rsid w:val="00427F1B"/>
    <w:rsid w:val="00446048"/>
    <w:rsid w:val="00466732"/>
    <w:rsid w:val="00466B57"/>
    <w:rsid w:val="004752D0"/>
    <w:rsid w:val="004768B4"/>
    <w:rsid w:val="00484808"/>
    <w:rsid w:val="00485F22"/>
    <w:rsid w:val="004A14AA"/>
    <w:rsid w:val="004A31BC"/>
    <w:rsid w:val="004A665B"/>
    <w:rsid w:val="004B27B7"/>
    <w:rsid w:val="004D12BA"/>
    <w:rsid w:val="004E16CE"/>
    <w:rsid w:val="005002D9"/>
    <w:rsid w:val="00502D93"/>
    <w:rsid w:val="005158BD"/>
    <w:rsid w:val="00520D90"/>
    <w:rsid w:val="00522489"/>
    <w:rsid w:val="00526A63"/>
    <w:rsid w:val="00534174"/>
    <w:rsid w:val="00534BB4"/>
    <w:rsid w:val="00540CCC"/>
    <w:rsid w:val="00551E74"/>
    <w:rsid w:val="0055700E"/>
    <w:rsid w:val="0056152C"/>
    <w:rsid w:val="00571D71"/>
    <w:rsid w:val="0058062A"/>
    <w:rsid w:val="0058400E"/>
    <w:rsid w:val="0059608B"/>
    <w:rsid w:val="005A20BF"/>
    <w:rsid w:val="005B491E"/>
    <w:rsid w:val="005C209C"/>
    <w:rsid w:val="005C3000"/>
    <w:rsid w:val="005C5923"/>
    <w:rsid w:val="005C5FD9"/>
    <w:rsid w:val="005C77E1"/>
    <w:rsid w:val="005D73B2"/>
    <w:rsid w:val="005E7CBE"/>
    <w:rsid w:val="00600F21"/>
    <w:rsid w:val="00600FFC"/>
    <w:rsid w:val="00601384"/>
    <w:rsid w:val="00610902"/>
    <w:rsid w:val="00612190"/>
    <w:rsid w:val="00615CC2"/>
    <w:rsid w:val="00621910"/>
    <w:rsid w:val="00623AD7"/>
    <w:rsid w:val="00624D13"/>
    <w:rsid w:val="00634C01"/>
    <w:rsid w:val="00640F70"/>
    <w:rsid w:val="00641010"/>
    <w:rsid w:val="00644ED3"/>
    <w:rsid w:val="006465C7"/>
    <w:rsid w:val="006504F4"/>
    <w:rsid w:val="0065346A"/>
    <w:rsid w:val="00656E6A"/>
    <w:rsid w:val="006576FE"/>
    <w:rsid w:val="00664714"/>
    <w:rsid w:val="0066538A"/>
    <w:rsid w:val="00685F7B"/>
    <w:rsid w:val="00686AB0"/>
    <w:rsid w:val="006C5E81"/>
    <w:rsid w:val="006E25CE"/>
    <w:rsid w:val="006E4F1C"/>
    <w:rsid w:val="006F0642"/>
    <w:rsid w:val="006F2AAA"/>
    <w:rsid w:val="0070570A"/>
    <w:rsid w:val="007111F6"/>
    <w:rsid w:val="00715543"/>
    <w:rsid w:val="00752544"/>
    <w:rsid w:val="00764AAC"/>
    <w:rsid w:val="00773281"/>
    <w:rsid w:val="007845EF"/>
    <w:rsid w:val="00793D53"/>
    <w:rsid w:val="007B489D"/>
    <w:rsid w:val="007B4D08"/>
    <w:rsid w:val="007B72FD"/>
    <w:rsid w:val="007C61FC"/>
    <w:rsid w:val="007E628B"/>
    <w:rsid w:val="007F13B9"/>
    <w:rsid w:val="00800CE7"/>
    <w:rsid w:val="00814080"/>
    <w:rsid w:val="00815EB1"/>
    <w:rsid w:val="008249DF"/>
    <w:rsid w:val="00830CBF"/>
    <w:rsid w:val="0084136F"/>
    <w:rsid w:val="0084478B"/>
    <w:rsid w:val="00844F2A"/>
    <w:rsid w:val="00856A76"/>
    <w:rsid w:val="0086328C"/>
    <w:rsid w:val="0086451D"/>
    <w:rsid w:val="008747AD"/>
    <w:rsid w:val="00880E5C"/>
    <w:rsid w:val="00882F28"/>
    <w:rsid w:val="00894426"/>
    <w:rsid w:val="008955AB"/>
    <w:rsid w:val="0089695A"/>
    <w:rsid w:val="008A2F04"/>
    <w:rsid w:val="008A3EDE"/>
    <w:rsid w:val="008C29F0"/>
    <w:rsid w:val="008D0594"/>
    <w:rsid w:val="008E4D2A"/>
    <w:rsid w:val="008F7B4F"/>
    <w:rsid w:val="00905947"/>
    <w:rsid w:val="00924DE9"/>
    <w:rsid w:val="009326D0"/>
    <w:rsid w:val="00943C53"/>
    <w:rsid w:val="00960BF5"/>
    <w:rsid w:val="0096241A"/>
    <w:rsid w:val="0096668C"/>
    <w:rsid w:val="00975CBE"/>
    <w:rsid w:val="009761EB"/>
    <w:rsid w:val="00980793"/>
    <w:rsid w:val="009863E9"/>
    <w:rsid w:val="009A2EA7"/>
    <w:rsid w:val="009A615D"/>
    <w:rsid w:val="009B1BBC"/>
    <w:rsid w:val="009C468A"/>
    <w:rsid w:val="009D18DF"/>
    <w:rsid w:val="009E1AEB"/>
    <w:rsid w:val="009F0F77"/>
    <w:rsid w:val="009F20E3"/>
    <w:rsid w:val="009F6F7D"/>
    <w:rsid w:val="00A036AC"/>
    <w:rsid w:val="00A17BF8"/>
    <w:rsid w:val="00A21FFC"/>
    <w:rsid w:val="00A24AA5"/>
    <w:rsid w:val="00A35DB8"/>
    <w:rsid w:val="00A455A2"/>
    <w:rsid w:val="00A54F69"/>
    <w:rsid w:val="00A603E0"/>
    <w:rsid w:val="00A65A67"/>
    <w:rsid w:val="00A7003F"/>
    <w:rsid w:val="00A76162"/>
    <w:rsid w:val="00A77B2B"/>
    <w:rsid w:val="00A87381"/>
    <w:rsid w:val="00A94367"/>
    <w:rsid w:val="00A948F5"/>
    <w:rsid w:val="00AA004C"/>
    <w:rsid w:val="00AA4208"/>
    <w:rsid w:val="00AA4E0E"/>
    <w:rsid w:val="00AB02F8"/>
    <w:rsid w:val="00AC1A3A"/>
    <w:rsid w:val="00AC1FF6"/>
    <w:rsid w:val="00AC6293"/>
    <w:rsid w:val="00AD6A7E"/>
    <w:rsid w:val="00AD7495"/>
    <w:rsid w:val="00AF546E"/>
    <w:rsid w:val="00B06343"/>
    <w:rsid w:val="00B10188"/>
    <w:rsid w:val="00B12CBA"/>
    <w:rsid w:val="00B31B2D"/>
    <w:rsid w:val="00B33F55"/>
    <w:rsid w:val="00B42AB8"/>
    <w:rsid w:val="00B45370"/>
    <w:rsid w:val="00B45AE8"/>
    <w:rsid w:val="00B52EE2"/>
    <w:rsid w:val="00B60AB1"/>
    <w:rsid w:val="00B61097"/>
    <w:rsid w:val="00B7350E"/>
    <w:rsid w:val="00B742D2"/>
    <w:rsid w:val="00B762CD"/>
    <w:rsid w:val="00B9249D"/>
    <w:rsid w:val="00B9289E"/>
    <w:rsid w:val="00BA3BC1"/>
    <w:rsid w:val="00BA60E8"/>
    <w:rsid w:val="00BA71BB"/>
    <w:rsid w:val="00BB2737"/>
    <w:rsid w:val="00BB4A3C"/>
    <w:rsid w:val="00BB699B"/>
    <w:rsid w:val="00BC1CA3"/>
    <w:rsid w:val="00BC278A"/>
    <w:rsid w:val="00BE0431"/>
    <w:rsid w:val="00BE2D30"/>
    <w:rsid w:val="00BF78F6"/>
    <w:rsid w:val="00C11F62"/>
    <w:rsid w:val="00C17C52"/>
    <w:rsid w:val="00C358BF"/>
    <w:rsid w:val="00C436D4"/>
    <w:rsid w:val="00C4698E"/>
    <w:rsid w:val="00C47C42"/>
    <w:rsid w:val="00C534DE"/>
    <w:rsid w:val="00C62550"/>
    <w:rsid w:val="00C6350C"/>
    <w:rsid w:val="00C65153"/>
    <w:rsid w:val="00C750DF"/>
    <w:rsid w:val="00C761C8"/>
    <w:rsid w:val="00C772FB"/>
    <w:rsid w:val="00C80CBA"/>
    <w:rsid w:val="00C87264"/>
    <w:rsid w:val="00C96362"/>
    <w:rsid w:val="00CA76D1"/>
    <w:rsid w:val="00CC028B"/>
    <w:rsid w:val="00CC2312"/>
    <w:rsid w:val="00CC6D06"/>
    <w:rsid w:val="00CE0097"/>
    <w:rsid w:val="00CE0D36"/>
    <w:rsid w:val="00CE1CDC"/>
    <w:rsid w:val="00CE4AC5"/>
    <w:rsid w:val="00CE4D75"/>
    <w:rsid w:val="00D026B6"/>
    <w:rsid w:val="00D07256"/>
    <w:rsid w:val="00D174CB"/>
    <w:rsid w:val="00D23678"/>
    <w:rsid w:val="00D320F4"/>
    <w:rsid w:val="00D33A1B"/>
    <w:rsid w:val="00D43148"/>
    <w:rsid w:val="00D56ED0"/>
    <w:rsid w:val="00D578F4"/>
    <w:rsid w:val="00D7781C"/>
    <w:rsid w:val="00D80B00"/>
    <w:rsid w:val="00D90502"/>
    <w:rsid w:val="00D94C9F"/>
    <w:rsid w:val="00DA0B32"/>
    <w:rsid w:val="00DB21D0"/>
    <w:rsid w:val="00DB2BDE"/>
    <w:rsid w:val="00DB2E7F"/>
    <w:rsid w:val="00DB33E1"/>
    <w:rsid w:val="00DC059A"/>
    <w:rsid w:val="00DC6FF9"/>
    <w:rsid w:val="00DD239E"/>
    <w:rsid w:val="00DE37B2"/>
    <w:rsid w:val="00DE7D70"/>
    <w:rsid w:val="00E056B5"/>
    <w:rsid w:val="00E0707D"/>
    <w:rsid w:val="00E1320D"/>
    <w:rsid w:val="00E27239"/>
    <w:rsid w:val="00E4161F"/>
    <w:rsid w:val="00E4474B"/>
    <w:rsid w:val="00E44C96"/>
    <w:rsid w:val="00E503EA"/>
    <w:rsid w:val="00E5786A"/>
    <w:rsid w:val="00E660FC"/>
    <w:rsid w:val="00E77219"/>
    <w:rsid w:val="00E77522"/>
    <w:rsid w:val="00E77FBF"/>
    <w:rsid w:val="00E82ED4"/>
    <w:rsid w:val="00E90B76"/>
    <w:rsid w:val="00E91EA6"/>
    <w:rsid w:val="00E9745E"/>
    <w:rsid w:val="00EA0F60"/>
    <w:rsid w:val="00EC16C1"/>
    <w:rsid w:val="00ED05B1"/>
    <w:rsid w:val="00ED498C"/>
    <w:rsid w:val="00ED5C59"/>
    <w:rsid w:val="00ED620B"/>
    <w:rsid w:val="00EE7D83"/>
    <w:rsid w:val="00F0355F"/>
    <w:rsid w:val="00F109F7"/>
    <w:rsid w:val="00F33A60"/>
    <w:rsid w:val="00F44AA2"/>
    <w:rsid w:val="00F505B3"/>
    <w:rsid w:val="00F50DB0"/>
    <w:rsid w:val="00F510DB"/>
    <w:rsid w:val="00F53BEF"/>
    <w:rsid w:val="00F57701"/>
    <w:rsid w:val="00F63F5A"/>
    <w:rsid w:val="00F66849"/>
    <w:rsid w:val="00F81107"/>
    <w:rsid w:val="00F813FC"/>
    <w:rsid w:val="00F946DE"/>
    <w:rsid w:val="00F9773C"/>
    <w:rsid w:val="00FA3D3F"/>
    <w:rsid w:val="00FC7B54"/>
    <w:rsid w:val="00FD07BA"/>
    <w:rsid w:val="00FD536E"/>
    <w:rsid w:val="00FD6FE5"/>
    <w:rsid w:val="00FE4DD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C43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FootnoteText">
    <w:name w:val="footnote text"/>
    <w:basedOn w:val="Normal"/>
    <w:link w:val="TextodenotaderodapChar"/>
    <w:uiPriority w:val="99"/>
    <w:semiHidden/>
    <w:unhideWhenUsed/>
    <w:rsid w:val="000F549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0F5496"/>
    <w:rPr>
      <w:sz w:val="20"/>
      <w:szCs w:val="20"/>
    </w:rPr>
  </w:style>
  <w:style w:type="character" w:styleId="FootnoteReference">
    <w:name w:val="footnote reference"/>
    <w:basedOn w:val="DefaultParagraphFont"/>
    <w:uiPriority w:val="99"/>
    <w:semiHidden/>
    <w:unhideWhenUsed/>
    <w:rsid w:val="000F5496"/>
    <w:rPr>
      <w:vertAlign w:val="superscript"/>
    </w:rPr>
  </w:style>
  <w:style w:type="paragraph" w:customStyle="1" w:styleId="corpodapea">
    <w:name w:val="corpodapea"/>
    <w:basedOn w:val="Normal"/>
    <w:rsid w:val="004D12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A21FFC"/>
    <w:pPr>
      <w:spacing w:after="0" w:line="240" w:lineRule="auto"/>
    </w:pPr>
    <w:rPr>
      <w:rFonts w:ascii="Times New Roman" w:eastAsia="Times New Roman" w:hAnsi="Times New Roman" w:cs="Times New Roman"/>
      <w:sz w:val="20"/>
      <w:szCs w:val="20"/>
      <w:lang w:eastAsia="pt-BR"/>
    </w:rPr>
  </w:style>
  <w:style w:type="character" w:customStyle="1" w:styleId="Ttulo2Char">
    <w:name w:val="Título 2 Char"/>
    <w:basedOn w:val="DefaultParagraphFont"/>
    <w:link w:val="Heading2"/>
    <w:uiPriority w:val="9"/>
    <w:semiHidden/>
    <w:rsid w:val="00C436D4"/>
    <w:rPr>
      <w:rFonts w:asciiTheme="majorHAnsi" w:eastAsiaTheme="majorEastAsia" w:hAnsiTheme="majorHAnsi" w:cstheme="majorBidi"/>
      <w:b/>
      <w:bCs/>
      <w:color w:val="4F81BD" w:themeColor="accent1"/>
      <w:sz w:val="26"/>
      <w:szCs w:val="26"/>
    </w:rPr>
  </w:style>
  <w:style w:type="paragraph" w:styleId="Footer">
    <w:name w:val="footer"/>
    <w:basedOn w:val="Normal"/>
    <w:link w:val="RodapChar"/>
    <w:rsid w:val="00AA4E0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DefaultParagraphFont"/>
    <w:link w:val="Footer"/>
    <w:rsid w:val="00AA4E0E"/>
    <w:rPr>
      <w:rFonts w:ascii="Arial" w:eastAsia="Times New Roman" w:hAnsi="Arial" w:cs="Times New Roman"/>
      <w:sz w:val="24"/>
      <w:szCs w:val="20"/>
      <w:lang w:eastAsia="pt-BR"/>
    </w:rPr>
  </w:style>
  <w:style w:type="paragraph" w:styleId="BodyTextIndent">
    <w:name w:val="Body Text Indent"/>
    <w:basedOn w:val="Normal"/>
    <w:link w:val="RecuodecorpodetextoChar"/>
    <w:semiHidden/>
    <w:unhideWhenUsed/>
    <w:rsid w:val="0096668C"/>
    <w:pPr>
      <w:spacing w:after="120" w:line="240" w:lineRule="auto"/>
      <w:ind w:left="283"/>
    </w:pPr>
    <w:rPr>
      <w:rFonts w:ascii="Arial" w:eastAsia="Times New Roman" w:hAnsi="Arial" w:cs="Times New Roman"/>
      <w:sz w:val="24"/>
      <w:szCs w:val="20"/>
      <w:lang w:val="x-none" w:eastAsia="x-none"/>
    </w:rPr>
  </w:style>
  <w:style w:type="character" w:customStyle="1" w:styleId="RecuodecorpodetextoChar">
    <w:name w:val="Recuo de corpo de texto Char"/>
    <w:basedOn w:val="DefaultParagraphFont"/>
    <w:link w:val="BodyTextIndent"/>
    <w:semiHidden/>
    <w:rsid w:val="0096668C"/>
    <w:rPr>
      <w:rFonts w:ascii="Arial" w:eastAsia="Times New Roman" w:hAnsi="Arial" w:cs="Times New Roman"/>
      <w:sz w:val="24"/>
      <w:szCs w:val="20"/>
      <w:lang w:val="x-none" w:eastAsia="x-none"/>
    </w:rPr>
  </w:style>
  <w:style w:type="paragraph" w:styleId="BalloonText">
    <w:name w:val="Balloon Text"/>
    <w:basedOn w:val="Normal"/>
    <w:link w:val="TextodebaloChar"/>
    <w:uiPriority w:val="99"/>
    <w:semiHidden/>
    <w:unhideWhenUsed/>
    <w:rsid w:val="00D33A1B"/>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D33A1B"/>
    <w:rPr>
      <w:rFonts w:ascii="Tahoma" w:hAnsi="Tahoma" w:cs="Tahoma"/>
      <w:sz w:val="16"/>
      <w:szCs w:val="16"/>
    </w:rPr>
  </w:style>
  <w:style w:type="paragraph" w:customStyle="1" w:styleId="alineas">
    <w:name w:val="alineas"/>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5E39-1FB2-4D1E-A8C7-1C8B19B4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5060</Words>
  <Characters>27324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2021-08-09T18:11:00Z</cp:lastPrinted>
  <dcterms:created xsi:type="dcterms:W3CDTF">2023-04-19T19:44:00Z</dcterms:created>
  <dcterms:modified xsi:type="dcterms:W3CDTF">2023-04-20T17:02:00Z</dcterms:modified>
</cp:coreProperties>
</file>