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F36757" w:rsidP="00230290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F36757">
        <w:rPr>
          <w:rFonts w:ascii="Calibri" w:hAnsi="Calibri" w:cs="Calibri"/>
          <w:b/>
          <w:color w:val="auto"/>
        </w:rPr>
        <w:t>Parecer Jurídico nº</w:t>
      </w:r>
      <w:r w:rsidRPr="00F36757" w:rsidR="00DA5745">
        <w:rPr>
          <w:rFonts w:ascii="Calibri" w:hAnsi="Calibri" w:cs="Calibri"/>
          <w:b/>
          <w:color w:val="auto"/>
        </w:rPr>
        <w:t xml:space="preserve"> </w:t>
      </w:r>
      <w:r w:rsidRPr="00F36757" w:rsidR="000E7AF5">
        <w:rPr>
          <w:rFonts w:ascii="Calibri" w:hAnsi="Calibri" w:cs="Calibri"/>
          <w:b/>
          <w:color w:val="auto"/>
        </w:rPr>
        <w:t>122/</w:t>
      </w:r>
      <w:r w:rsidRPr="00F36757">
        <w:rPr>
          <w:rFonts w:ascii="Calibri" w:hAnsi="Calibri" w:cs="Calibri"/>
          <w:b/>
          <w:color w:val="auto"/>
        </w:rPr>
        <w:t>202</w:t>
      </w:r>
      <w:r w:rsidRPr="00F36757" w:rsidR="004253B9">
        <w:rPr>
          <w:rFonts w:ascii="Calibri" w:hAnsi="Calibri" w:cs="Calibri"/>
          <w:b/>
          <w:color w:val="auto"/>
        </w:rPr>
        <w:t>3</w:t>
      </w:r>
    </w:p>
    <w:p w:rsidR="00645039" w:rsidRPr="00645039" w:rsidP="00B6516B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  <w:r w:rsidRPr="000B4AF0">
        <w:rPr>
          <w:rFonts w:ascii="Calibri" w:hAnsi="Calibri" w:cs="Calibri"/>
          <w:b/>
          <w:bCs/>
          <w:szCs w:val="24"/>
        </w:rPr>
        <w:t>Assunto</w:t>
      </w:r>
      <w:r w:rsidRPr="00E957F5">
        <w:rPr>
          <w:rFonts w:ascii="Calibri" w:hAnsi="Calibri" w:cs="Calibri"/>
          <w:b/>
          <w:bCs/>
          <w:szCs w:val="24"/>
        </w:rPr>
        <w:t xml:space="preserve">: </w:t>
      </w:r>
      <w:r w:rsidRPr="00E957F5" w:rsidR="00E957F5">
        <w:rPr>
          <w:rFonts w:ascii="Calibri" w:hAnsi="Calibri" w:cs="Calibri"/>
          <w:b/>
          <w:bCs/>
          <w:szCs w:val="24"/>
        </w:rPr>
        <w:t>Projeto de Lei nº 3</w:t>
      </w:r>
      <w:r>
        <w:rPr>
          <w:rFonts w:ascii="Calibri" w:hAnsi="Calibri" w:cs="Calibri"/>
          <w:b/>
          <w:bCs/>
          <w:szCs w:val="24"/>
        </w:rPr>
        <w:t>4</w:t>
      </w:r>
      <w:r w:rsidRPr="00E957F5">
        <w:rPr>
          <w:rFonts w:ascii="Calibri" w:hAnsi="Calibri" w:cs="Calibri"/>
          <w:b/>
          <w:bCs/>
          <w:szCs w:val="24"/>
        </w:rPr>
        <w:t>/202</w:t>
      </w:r>
      <w:r w:rsidRPr="00E957F5" w:rsidR="00D61860">
        <w:rPr>
          <w:rFonts w:ascii="Calibri" w:hAnsi="Calibri" w:cs="Calibri"/>
          <w:b/>
          <w:bCs/>
          <w:szCs w:val="24"/>
        </w:rPr>
        <w:t>3</w:t>
      </w:r>
      <w:r w:rsidRPr="00E957F5" w:rsidR="00DA5745">
        <w:rPr>
          <w:rFonts w:ascii="Calibri" w:hAnsi="Calibri" w:cs="Calibri"/>
          <w:bCs/>
          <w:szCs w:val="24"/>
        </w:rPr>
        <w:t xml:space="preserve"> </w:t>
      </w:r>
      <w:r w:rsidRPr="00E957F5" w:rsidR="00DF5B72">
        <w:rPr>
          <w:rFonts w:ascii="Calibri" w:hAnsi="Calibri" w:cs="Calibri"/>
          <w:bCs/>
          <w:szCs w:val="24"/>
        </w:rPr>
        <w:t>–</w:t>
      </w:r>
      <w:r>
        <w:rPr>
          <w:rFonts w:ascii="Calibri" w:hAnsi="Calibri" w:cs="Calibri"/>
          <w:bCs/>
          <w:szCs w:val="24"/>
        </w:rPr>
        <w:t xml:space="preserve"> </w:t>
      </w:r>
      <w:r w:rsidRPr="00645039">
        <w:rPr>
          <w:rFonts w:ascii="Calibri" w:hAnsi="Calibri" w:cs="Calibri"/>
          <w:bCs/>
          <w:szCs w:val="24"/>
        </w:rPr>
        <w:t>Torna obrigatória a instalação de porta/portão eletrônico com detector de metal nas escolas públicas da rede municipal de ensino, e dá outras providências.</w:t>
      </w:r>
    </w:p>
    <w:p w:rsidR="00582000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Autor</w:t>
      </w:r>
      <w:r w:rsidRPr="000B4AF0" w:rsidR="004253B9">
        <w:rPr>
          <w:rFonts w:ascii="Calibri" w:hAnsi="Calibri" w:cs="Calibri"/>
          <w:b/>
          <w:szCs w:val="24"/>
        </w:rPr>
        <w:t xml:space="preserve">: </w:t>
      </w:r>
      <w:r w:rsidRPr="000B4AF0" w:rsidR="004253B9">
        <w:rPr>
          <w:rFonts w:ascii="Calibri" w:hAnsi="Calibri" w:cs="Calibri"/>
          <w:szCs w:val="24"/>
        </w:rPr>
        <w:t>Vereador</w:t>
      </w:r>
      <w:r w:rsidR="00645039">
        <w:rPr>
          <w:rFonts w:ascii="Calibri" w:hAnsi="Calibri" w:cs="Calibri"/>
          <w:szCs w:val="24"/>
        </w:rPr>
        <w:t xml:space="preserve"> César Rocha</w:t>
      </w:r>
    </w:p>
    <w:p w:rsidR="00645039" w:rsidRPr="000B4AF0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</w:p>
    <w:p w:rsidR="006E1D73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>À Comissão de Justiça e Redação,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 xml:space="preserve">Exmo. </w:t>
      </w:r>
      <w:r w:rsidRPr="000B4AF0" w:rsidR="00B14DD5">
        <w:rPr>
          <w:rFonts w:ascii="Calibri" w:hAnsi="Calibri" w:cs="Calibri"/>
          <w:b/>
          <w:i/>
          <w:color w:val="auto"/>
        </w:rPr>
        <w:t>Sr.</w:t>
      </w:r>
      <w:r w:rsidRPr="000B4AF0" w:rsidR="00B14DD5">
        <w:rPr>
          <w:rFonts w:ascii="Calibri" w:hAnsi="Calibri" w:cs="Calibri"/>
          <w:b/>
          <w:i/>
          <w:color w:val="auto"/>
        </w:rPr>
        <w:t xml:space="preserve"> Presidente </w:t>
      </w:r>
      <w:r w:rsidRPr="000B4AF0" w:rsidR="00A02FF7">
        <w:rPr>
          <w:rFonts w:ascii="Calibri" w:hAnsi="Calibri" w:cs="Calibri"/>
          <w:b/>
          <w:i/>
          <w:color w:val="auto"/>
        </w:rPr>
        <w:t>Vereador Gabriel Bueno</w:t>
      </w:r>
      <w:r w:rsidRPr="000B4AF0">
        <w:rPr>
          <w:rFonts w:ascii="Calibri" w:hAnsi="Calibri" w:cs="Calibri"/>
          <w:b/>
          <w:i/>
          <w:color w:val="auto"/>
        </w:rPr>
        <w:t>.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645039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957F5" w:rsidRPr="00645039" w:rsidP="0064503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Trata-se de parecer jurídico relativo ao projeto em epígrafe que</w:t>
      </w:r>
      <w:r w:rsidR="00645039">
        <w:rPr>
          <w:rFonts w:ascii="Calibri" w:hAnsi="Calibri" w:cs="Calibri"/>
          <w:szCs w:val="24"/>
        </w:rPr>
        <w:t xml:space="preserve"> </w:t>
      </w:r>
      <w:r w:rsidRPr="00645039" w:rsidR="00645039">
        <w:rPr>
          <w:rFonts w:ascii="Calibri" w:hAnsi="Calibri" w:cs="Calibri"/>
          <w:i/>
          <w:szCs w:val="24"/>
        </w:rPr>
        <w:t xml:space="preserve">“Torna obrigatória </w:t>
      </w:r>
      <w:r w:rsidRPr="00645039" w:rsidR="00645039">
        <w:rPr>
          <w:rFonts w:ascii="Calibri" w:hAnsi="Calibri" w:cs="Calibri"/>
          <w:i/>
          <w:szCs w:val="24"/>
        </w:rPr>
        <w:t>a</w:t>
      </w:r>
      <w:r w:rsidRPr="00645039" w:rsidR="00645039">
        <w:rPr>
          <w:rFonts w:ascii="Calibri" w:hAnsi="Calibri" w:cs="Calibri"/>
          <w:i/>
          <w:szCs w:val="24"/>
        </w:rPr>
        <w:t xml:space="preserve"> instalação de porta/portão eletrônico com detector de metal nas escolas públicas da rede municipal de ensino, e dá outras providências.”</w:t>
      </w:r>
    </w:p>
    <w:p w:rsidR="00230290" w:rsidRPr="000B4AF0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i/>
          <w:szCs w:val="24"/>
        </w:rPr>
        <w:t>Ab initio</w:t>
      </w:r>
      <w:r w:rsidRPr="000B4AF0">
        <w:rPr>
          <w:rFonts w:ascii="Calibri" w:hAnsi="Calibri" w:cs="Calibri"/>
          <w:szCs w:val="24"/>
        </w:rPr>
        <w:t xml:space="preserve">, cumpre destacar a competência regimental da Comissão </w:t>
      </w:r>
      <w:r w:rsidRPr="000B4AF0" w:rsidR="00267046">
        <w:rPr>
          <w:rFonts w:ascii="Calibri" w:hAnsi="Calibri" w:cs="Calibri"/>
          <w:szCs w:val="24"/>
        </w:rPr>
        <w:t xml:space="preserve">de Justiça e Redação </w:t>
      </w:r>
      <w:r w:rsidRPr="000B4AF0">
        <w:rPr>
          <w:rFonts w:ascii="Calibri" w:hAnsi="Calibri" w:cs="Calibri"/>
          <w:szCs w:val="24"/>
        </w:rPr>
        <w:t>estabelecida no artigo 38.</w:t>
      </w:r>
    </w:p>
    <w:p w:rsidR="00230290" w:rsidRPr="000B4AF0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0B4AF0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ressalta-se que a opinião jurídica </w:t>
      </w:r>
      <w:r w:rsidRPr="000B4AF0" w:rsidR="00641AD2">
        <w:rPr>
          <w:rFonts w:ascii="Calibri" w:hAnsi="Calibri" w:cs="Calibri"/>
          <w:szCs w:val="24"/>
        </w:rPr>
        <w:t>exarada neste</w:t>
      </w:r>
      <w:r w:rsidRPr="000B4AF0">
        <w:rPr>
          <w:rFonts w:ascii="Calibri" w:hAnsi="Calibri" w:cs="Calibri"/>
          <w:szCs w:val="24"/>
        </w:rPr>
        <w:t xml:space="preserve"> parecer não tem força vinculante, portanto é peça opinativa, não fundamentando decisão proferida pelas Comissões.</w:t>
      </w:r>
      <w:r w:rsidRPr="000B4AF0" w:rsidR="000C474F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</w:rPr>
        <w:t xml:space="preserve">Nesse sentido é o entendimento </w:t>
      </w:r>
      <w:r w:rsidR="00E957F5">
        <w:rPr>
          <w:rFonts w:ascii="Calibri" w:hAnsi="Calibri" w:cs="Calibri"/>
        </w:rPr>
        <w:t>do C. Supremo Tribunal Federal</w:t>
      </w:r>
      <w:r>
        <w:rPr>
          <w:rStyle w:val="FootnoteReference"/>
          <w:rFonts w:ascii="Calibri" w:hAnsi="Calibri" w:cs="Calibri"/>
        </w:rPr>
        <w:footnoteReference w:id="2"/>
      </w:r>
      <w:r w:rsidR="00E957F5">
        <w:rPr>
          <w:rFonts w:ascii="Calibri" w:hAnsi="Calibri" w:cs="Calibri"/>
        </w:rPr>
        <w:t>.</w:t>
      </w:r>
    </w:p>
    <w:p w:rsidR="00230290" w:rsidRPr="000B4AF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 xml:space="preserve">Desse modo, passamos à </w:t>
      </w:r>
      <w:r w:rsidRPr="000B4AF0">
        <w:rPr>
          <w:rFonts w:ascii="Calibri" w:hAnsi="Calibri" w:cs="Calibri"/>
          <w:b/>
          <w:szCs w:val="24"/>
        </w:rPr>
        <w:t>análise técnica</w:t>
      </w:r>
      <w:r w:rsidRPr="000B4AF0">
        <w:rPr>
          <w:rFonts w:ascii="Calibri" w:hAnsi="Calibri" w:cs="Calibri"/>
          <w:szCs w:val="24"/>
        </w:rPr>
        <w:t xml:space="preserve"> do projeto em epígrafe referenciado.</w:t>
      </w:r>
    </w:p>
    <w:p w:rsidR="00645039" w:rsidRPr="00230814" w:rsidP="00645039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230814">
        <w:rPr>
          <w:rFonts w:ascii="Calibri" w:hAnsi="Calibri" w:cs="Calibri"/>
          <w:color w:val="auto"/>
        </w:rPr>
        <w:t xml:space="preserve">A proposta em exame, no que tange </w:t>
      </w:r>
      <w:r>
        <w:rPr>
          <w:rFonts w:ascii="Calibri" w:hAnsi="Calibri" w:cs="Calibri"/>
          <w:color w:val="auto"/>
        </w:rPr>
        <w:t xml:space="preserve">à </w:t>
      </w:r>
      <w:r w:rsidRPr="00645039">
        <w:rPr>
          <w:rFonts w:ascii="Calibri" w:hAnsi="Calibri" w:cs="Calibri"/>
          <w:b/>
          <w:color w:val="auto"/>
        </w:rPr>
        <w:t>competência municipal</w:t>
      </w:r>
      <w:r w:rsidRPr="00230814">
        <w:rPr>
          <w:rFonts w:ascii="Calibri" w:hAnsi="Calibri" w:cs="Calibri"/>
          <w:color w:val="auto"/>
        </w:rPr>
        <w:t xml:space="preserve"> afigura-se revestida de constitucionalidade, pois por força da Constituição os Municípios foram dotados de autonomia legislativa, que vem consubstanciada na capacidade de legislar sobr</w:t>
      </w:r>
      <w:r>
        <w:rPr>
          <w:rFonts w:ascii="Calibri" w:hAnsi="Calibri" w:cs="Calibri"/>
          <w:color w:val="auto"/>
        </w:rPr>
        <w:t>e assuntos de interesse local</w:t>
      </w:r>
      <w:r w:rsidRPr="00230814">
        <w:rPr>
          <w:rFonts w:ascii="Calibri" w:hAnsi="Calibri" w:cs="Calibri"/>
          <w:color w:val="auto"/>
        </w:rPr>
        <w:t xml:space="preserve"> (art. 30, I da CRFB). </w:t>
      </w:r>
    </w:p>
    <w:p w:rsidR="00645039" w:rsidRPr="00230814" w:rsidP="0064503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30814">
        <w:rPr>
          <w:rFonts w:ascii="Calibri" w:hAnsi="Calibri" w:cs="Calibri"/>
          <w:szCs w:val="24"/>
        </w:rPr>
        <w:t>Nessa linha, a Lei Orgânica do Município de Valinhos estabelece:</w:t>
      </w:r>
    </w:p>
    <w:p w:rsidR="00645039" w:rsidRPr="00F32480" w:rsidP="004C3CB3">
      <w:pPr>
        <w:spacing w:after="12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32480">
        <w:rPr>
          <w:rFonts w:ascii="Calibri" w:hAnsi="Calibri" w:cs="Calibri"/>
          <w:i/>
          <w:sz w:val="22"/>
          <w:szCs w:val="22"/>
        </w:rPr>
        <w:t>Art. 5º Compete ao Município, no exercício de sua autonomia, legislar sobre tudo quanto respeite ao interesse local, tendo como objetivo o pleno desenvolvimento de suas funções sociais e garantir o bem-estar de seus habitantes, cabendo-lhe privativamente, entre outras, as seguintes atribuições:</w:t>
      </w:r>
    </w:p>
    <w:p w:rsidR="00645039" w:rsidRPr="00F32480" w:rsidP="004C3CB3">
      <w:pPr>
        <w:spacing w:after="12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32480">
        <w:rPr>
          <w:rFonts w:ascii="Calibri" w:hAnsi="Calibri" w:cs="Calibri"/>
          <w:i/>
          <w:sz w:val="22"/>
          <w:szCs w:val="22"/>
        </w:rPr>
        <w:t>[...]</w:t>
      </w:r>
    </w:p>
    <w:p w:rsidR="00645039" w:rsidRPr="00F32480" w:rsidP="004C3CB3">
      <w:pPr>
        <w:spacing w:after="120"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32480">
        <w:rPr>
          <w:rFonts w:ascii="Calibri" w:hAnsi="Calibri" w:cs="Calibr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645039" w:rsidRPr="00F32480" w:rsidP="004C3CB3">
      <w:pPr>
        <w:spacing w:after="12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32480">
        <w:rPr>
          <w:rFonts w:ascii="Calibri" w:hAnsi="Calibri" w:cs="Calibri"/>
          <w:i/>
          <w:sz w:val="22"/>
          <w:szCs w:val="22"/>
        </w:rPr>
        <w:t>I - legislar sobre assuntos de interesse local;</w:t>
      </w:r>
    </w:p>
    <w:p w:rsidR="00645039" w:rsidRPr="00F32480" w:rsidP="004C3CB3">
      <w:pPr>
        <w:spacing w:after="12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32480">
        <w:rPr>
          <w:rFonts w:ascii="Calibri" w:hAnsi="Calibri" w:cs="Calibri"/>
          <w:i/>
          <w:sz w:val="22"/>
          <w:szCs w:val="22"/>
        </w:rPr>
        <w:t>[...]</w:t>
      </w:r>
    </w:p>
    <w:p w:rsidR="00645039" w:rsidRPr="00230814" w:rsidP="004C3CB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Cs w:val="24"/>
        </w:rPr>
      </w:pPr>
      <w:r w:rsidRPr="00230814">
        <w:rPr>
          <w:rFonts w:ascii="Calibri" w:hAnsi="Calibri" w:cs="Calibri"/>
          <w:szCs w:val="24"/>
        </w:rPr>
        <w:t xml:space="preserve"> </w:t>
      </w:r>
      <w:r w:rsidRPr="00230814">
        <w:rPr>
          <w:rFonts w:ascii="Calibri" w:hAnsi="Calibri" w:cs="Calibri"/>
          <w:szCs w:val="24"/>
        </w:rPr>
        <w:tab/>
      </w:r>
      <w:r w:rsidRPr="00230814">
        <w:rPr>
          <w:rFonts w:ascii="Calibri" w:hAnsi="Calibri" w:cs="Calibri"/>
          <w:szCs w:val="24"/>
        </w:rPr>
        <w:tab/>
        <w:t xml:space="preserve">     Acerca de interesse local o saudoso professor Hely Lopes Meirelles leciona:</w:t>
      </w:r>
    </w:p>
    <w:p w:rsidR="00645039" w:rsidRPr="004C3CB3" w:rsidP="004C3CB3">
      <w:pPr>
        <w:autoSpaceDE w:val="0"/>
        <w:autoSpaceDN w:val="0"/>
        <w:adjustRightInd w:val="0"/>
        <w:spacing w:after="120" w:line="300" w:lineRule="auto"/>
        <w:ind w:left="2268"/>
        <w:jc w:val="both"/>
        <w:rPr>
          <w:rFonts w:ascii="Calibri" w:hAnsi="Calibri" w:cs="Calibri"/>
          <w:bCs/>
          <w:i/>
          <w:iCs/>
          <w:sz w:val="20"/>
        </w:rPr>
      </w:pPr>
      <w:r w:rsidRPr="00F32480">
        <w:rPr>
          <w:rFonts w:ascii="Calibri" w:hAnsi="Calibri" w:cs="Calibri"/>
          <w:bCs/>
          <w:i/>
          <w:iCs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F32480">
        <w:rPr>
          <w:rFonts w:ascii="Calibri" w:hAnsi="Calibri" w:cs="Calibri"/>
          <w:bCs/>
          <w:i/>
          <w:iCs/>
          <w:sz w:val="22"/>
          <w:szCs w:val="22"/>
        </w:rPr>
        <w:t xml:space="preserve">essa </w:t>
      </w:r>
      <w:r w:rsidRPr="00F32480">
        <w:rPr>
          <w:rFonts w:ascii="Calibri" w:hAnsi="Calibri" w:cs="Calibri"/>
          <w:bCs/>
          <w:i/>
          <w:iCs/>
          <w:sz w:val="22"/>
          <w:szCs w:val="22"/>
        </w:rPr>
        <w:t>privatividade</w:t>
      </w:r>
      <w:r w:rsidRPr="00F32480">
        <w:rPr>
          <w:rFonts w:ascii="Calibri" w:hAnsi="Calibri" w:cs="Calibri"/>
          <w:bCs/>
          <w:i/>
          <w:iCs/>
          <w:sz w:val="22"/>
          <w:szCs w:val="22"/>
        </w:rPr>
        <w:t>, essa unicidade, bem reduzido</w:t>
      </w:r>
      <w:r w:rsidRPr="00F32480">
        <w:rPr>
          <w:rFonts w:ascii="Calibri" w:hAnsi="Calibri" w:cs="Calibri"/>
          <w:bCs/>
          <w:i/>
          <w:iCs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O que define e caracteriza o 'interesse local', inscrito como dogma constitucional, é a </w:t>
      </w:r>
      <w:r w:rsidRPr="00F32480">
        <w:rPr>
          <w:rFonts w:ascii="Calibri" w:hAnsi="Calibri" w:cs="Calibri"/>
          <w:bCs/>
          <w:i/>
          <w:iCs/>
          <w:sz w:val="22"/>
          <w:szCs w:val="22"/>
        </w:rPr>
        <w:t xml:space="preserve">predominância do interesse do Município sobre o do Estado ou da União". </w:t>
      </w:r>
      <w:r w:rsidRPr="00230814">
        <w:rPr>
          <w:rFonts w:ascii="Calibri" w:hAnsi="Calibri" w:cs="Calibri"/>
          <w:bCs/>
          <w:i/>
          <w:iCs/>
          <w:sz w:val="20"/>
        </w:rPr>
        <w:t>(</w:t>
      </w:r>
      <w:r w:rsidRPr="004C3CB3">
        <w:rPr>
          <w:rFonts w:ascii="Calibri" w:hAnsi="Calibri" w:cs="Calibri"/>
          <w:bCs/>
          <w:i/>
          <w:iCs/>
          <w:sz w:val="20"/>
        </w:rPr>
        <w:t xml:space="preserve">in </w:t>
      </w:r>
      <w:r w:rsidRPr="004C3CB3">
        <w:rPr>
          <w:rFonts w:ascii="Calibri" w:hAnsi="Calibri" w:cs="Calibri"/>
          <w:sz w:val="20"/>
        </w:rPr>
        <w:t>Direito Municipal Brasileiro, 6ª ed., atualizada por Izabel Camargo Lopes Monteiro e Yara Darcy Police Monteiro, 1993, Malheiros, p. 98</w:t>
      </w:r>
      <w:r w:rsidRPr="004C3CB3">
        <w:rPr>
          <w:rFonts w:ascii="Calibri" w:hAnsi="Calibri" w:cs="Calibri"/>
          <w:bCs/>
          <w:i/>
          <w:iCs/>
          <w:sz w:val="20"/>
        </w:rPr>
        <w:t>)</w:t>
      </w:r>
      <w:r w:rsidRPr="004C3CB3" w:rsidR="004C3CB3">
        <w:rPr>
          <w:rFonts w:ascii="Calibri" w:hAnsi="Calibri" w:cs="Calibri"/>
          <w:bCs/>
          <w:i/>
          <w:iCs/>
          <w:sz w:val="20"/>
        </w:rPr>
        <w:t>.</w:t>
      </w:r>
    </w:p>
    <w:p w:rsidR="004C3CB3" w:rsidRPr="004C3CB3" w:rsidP="00545DE3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sz w:val="4"/>
          <w:szCs w:val="4"/>
        </w:rPr>
      </w:pPr>
    </w:p>
    <w:p w:rsidR="00645039" w:rsidRPr="00230814" w:rsidP="0064503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30814">
        <w:rPr>
          <w:rFonts w:ascii="Calibri" w:hAnsi="Calibri" w:cs="Calibri"/>
          <w:szCs w:val="24"/>
        </w:rPr>
        <w:t>Ademais, a matéria de que trata o projeto não se amolda a nenhuma das hipóteses de competência privativa do Chefe do Executivo, consoante estabelece a Constituição do Estado de São Paulo de observância obrigatória pelos Municípios:</w:t>
      </w:r>
    </w:p>
    <w:p w:rsidR="00645039" w:rsidRPr="00B60DB6" w:rsidP="004C3CB3">
      <w:pPr>
        <w:spacing w:after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Assembléia (sic) Legislativa, ao Governador do Estado, ao Tribunal de Justiça, ao Procurador-Geral de Justiça e aos cidadãos, na forma e nos casos previstos nesta Constituição.</w:t>
      </w:r>
    </w:p>
    <w:p w:rsidR="00645039" w:rsidRPr="00B60DB6" w:rsidP="004C3CB3">
      <w:pPr>
        <w:spacing w:after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[...]</w:t>
      </w:r>
    </w:p>
    <w:p w:rsidR="00645039" w:rsidRPr="00B60DB6" w:rsidP="004C3CB3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§ 2º - Compete, exclusivamente, ao Governador do Estado a iniciativa das leis que disponham sobre:</w:t>
      </w:r>
    </w:p>
    <w:p w:rsidR="00645039" w:rsidRPr="00B60DB6" w:rsidP="004C3CB3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0" w:name="CESP_ART_024_2_1"/>
      <w:bookmarkEnd w:id="0"/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1 - criação e extinção de cargos, funções ou empregos públicos na administração direta e autárquica, bem como a fixação da respectiva remuneração;</w:t>
      </w:r>
    </w:p>
    <w:p w:rsidR="00645039" w:rsidRPr="00B60DB6" w:rsidP="004C3CB3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1" w:name="CESP_ART_024_2_2"/>
      <w:bookmarkEnd w:id="1"/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2 - criação e extinção das Secretarias de Estado e órgãos da administração pública, observado o disposto no art. 47, XIX; (NR</w:t>
      </w:r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645039" w:rsidRPr="00B60DB6" w:rsidP="004C3CB3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2" w:name="CESP_ART_024_2_3"/>
      <w:bookmarkEnd w:id="2"/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3 - organização da Procuradoria Geral do Estado e da Defensoria Pública do Estado, observadas as normas gerais da União;</w:t>
      </w:r>
    </w:p>
    <w:p w:rsidR="00645039" w:rsidRPr="00B60DB6" w:rsidP="004C3CB3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3" w:name="CESP_ART_024_2_4"/>
      <w:bookmarkEnd w:id="3"/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4 - servidores públicos do Estado, seu regime jurídico, provimento de cargos, estabilidade e aposentadoria; (NR</w:t>
      </w:r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645039" w:rsidRPr="00B60DB6" w:rsidP="004C3CB3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5 - militares, seu regime jurídico, provimento de cargos, promoções, estabilidade, remuneração, reforma e transferência para inatividade, bem como fixação ou alteração do efetivo da Polícia Militar; (NR</w:t>
      </w:r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645039" w:rsidRPr="00B60DB6" w:rsidP="004C3CB3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60DB6">
        <w:rPr>
          <w:rFonts w:ascii="Calibri" w:eastAsia="Calibri" w:hAnsi="Calibri" w:cs="Calibri"/>
          <w:i/>
          <w:sz w:val="22"/>
          <w:szCs w:val="22"/>
          <w:lang w:eastAsia="en-US"/>
        </w:rPr>
        <w:t>6 - criação, alteração ou supressão de cartórios notariais e de registros públicos.</w:t>
      </w:r>
    </w:p>
    <w:p w:rsidR="00645039" w:rsidP="00645039">
      <w:pPr>
        <w:spacing w:after="24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</w:p>
    <w:p w:rsidR="00645039" w:rsidRPr="00230814" w:rsidP="0064503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30814">
        <w:rPr>
          <w:rFonts w:ascii="Calibri" w:hAnsi="Calibri" w:cs="Calibri"/>
          <w:szCs w:val="24"/>
        </w:rPr>
        <w:t>Por seu turno, a Lei Orgânica do Município dispõe:</w:t>
      </w:r>
    </w:p>
    <w:p w:rsidR="00645039" w:rsidRPr="00B60DB6" w:rsidP="004C3CB3">
      <w:pPr>
        <w:spacing w:after="8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Art. 48. Compete, exclusivamente, ao Prefeito a iniciativa dos projetos de lei que disponham sobre:</w:t>
      </w:r>
    </w:p>
    <w:p w:rsidR="00645039" w:rsidRPr="00B60DB6" w:rsidP="004C3CB3">
      <w:pPr>
        <w:spacing w:after="8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645039" w:rsidRPr="00B60DB6" w:rsidP="004C3CB3">
      <w:pPr>
        <w:spacing w:after="8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II - criação, estruturação e atribuições das Secretarias Municipais e órgãos da administração pública;</w:t>
      </w:r>
    </w:p>
    <w:p w:rsidR="00645039" w:rsidRPr="00B60DB6" w:rsidP="004C3CB3">
      <w:pPr>
        <w:spacing w:after="8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III - servidores públicos do Município, seu regime jurídico, provimento de cargos, estabilidade e aposentadoria;</w:t>
      </w:r>
    </w:p>
    <w:p w:rsidR="00645039" w:rsidRPr="00B60DB6" w:rsidP="004C3CB3">
      <w:pPr>
        <w:spacing w:after="8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B60DB6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645039" w:rsidRPr="00A8539F" w:rsidP="00645039">
      <w:pPr>
        <w:spacing w:line="36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545DE3" w:rsidRPr="000B4AF0" w:rsidP="00545DE3">
      <w:pPr>
        <w:pStyle w:val="Default"/>
        <w:tabs>
          <w:tab w:val="left" w:pos="1701"/>
        </w:tabs>
        <w:spacing w:after="240" w:line="360" w:lineRule="auto"/>
        <w:jc w:val="both"/>
        <w:rPr>
          <w:rFonts w:asciiTheme="minorHAnsi" w:hAnsiTheme="minorHAnsi" w:cs="Calibri"/>
          <w:b/>
        </w:rPr>
      </w:pPr>
      <w:r w:rsidRPr="00230814">
        <w:rPr>
          <w:rFonts w:ascii="Calibri" w:hAnsi="Calibri" w:cs="Calibri"/>
          <w:i/>
          <w:sz w:val="22"/>
          <w:szCs w:val="22"/>
        </w:rPr>
        <w:t xml:space="preserve"> </w:t>
      </w:r>
      <w:r w:rsidRPr="00230814">
        <w:rPr>
          <w:rFonts w:ascii="Calibri" w:hAnsi="Calibri" w:cs="Calibri"/>
          <w:i/>
          <w:sz w:val="22"/>
          <w:szCs w:val="22"/>
        </w:rPr>
        <w:tab/>
      </w:r>
      <w:r w:rsidRPr="000B4AF0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0B4AF0">
        <w:rPr>
          <w:rFonts w:asciiTheme="minorHAnsi" w:hAnsiTheme="minorHAnsi" w:cs="Calibri"/>
          <w:b/>
        </w:rPr>
        <w:t xml:space="preserve"> </w:t>
      </w:r>
      <w:r w:rsidRPr="000B4AF0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federativa</w:t>
      </w:r>
      <w:r w:rsidRPr="000B4AF0">
        <w:rPr>
          <w:rFonts w:asciiTheme="minorHAnsi" w:hAnsiTheme="minorHAnsi" w:cs="Calibri"/>
        </w:rPr>
        <w:t xml:space="preserve">, trata-se do </w:t>
      </w:r>
      <w:r w:rsidRPr="000B4AF0">
        <w:rPr>
          <w:rFonts w:asciiTheme="minorHAnsi" w:hAnsiTheme="minorHAnsi" w:cs="Calibri"/>
          <w:b/>
        </w:rPr>
        <w:t>Tema nº 917 Repercussão geral (Paradigma ARE 878911)</w:t>
      </w:r>
      <w:r w:rsidRPr="000B4AF0">
        <w:rPr>
          <w:rFonts w:asciiTheme="minorHAnsi" w:hAnsiTheme="minorHAnsi" w:cs="Calibri"/>
        </w:rPr>
        <w:t xml:space="preserve"> que recebeu a seguinte redação:</w:t>
      </w:r>
    </w:p>
    <w:p w:rsidR="00645039" w:rsidRPr="00230814" w:rsidP="00645039">
      <w:pPr>
        <w:pStyle w:val="Default"/>
        <w:spacing w:after="120" w:line="300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230814">
        <w:rPr>
          <w:rFonts w:ascii="Calibri" w:hAnsi="Calibri" w:cs="Calibri"/>
          <w:b/>
          <w:i/>
          <w:sz w:val="22"/>
          <w:szCs w:val="22"/>
        </w:rPr>
        <w:t xml:space="preserve">“Não usurpa competência privativa do Chefe do Poder </w:t>
      </w:r>
      <w:r w:rsidRPr="00230814">
        <w:rPr>
          <w:rFonts w:ascii="Calibri" w:hAnsi="Calibri" w:cs="Calibri"/>
          <w:b/>
          <w:i/>
          <w:sz w:val="22"/>
          <w:szCs w:val="22"/>
        </w:rPr>
        <w:t>Executivo lei</w:t>
      </w:r>
      <w:r w:rsidRPr="00230814">
        <w:rPr>
          <w:rFonts w:ascii="Calibri" w:hAnsi="Calibri" w:cs="Calibri"/>
          <w:b/>
          <w:i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230814">
        <w:rPr>
          <w:rFonts w:ascii="Calibri" w:hAnsi="Calibri" w:cs="Calibri"/>
          <w:b/>
          <w:i/>
          <w:sz w:val="22"/>
          <w:szCs w:val="22"/>
        </w:rPr>
        <w:t>II,"a</w:t>
      </w:r>
      <w:r w:rsidRPr="00230814">
        <w:rPr>
          <w:rFonts w:ascii="Calibri" w:hAnsi="Calibri" w:cs="Calibri"/>
          <w:b/>
          <w:i/>
          <w:sz w:val="22"/>
          <w:szCs w:val="22"/>
        </w:rPr>
        <w:t>", "c" e "e", da Constituição Federal)”.</w:t>
      </w:r>
    </w:p>
    <w:p w:rsidR="00645039" w:rsidRPr="00230814" w:rsidP="00645039">
      <w:pPr>
        <w:pStyle w:val="Default"/>
        <w:spacing w:after="120"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0814">
        <w:rPr>
          <w:rFonts w:ascii="Calibri" w:hAnsi="Calibri" w:cs="Calibri"/>
          <w:i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230814">
        <w:rPr>
          <w:rFonts w:ascii="Calibri" w:hAnsi="Calibri" w:cs="Calibri"/>
          <w:b/>
          <w:i/>
          <w:sz w:val="22"/>
          <w:szCs w:val="22"/>
        </w:rPr>
        <w:t xml:space="preserve">Não usurpa a competência privativa do chefe do Poder </w:t>
      </w:r>
      <w:r w:rsidRPr="00230814">
        <w:rPr>
          <w:rFonts w:ascii="Calibri" w:hAnsi="Calibri" w:cs="Calibri"/>
          <w:b/>
          <w:i/>
          <w:sz w:val="22"/>
          <w:szCs w:val="22"/>
        </w:rPr>
        <w:t>Executivo lei</w:t>
      </w:r>
      <w:r w:rsidRPr="00230814">
        <w:rPr>
          <w:rFonts w:ascii="Calibri" w:hAnsi="Calibri" w:cs="Calibri"/>
          <w:b/>
          <w:i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230814">
        <w:rPr>
          <w:rFonts w:ascii="Calibri" w:hAnsi="Calibri" w:cs="Calibri"/>
          <w:i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645039" w:rsidRPr="00F64CCC" w:rsidP="00645039">
      <w:pPr>
        <w:pStyle w:val="Default"/>
        <w:spacing w:after="120" w:line="360" w:lineRule="auto"/>
        <w:ind w:left="2268"/>
        <w:jc w:val="both"/>
        <w:rPr>
          <w:rFonts w:ascii="Calibri" w:hAnsi="Calibri" w:cs="Calibri"/>
          <w:color w:val="auto"/>
          <w:sz w:val="12"/>
          <w:szCs w:val="12"/>
        </w:rPr>
      </w:pPr>
    </w:p>
    <w:p w:rsidR="00645039" w:rsidP="00645039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230814">
        <w:rPr>
          <w:rFonts w:ascii="Calibri" w:hAnsi="Calibri" w:cs="Calibri"/>
          <w:color w:val="auto"/>
        </w:rPr>
        <w:t xml:space="preserve">Assim, consoante entendimento da Suprema Corte (Tema 917 Repercussão Geral) </w:t>
      </w:r>
      <w:r w:rsidRPr="00A8539F">
        <w:rPr>
          <w:rFonts w:ascii="Calibri" w:hAnsi="Calibri" w:cs="Calibri"/>
          <w:color w:val="auto"/>
        </w:rPr>
        <w:t xml:space="preserve">a iniciativa dos vereadores </w:t>
      </w:r>
      <w:r w:rsidRPr="00A8539F">
        <w:rPr>
          <w:rFonts w:ascii="Calibri" w:hAnsi="Calibri" w:cs="Calibri"/>
          <w:color w:val="auto"/>
        </w:rPr>
        <w:t>é</w:t>
      </w:r>
      <w:r w:rsidRPr="00A8539F">
        <w:rPr>
          <w:rFonts w:ascii="Calibri" w:hAnsi="Calibri" w:cs="Calibr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4C3CB3" w:rsidP="00645039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Nesse sentido</w:t>
      </w:r>
      <w:r w:rsidRPr="004C3CB3">
        <w:rPr>
          <w:rFonts w:ascii="Calibri" w:hAnsi="Calibri" w:cs="Calibri"/>
          <w:color w:val="auto"/>
        </w:rPr>
        <w:t xml:space="preserve"> </w:t>
      </w:r>
      <w:r w:rsidRPr="00B82566">
        <w:rPr>
          <w:rFonts w:ascii="Calibri" w:hAnsi="Calibri" w:cs="Calibri"/>
          <w:color w:val="auto"/>
        </w:rPr>
        <w:t xml:space="preserve">colacionamos </w:t>
      </w:r>
      <w:r>
        <w:rPr>
          <w:rFonts w:ascii="Calibri" w:hAnsi="Calibri" w:cs="Calibri"/>
          <w:color w:val="auto"/>
        </w:rPr>
        <w:t>decisão</w:t>
      </w:r>
      <w:r w:rsidRPr="00B82566">
        <w:rPr>
          <w:rFonts w:ascii="Calibri" w:hAnsi="Calibri" w:cs="Calibri"/>
          <w:color w:val="auto"/>
        </w:rPr>
        <w:t xml:space="preserve"> do Tribunal de Justiça do Estado de São Paulo</w:t>
      </w:r>
      <w:r>
        <w:rPr>
          <w:rFonts w:ascii="Calibri" w:hAnsi="Calibri" w:cs="Calibri"/>
          <w:color w:val="auto"/>
        </w:rPr>
        <w:t xml:space="preserve"> que julgou constitucional a </w:t>
      </w:r>
      <w:r w:rsidRPr="004C3CB3">
        <w:rPr>
          <w:rFonts w:ascii="Calibri" w:hAnsi="Calibri" w:cs="Calibri"/>
          <w:color w:val="auto"/>
        </w:rPr>
        <w:t>Lei nº 5.352/2020, do Município de Araras, de iniciativa parlamentar, que dispõe sobre a instalação de detectores de metais em estabelecimentos de ensino</w:t>
      </w:r>
      <w:r>
        <w:rPr>
          <w:rFonts w:ascii="Calibri" w:hAnsi="Calibri" w:cs="Calibri"/>
          <w:color w:val="auto"/>
        </w:rPr>
        <w:t>, vejamos:</w:t>
      </w:r>
    </w:p>
    <w:p w:rsidR="006D3B52" w:rsidP="004C3CB3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4C3CB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- Lei nº 5.352/2020, do Município de Araras, de iniciativa parlamentar, que </w:t>
      </w:r>
      <w:r w:rsidRPr="004C3CB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dispõe sobre a instalação de detectores de metais em estabelecimentos de ensino</w:t>
      </w:r>
      <w:r w:rsidRPr="004C3CB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e dá outras providências - </w:t>
      </w:r>
      <w:r w:rsidRPr="004C3CB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Matéria que não se encontra especificamente no rol de competência privativa do Poder </w:t>
      </w:r>
      <w:r w:rsidRPr="004C3CB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Executivo</w:t>
      </w:r>
      <w:r w:rsidRPr="004C3CB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</w:t>
      </w:r>
      <w:r w:rsidRPr="004C3CB3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>Norma</w:t>
      </w:r>
      <w:r w:rsidRPr="004C3CB3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 xml:space="preserve"> que não ingressa na estrutura ou atribuição dos órgãos da Administração Pública e nem no regime jurídico dos servidores – Ausência de interferência na gestão administrativa – Inviabilidade de reconhecimento de inconstitucionalidade – Tema de repercussão geral estabelecido pelo STF (Tema 917) – Proteção integral de crianças e adolescentes que é direito fundamental de segunda geração, impondo prestação positiva de todos os entes políticos</w:t>
      </w:r>
      <w:r w:rsidRPr="004C3CB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Precedentes Órgão Especial – Inconstitucionalidade não configurada </w:t>
      </w:r>
      <w:r w:rsidRPr="004C3CB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– Ação improcedente</w:t>
      </w:r>
      <w:r w:rsidRPr="004C3CB3">
        <w:rPr>
          <w:rFonts w:ascii="Calibri" w:hAnsi="Calibri" w:cs="Calibri"/>
          <w:i/>
          <w:sz w:val="22"/>
          <w:szCs w:val="22"/>
          <w:shd w:val="clear" w:color="auto" w:fill="FFFFFF"/>
        </w:rPr>
        <w:t>.</w:t>
      </w:r>
    </w:p>
    <w:p w:rsidR="004C3CB3" w:rsidRPr="006D3B52" w:rsidP="004C3CB3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sz w:val="20"/>
          <w:szCs w:val="20"/>
          <w:shd w:val="clear" w:color="auto" w:fill="FFFFFF"/>
        </w:rPr>
      </w:pPr>
      <w:r w:rsidRPr="006D3B52">
        <w:rPr>
          <w:rFonts w:ascii="Calibri" w:hAnsi="Calibri" w:cs="Calibri"/>
          <w:i/>
          <w:sz w:val="20"/>
          <w:szCs w:val="20"/>
          <w:shd w:val="clear" w:color="auto" w:fill="FFFFFF"/>
        </w:rPr>
        <w:t>(TJSP;</w:t>
      </w:r>
      <w:r w:rsidRPr="006D3B52">
        <w:rPr>
          <w:rFonts w:ascii="Calibri" w:hAnsi="Calibri" w:cs="Calibri"/>
          <w:i/>
          <w:sz w:val="20"/>
          <w:szCs w:val="20"/>
          <w:shd w:val="clear" w:color="auto" w:fill="FFFFFF"/>
        </w:rPr>
        <w:t xml:space="preserve">  </w:t>
      </w:r>
      <w:r w:rsidRPr="006D3B52">
        <w:rPr>
          <w:rFonts w:ascii="Calibri" w:hAnsi="Calibri" w:cs="Calibri"/>
          <w:i/>
          <w:sz w:val="20"/>
          <w:szCs w:val="20"/>
          <w:shd w:val="clear" w:color="auto" w:fill="FFFFFF"/>
        </w:rPr>
        <w:t>Direta de Inconstitucionalidade 2171286-80.2021.8.26.0000; Relator (a): Moreira Viegas; Órgão Julgador: Órgão Especial; Tribunal de Justiça de São Paulo - N/A; Data do Julgamento: 26/01/2022; Data de Registro: 04/02/2022)</w:t>
      </w:r>
    </w:p>
    <w:p w:rsidR="00645039" w:rsidP="00645039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B82566">
        <w:rPr>
          <w:rFonts w:ascii="Calibri" w:hAnsi="Calibri" w:cs="Calibri"/>
          <w:color w:val="auto"/>
        </w:rPr>
        <w:t>Na mesma linha</w:t>
      </w:r>
      <w:r w:rsidR="004C3CB3">
        <w:rPr>
          <w:rFonts w:ascii="Calibri" w:hAnsi="Calibri" w:cs="Calibri"/>
          <w:color w:val="auto"/>
        </w:rPr>
        <w:t xml:space="preserve"> encontramos decisões da Corte Bandeirante</w:t>
      </w:r>
      <w:r w:rsidRPr="00B82566">
        <w:rPr>
          <w:rFonts w:ascii="Calibri" w:hAnsi="Calibri" w:cs="Calibri"/>
          <w:color w:val="auto"/>
        </w:rPr>
        <w:t xml:space="preserve"> </w:t>
      </w:r>
      <w:r w:rsidR="004C3CB3">
        <w:rPr>
          <w:rFonts w:ascii="Calibri" w:hAnsi="Calibri" w:cs="Calibri"/>
          <w:color w:val="auto"/>
        </w:rPr>
        <w:t>em casos análogos</w:t>
      </w:r>
      <w:r w:rsidRPr="00B82566">
        <w:rPr>
          <w:rFonts w:ascii="Calibri" w:hAnsi="Calibri" w:cs="Calibri"/>
          <w:color w:val="auto"/>
        </w:rPr>
        <w:t>:</w:t>
      </w:r>
    </w:p>
    <w:p w:rsidR="00645039" w:rsidRPr="000A1D02" w:rsidP="00545DE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 DIRETA DE INCONSTITUCIONALIDADE – Lei nº 2.724, de 03 de setembro de 2019, do Município de Itapecerica da Serra, que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dispõe sobre a obrigatoriedade da instalação de câmeras de monitoramento e segurança nas dependências das escolas públicas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municipais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. 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1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) </w:t>
      </w:r>
      <w:r w:rsidRPr="000A1D02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>Violação ao princípio da Separação de Poderes. Inocorrência.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Norma que se restringe a cuidar de diretrizes gerais de política de segurança pública nas escolas, assegurando condições de segurança aos alunos da rede municipal de ensino. Inexistência de conflito entre o Poder Legislativo e o Poder Executivo.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Matéria que não se encontra no rol de iniciativa reservada do Poder Executivo elencado no parágrafo 2º do artigo 24 da Constituição Estadual, bem como não impõe atribuições a órgãos públicos, interferência na Administração do Município, ou fixação de prazos, e, portanto não viola o princípio da Reserva da Administração previsto no (art. 47, incisos II, XIV, XIX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). 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2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) Irrelevante a arguição de criação de despesas. Eventual ausência de receitas acarreta, no máximo, a inexequibilidade da norma no mesmo exercício em que foi promulgada. De rigor a declaração de constitucionalidade da Lei nº 2.724, de 03 de setembro de 2019, do Município de Itapecerica da Serra.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direta julgada improcedente.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(TJSP;  Direta de Inconstitucionalidade 2228006-38.2019.8.26.0000; Relator (a): Cristina 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Zucchi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11/03/2020; Data de Registro: 13/03/2020)</w:t>
      </w:r>
    </w:p>
    <w:p w:rsidR="00645039" w:rsidRPr="004C3CB3" w:rsidP="00645039">
      <w:pPr>
        <w:pStyle w:val="Default"/>
        <w:pBdr>
          <w:bottom w:val="single" w:sz="12" w:space="1" w:color="auto"/>
        </w:pBdr>
        <w:spacing w:line="276" w:lineRule="auto"/>
        <w:ind w:left="2268"/>
        <w:jc w:val="both"/>
        <w:rPr>
          <w:rFonts w:ascii="Calibri" w:hAnsi="Calibri" w:cs="Calibri"/>
          <w:i/>
          <w:sz w:val="4"/>
          <w:szCs w:val="4"/>
          <w:shd w:val="clear" w:color="auto" w:fill="FFFFFF"/>
        </w:rPr>
      </w:pPr>
    </w:p>
    <w:p w:rsidR="00645039" w:rsidRPr="000A1D02" w:rsidP="00645039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</w:p>
    <w:p w:rsidR="00645039" w:rsidRPr="000A1D02" w:rsidP="00645039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sz w:val="12"/>
          <w:szCs w:val="12"/>
          <w:shd w:val="clear" w:color="auto" w:fill="FFFFFF"/>
        </w:rPr>
      </w:pP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AÇÃO DIRETA DE INCONSTITUCIONALIDADE – Pretensão que envolve a Lei nº 1.454, de 17 de maio de 2019, que "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dispõe sobre a instalação de câmeras de monitoramento de segurança nas escolas públicas e adjacências, existentes no município de Lindóia" – Matéria que não se encontra especificamente no rol de competência privativa do Poder Executivo – Teor da norma contestada que não ingressa na estrutura ou atribuição dos órgãos da Administração Pública e nem no regime jurídico dos servidores – Ausência de interferência na gestão administrativa 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– Inviabilidade de reconhecimento de inconstitucionalidade por alegada falta de indicação de fonte de custeio ou em razão de a norma criar novas despesas, porquanto, além de não versar sobre assunto de competência exclusiva, eventual gasto apenas impediria a aplicação no mesmo exercício financeiro –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Tema de repercussão geral estabelecido pelo E. STF (Tema 917) em recurso cujo julgamento se consignou a inexistência de inconstitucionalidade por não estar configurado vício de inciativa e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violação à separação de poderes em lei sobre o exato mesmo assunto de instalação de câmeras em escolas públicas municipais e cercanias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Segurança de usuários de serviços públicos e servidores que já integram as obrigações dos administradores públicos – Proteção integral de crianças e adolescentes que é direito fundamental de segunda geração, impondo prestação positiva de todos os entes políticos – Precedente deste C. Órgão Especial – Inconstitucionalidade não configurada – </w:t>
      </w:r>
      <w:r w:rsidRPr="000A1D0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improcedente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.</w:t>
      </w:r>
    </w:p>
    <w:p w:rsidR="00645039" w:rsidRPr="000A1D02" w:rsidP="00645039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Direta de Inconstitucionalidade 2231687-16.2019.8.26.0000; Relator (a): 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>Alvaro</w:t>
      </w:r>
      <w:r w:rsidRPr="000A1D0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Passos; Órgão Julgador: Órgão Especial; Tribunal de Justiça de São Paulo - N/A; Data do Julgamento: 04/03/2020; Data de Registro: 05/03/2020)</w:t>
      </w:r>
    </w:p>
    <w:p w:rsidR="00645039" w:rsidRPr="000A1D02" w:rsidP="00645039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645039" w:rsidRPr="00230814" w:rsidP="00645039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230814">
        <w:rPr>
          <w:rFonts w:ascii="Calibri" w:hAnsi="Calibri" w:cs="Calibri"/>
          <w:szCs w:val="24"/>
        </w:rPr>
        <w:t xml:space="preserve">Por fim, </w:t>
      </w:r>
      <w:r w:rsidRPr="00230814">
        <w:rPr>
          <w:rFonts w:ascii="Calibri" w:hAnsi="Calibri" w:cs="Calibri"/>
          <w:szCs w:val="24"/>
        </w:rPr>
        <w:t>verifica-se</w:t>
      </w:r>
      <w:r w:rsidRPr="00230814">
        <w:rPr>
          <w:rFonts w:ascii="Calibri" w:hAnsi="Calibri" w:cs="Calibri"/>
          <w:szCs w:val="24"/>
        </w:rPr>
        <w:t xml:space="preserve"> que o projeto atende aos preceitos da Lei Complementar nº 95 de 1998 que dispõe sobre a elaboração, a redação, a alteração e a consolidação das leis, conforme determina o parágrafo único do art. 59 da Constituição Federal.</w:t>
      </w:r>
      <w:bookmarkStart w:id="4" w:name="_GoBack"/>
      <w:bookmarkEnd w:id="4"/>
    </w:p>
    <w:p w:rsidR="00230290" w:rsidRPr="000B4AF0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 xml:space="preserve">Ante todo o exposto, </w:t>
      </w:r>
      <w:r w:rsidRPr="000B4AF0" w:rsidR="00A53F3E">
        <w:rPr>
          <w:rFonts w:ascii="Calibri" w:eastAsia="Calibri" w:hAnsi="Calibri" w:cs="Calibri"/>
          <w:szCs w:val="24"/>
        </w:rPr>
        <w:t>opinamos pela</w:t>
      </w:r>
      <w:r w:rsidRPr="000B4AF0">
        <w:rPr>
          <w:rFonts w:ascii="Calibri" w:eastAsia="Calibri" w:hAnsi="Calibri" w:cs="Calibri"/>
          <w:szCs w:val="24"/>
        </w:rPr>
        <w:t xml:space="preserve"> constitucionalidade e legalidade</w:t>
      </w:r>
      <w:r w:rsidRPr="000B4AF0" w:rsidR="008A2A1B">
        <w:rPr>
          <w:rFonts w:ascii="Calibri" w:eastAsia="Calibri" w:hAnsi="Calibri" w:cs="Calibri"/>
          <w:szCs w:val="24"/>
        </w:rPr>
        <w:t xml:space="preserve"> do projeto</w:t>
      </w:r>
      <w:r w:rsidRPr="000B4AF0" w:rsidR="00A039F0">
        <w:rPr>
          <w:rFonts w:ascii="Calibri" w:eastAsia="Calibri" w:hAnsi="Calibri" w:cs="Calibri"/>
          <w:szCs w:val="24"/>
        </w:rPr>
        <w:t xml:space="preserve">. </w:t>
      </w:r>
      <w:r w:rsidRPr="000B4AF0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0B4AF0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É o parecer, a superior consideração.</w:t>
      </w:r>
    </w:p>
    <w:p w:rsidR="007E675B" w:rsidRPr="004C3CB3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7E675B">
        <w:rPr>
          <w:rFonts w:ascii="Calibri" w:hAnsi="Calibri" w:cs="Calibri"/>
          <w:szCs w:val="24"/>
        </w:rPr>
        <w:t>Procuradoria,</w:t>
      </w:r>
      <w:r w:rsidRPr="007E675B" w:rsidR="00395D8C">
        <w:rPr>
          <w:rFonts w:ascii="Calibri" w:hAnsi="Calibri" w:cs="Calibri"/>
          <w:szCs w:val="24"/>
        </w:rPr>
        <w:t xml:space="preserve"> </w:t>
      </w:r>
      <w:r w:rsidRPr="004C3CB3" w:rsidR="004C3CB3">
        <w:rPr>
          <w:rFonts w:ascii="Calibri" w:hAnsi="Calibri" w:cs="Calibri"/>
          <w:szCs w:val="24"/>
        </w:rPr>
        <w:t>05</w:t>
      </w:r>
      <w:r w:rsidRPr="004C3CB3" w:rsidR="004253B9">
        <w:rPr>
          <w:rFonts w:ascii="Calibri" w:hAnsi="Calibri" w:cs="Calibri"/>
          <w:szCs w:val="24"/>
        </w:rPr>
        <w:t xml:space="preserve"> de </w:t>
      </w:r>
      <w:r w:rsidRPr="004C3CB3" w:rsidR="00645039">
        <w:rPr>
          <w:rFonts w:ascii="Calibri" w:hAnsi="Calibri" w:cs="Calibri"/>
          <w:szCs w:val="24"/>
        </w:rPr>
        <w:t>abril</w:t>
      </w:r>
      <w:r w:rsidRPr="004C3CB3">
        <w:rPr>
          <w:rFonts w:ascii="Calibri" w:hAnsi="Calibri" w:cs="Calibri"/>
          <w:szCs w:val="24"/>
        </w:rPr>
        <w:t xml:space="preserve"> de 202</w:t>
      </w:r>
      <w:r w:rsidRPr="004C3CB3" w:rsidR="004253B9">
        <w:rPr>
          <w:rFonts w:ascii="Calibri" w:hAnsi="Calibri" w:cs="Calibri"/>
          <w:szCs w:val="24"/>
        </w:rPr>
        <w:t>3</w:t>
      </w:r>
      <w:r w:rsidRPr="004C3CB3">
        <w:rPr>
          <w:rFonts w:ascii="Calibri" w:hAnsi="Calibri" w:cs="Calibri"/>
          <w:szCs w:val="24"/>
        </w:rPr>
        <w:t>.</w:t>
      </w:r>
    </w:p>
    <w:p w:rsidR="004C3CB3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color w:val="FF0000"/>
          <w:szCs w:val="24"/>
        </w:rPr>
      </w:pPr>
    </w:p>
    <w:p w:rsidR="00B14DD5" w:rsidRPr="000B4AF0" w:rsidP="00892795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Rosemeire de Souza Cardoso Barbosa</w:t>
      </w:r>
    </w:p>
    <w:p w:rsidR="00B14DD5" w:rsidRPr="000B4AF0" w:rsidP="00892795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Procuradora - OAB/SP 308.298</w:t>
      </w:r>
    </w:p>
    <w:p w:rsidR="00B14DD5" w:rsidRPr="000B4AF0" w:rsidP="00892795">
      <w:pPr>
        <w:pStyle w:val="BodyText"/>
        <w:spacing w:after="0" w:line="240" w:lineRule="auto"/>
        <w:jc w:val="center"/>
      </w:pPr>
      <w:r w:rsidRPr="000B4AF0">
        <w:rPr>
          <w:rFonts w:asciiTheme="minorHAnsi" w:hAnsiTheme="minorHAnsi" w:cstheme="minorHAnsi"/>
          <w:szCs w:val="24"/>
        </w:rPr>
        <w:t>Assinado digitalmente</w:t>
      </w:r>
    </w:p>
    <w:sectPr w:rsidSect="00E957F5">
      <w:headerReference w:type="default" r:id="rId6"/>
      <w:footerReference w:type="default" r:id="rId7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66DFA" w:rsidP="004C3CB3">
            <w:pPr>
              <w:pStyle w:val="Footer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</w:t>
            </w:r>
            <w:r w:rsidR="004C3CB3">
              <w:rPr>
                <w:sz w:val="18"/>
                <w:lang w:val="pt-PT"/>
              </w:rPr>
              <w:t>___________________________</w:t>
            </w: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66DFA" w:rsidP="004C3CB3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66DFA" w:rsidP="000F6284">
            <w:pPr>
              <w:pStyle w:val="Footer"/>
              <w:ind w:left="-1985" w:right="-313"/>
              <w:jc w:val="center"/>
            </w:pPr>
          </w:p>
          <w:p w:rsidR="00466DF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12B3C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12B3C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66DFA">
      <w:pPr>
        <w:spacing w:after="0" w:line="240" w:lineRule="auto"/>
      </w:pPr>
      <w:r>
        <w:separator/>
      </w:r>
    </w:p>
  </w:footnote>
  <w:footnote w:type="continuationSeparator" w:id="1">
    <w:p w:rsidR="00466DFA">
      <w:pPr>
        <w:spacing w:after="0" w:line="240" w:lineRule="auto"/>
      </w:pPr>
      <w:r>
        <w:continuationSeparator/>
      </w:r>
    </w:p>
  </w:footnote>
  <w:footnote w:id="2">
    <w:p w:rsidR="00466DFA" w:rsidRPr="000B4AF0" w:rsidP="00E957F5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>ex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466DF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DFA" w:rsidP="000F6284">
    <w:pPr>
      <w:pStyle w:val="Header"/>
      <w:jc w:val="center"/>
      <w:rPr>
        <w:b/>
        <w:sz w:val="26"/>
        <w:lang w:val="pt-PT"/>
      </w:rPr>
    </w:pPr>
  </w:p>
  <w:p w:rsidR="00466DFA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DFA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03629561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763573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272278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66DFA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713009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212082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66DFA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66DFA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7060BA"/>
    <w:multiLevelType w:val="hybridMultilevel"/>
    <w:tmpl w:val="2F506ECA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5EB9"/>
    <w:rsid w:val="00031E27"/>
    <w:rsid w:val="0004095E"/>
    <w:rsid w:val="00055FB2"/>
    <w:rsid w:val="00060CA0"/>
    <w:rsid w:val="0007139A"/>
    <w:rsid w:val="000724D1"/>
    <w:rsid w:val="00072745"/>
    <w:rsid w:val="00087763"/>
    <w:rsid w:val="00094FC8"/>
    <w:rsid w:val="000A1D02"/>
    <w:rsid w:val="000A7037"/>
    <w:rsid w:val="000B4ADE"/>
    <w:rsid w:val="000B4AF0"/>
    <w:rsid w:val="000C08B8"/>
    <w:rsid w:val="000C1D38"/>
    <w:rsid w:val="000C3EF3"/>
    <w:rsid w:val="000C474F"/>
    <w:rsid w:val="000C5FC0"/>
    <w:rsid w:val="000E086D"/>
    <w:rsid w:val="000E3CF3"/>
    <w:rsid w:val="000E7AF5"/>
    <w:rsid w:val="000F6284"/>
    <w:rsid w:val="00117687"/>
    <w:rsid w:val="00127987"/>
    <w:rsid w:val="0013060F"/>
    <w:rsid w:val="00132107"/>
    <w:rsid w:val="00132824"/>
    <w:rsid w:val="00141BA0"/>
    <w:rsid w:val="001420FA"/>
    <w:rsid w:val="0014270F"/>
    <w:rsid w:val="00146CE5"/>
    <w:rsid w:val="00152692"/>
    <w:rsid w:val="00174657"/>
    <w:rsid w:val="00187A4F"/>
    <w:rsid w:val="001A38C4"/>
    <w:rsid w:val="001C4D63"/>
    <w:rsid w:val="0022477A"/>
    <w:rsid w:val="002268B5"/>
    <w:rsid w:val="00230290"/>
    <w:rsid w:val="00230814"/>
    <w:rsid w:val="002324DA"/>
    <w:rsid w:val="002433C5"/>
    <w:rsid w:val="00252ADC"/>
    <w:rsid w:val="00261689"/>
    <w:rsid w:val="0026654A"/>
    <w:rsid w:val="00267046"/>
    <w:rsid w:val="00267382"/>
    <w:rsid w:val="00282C13"/>
    <w:rsid w:val="00287DF9"/>
    <w:rsid w:val="0029011B"/>
    <w:rsid w:val="002907F1"/>
    <w:rsid w:val="002B15C8"/>
    <w:rsid w:val="002B1985"/>
    <w:rsid w:val="002B4857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3080F"/>
    <w:rsid w:val="0036016D"/>
    <w:rsid w:val="00365F07"/>
    <w:rsid w:val="003774B8"/>
    <w:rsid w:val="0038135B"/>
    <w:rsid w:val="00387B4B"/>
    <w:rsid w:val="0039289D"/>
    <w:rsid w:val="00395D8C"/>
    <w:rsid w:val="003A2C23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53B9"/>
    <w:rsid w:val="00436EDC"/>
    <w:rsid w:val="00440E92"/>
    <w:rsid w:val="004411BA"/>
    <w:rsid w:val="00442AE0"/>
    <w:rsid w:val="00445AFC"/>
    <w:rsid w:val="00450D7D"/>
    <w:rsid w:val="00451D9D"/>
    <w:rsid w:val="00466DFA"/>
    <w:rsid w:val="00483A4D"/>
    <w:rsid w:val="00484EF7"/>
    <w:rsid w:val="00494E9F"/>
    <w:rsid w:val="00497A57"/>
    <w:rsid w:val="004A1DBC"/>
    <w:rsid w:val="004B170A"/>
    <w:rsid w:val="004B1CA3"/>
    <w:rsid w:val="004C3CB3"/>
    <w:rsid w:val="004D3AA4"/>
    <w:rsid w:val="004F1E85"/>
    <w:rsid w:val="004F2F14"/>
    <w:rsid w:val="004F44D9"/>
    <w:rsid w:val="00515A76"/>
    <w:rsid w:val="00516A25"/>
    <w:rsid w:val="00521E8D"/>
    <w:rsid w:val="00526E32"/>
    <w:rsid w:val="00526FB6"/>
    <w:rsid w:val="00536F9C"/>
    <w:rsid w:val="00541851"/>
    <w:rsid w:val="00545DE3"/>
    <w:rsid w:val="00546E3D"/>
    <w:rsid w:val="00564577"/>
    <w:rsid w:val="00565CBD"/>
    <w:rsid w:val="00582000"/>
    <w:rsid w:val="0058201A"/>
    <w:rsid w:val="005944FE"/>
    <w:rsid w:val="005B347A"/>
    <w:rsid w:val="005B5B3A"/>
    <w:rsid w:val="005C61FE"/>
    <w:rsid w:val="005D0942"/>
    <w:rsid w:val="005E0943"/>
    <w:rsid w:val="005E0CC1"/>
    <w:rsid w:val="005E6F3B"/>
    <w:rsid w:val="005F28BA"/>
    <w:rsid w:val="005F46C8"/>
    <w:rsid w:val="00600907"/>
    <w:rsid w:val="006045B4"/>
    <w:rsid w:val="00605D93"/>
    <w:rsid w:val="00620FEF"/>
    <w:rsid w:val="0062714B"/>
    <w:rsid w:val="00633897"/>
    <w:rsid w:val="00636BBC"/>
    <w:rsid w:val="00641AD2"/>
    <w:rsid w:val="00645039"/>
    <w:rsid w:val="00680952"/>
    <w:rsid w:val="00683121"/>
    <w:rsid w:val="00684901"/>
    <w:rsid w:val="006930B5"/>
    <w:rsid w:val="00696105"/>
    <w:rsid w:val="006969A0"/>
    <w:rsid w:val="006B100D"/>
    <w:rsid w:val="006B19C9"/>
    <w:rsid w:val="006B2858"/>
    <w:rsid w:val="006B7254"/>
    <w:rsid w:val="006C1ABF"/>
    <w:rsid w:val="006C1E37"/>
    <w:rsid w:val="006C37F5"/>
    <w:rsid w:val="006D3B52"/>
    <w:rsid w:val="006D7024"/>
    <w:rsid w:val="006E1D73"/>
    <w:rsid w:val="006E288F"/>
    <w:rsid w:val="006E59A6"/>
    <w:rsid w:val="006F29C6"/>
    <w:rsid w:val="006F674F"/>
    <w:rsid w:val="00700B2A"/>
    <w:rsid w:val="007042A1"/>
    <w:rsid w:val="007125D7"/>
    <w:rsid w:val="0072713C"/>
    <w:rsid w:val="00737702"/>
    <w:rsid w:val="00743B3E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B039B"/>
    <w:rsid w:val="007B1B19"/>
    <w:rsid w:val="007C28D8"/>
    <w:rsid w:val="007C2ECA"/>
    <w:rsid w:val="007D453B"/>
    <w:rsid w:val="007D5186"/>
    <w:rsid w:val="007E5326"/>
    <w:rsid w:val="007E6039"/>
    <w:rsid w:val="007E675B"/>
    <w:rsid w:val="007F01A5"/>
    <w:rsid w:val="007F2CCB"/>
    <w:rsid w:val="00805EF5"/>
    <w:rsid w:val="00806D16"/>
    <w:rsid w:val="00813CA7"/>
    <w:rsid w:val="00814806"/>
    <w:rsid w:val="008152AD"/>
    <w:rsid w:val="00815AF8"/>
    <w:rsid w:val="00822E24"/>
    <w:rsid w:val="008349E3"/>
    <w:rsid w:val="00834F2B"/>
    <w:rsid w:val="00837714"/>
    <w:rsid w:val="008444E5"/>
    <w:rsid w:val="00844764"/>
    <w:rsid w:val="00845148"/>
    <w:rsid w:val="00853783"/>
    <w:rsid w:val="00872C12"/>
    <w:rsid w:val="008831C3"/>
    <w:rsid w:val="008833EF"/>
    <w:rsid w:val="00884663"/>
    <w:rsid w:val="008923E9"/>
    <w:rsid w:val="00892795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480C"/>
    <w:rsid w:val="0091612B"/>
    <w:rsid w:val="0091678F"/>
    <w:rsid w:val="00923CD0"/>
    <w:rsid w:val="00935C32"/>
    <w:rsid w:val="009369FB"/>
    <w:rsid w:val="009403D3"/>
    <w:rsid w:val="00946FC6"/>
    <w:rsid w:val="009610E3"/>
    <w:rsid w:val="00967B88"/>
    <w:rsid w:val="0097203E"/>
    <w:rsid w:val="0098472D"/>
    <w:rsid w:val="00984F21"/>
    <w:rsid w:val="00991E39"/>
    <w:rsid w:val="00996E6A"/>
    <w:rsid w:val="009975F7"/>
    <w:rsid w:val="009977A8"/>
    <w:rsid w:val="009A128E"/>
    <w:rsid w:val="009B0A6D"/>
    <w:rsid w:val="009B4CD0"/>
    <w:rsid w:val="009B5F4D"/>
    <w:rsid w:val="009D506E"/>
    <w:rsid w:val="009D511B"/>
    <w:rsid w:val="009D550A"/>
    <w:rsid w:val="009D75A2"/>
    <w:rsid w:val="009F0B51"/>
    <w:rsid w:val="009F136A"/>
    <w:rsid w:val="00A02EF7"/>
    <w:rsid w:val="00A02FF7"/>
    <w:rsid w:val="00A039F0"/>
    <w:rsid w:val="00A11357"/>
    <w:rsid w:val="00A172F8"/>
    <w:rsid w:val="00A31F50"/>
    <w:rsid w:val="00A33C51"/>
    <w:rsid w:val="00A35149"/>
    <w:rsid w:val="00A45EA3"/>
    <w:rsid w:val="00A53F3E"/>
    <w:rsid w:val="00A55DAC"/>
    <w:rsid w:val="00A63ED4"/>
    <w:rsid w:val="00A67E63"/>
    <w:rsid w:val="00A7176E"/>
    <w:rsid w:val="00A71D06"/>
    <w:rsid w:val="00A8539F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B05955"/>
    <w:rsid w:val="00B12B3C"/>
    <w:rsid w:val="00B13A6C"/>
    <w:rsid w:val="00B14DD5"/>
    <w:rsid w:val="00B20A65"/>
    <w:rsid w:val="00B22C55"/>
    <w:rsid w:val="00B60874"/>
    <w:rsid w:val="00B60DB6"/>
    <w:rsid w:val="00B6516B"/>
    <w:rsid w:val="00B73ABA"/>
    <w:rsid w:val="00B778AA"/>
    <w:rsid w:val="00B82566"/>
    <w:rsid w:val="00B93ED4"/>
    <w:rsid w:val="00BA65D2"/>
    <w:rsid w:val="00BB3B11"/>
    <w:rsid w:val="00BC2ABB"/>
    <w:rsid w:val="00BC387A"/>
    <w:rsid w:val="00BF55F6"/>
    <w:rsid w:val="00BF7288"/>
    <w:rsid w:val="00C0003E"/>
    <w:rsid w:val="00C02E72"/>
    <w:rsid w:val="00C077D5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95E1E"/>
    <w:rsid w:val="00CA0157"/>
    <w:rsid w:val="00CB2D83"/>
    <w:rsid w:val="00CB369D"/>
    <w:rsid w:val="00CC1FE4"/>
    <w:rsid w:val="00CD2DAD"/>
    <w:rsid w:val="00CD39F0"/>
    <w:rsid w:val="00CE0C3C"/>
    <w:rsid w:val="00CE5172"/>
    <w:rsid w:val="00CF7799"/>
    <w:rsid w:val="00D05705"/>
    <w:rsid w:val="00D111F9"/>
    <w:rsid w:val="00D13192"/>
    <w:rsid w:val="00D23EDD"/>
    <w:rsid w:val="00D31E84"/>
    <w:rsid w:val="00D33D7D"/>
    <w:rsid w:val="00D344FF"/>
    <w:rsid w:val="00D37D32"/>
    <w:rsid w:val="00D4374D"/>
    <w:rsid w:val="00D61860"/>
    <w:rsid w:val="00D637D4"/>
    <w:rsid w:val="00D71FE6"/>
    <w:rsid w:val="00D72476"/>
    <w:rsid w:val="00D775B5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60FD0"/>
    <w:rsid w:val="00E654B2"/>
    <w:rsid w:val="00E65F4B"/>
    <w:rsid w:val="00E661C5"/>
    <w:rsid w:val="00E67B0A"/>
    <w:rsid w:val="00E7515C"/>
    <w:rsid w:val="00E9216A"/>
    <w:rsid w:val="00E957F5"/>
    <w:rsid w:val="00EA0F15"/>
    <w:rsid w:val="00EA1A35"/>
    <w:rsid w:val="00EA1DB6"/>
    <w:rsid w:val="00EB228B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2480"/>
    <w:rsid w:val="00F34BF6"/>
    <w:rsid w:val="00F36757"/>
    <w:rsid w:val="00F4065A"/>
    <w:rsid w:val="00F43DDE"/>
    <w:rsid w:val="00F53BEF"/>
    <w:rsid w:val="00F56203"/>
    <w:rsid w:val="00F64CCC"/>
    <w:rsid w:val="00F752F1"/>
    <w:rsid w:val="00F82AEB"/>
    <w:rsid w:val="00F8645F"/>
    <w:rsid w:val="00F91600"/>
    <w:rsid w:val="00F94A2F"/>
    <w:rsid w:val="00FC3987"/>
    <w:rsid w:val="00FC6AF1"/>
    <w:rsid w:val="00FD38DB"/>
    <w:rsid w:val="00FF614D"/>
    <w:rsid w:val="00FF7E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E1C6-5975-456F-BF1A-C959FBD4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1867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11</cp:revision>
  <cp:lastPrinted>2021-12-03T16:31:00Z</cp:lastPrinted>
  <dcterms:created xsi:type="dcterms:W3CDTF">2023-04-04T16:34:00Z</dcterms:created>
  <dcterms:modified xsi:type="dcterms:W3CDTF">2023-04-11T15:53:00Z</dcterms:modified>
</cp:coreProperties>
</file>